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Hướng dẫn hoàn thiện bộ hồ sơ đề xuất cấp độ 4</w:t>
      </w:r>
    </w:p>
    <w:p>
      <w:pPr>
        <w:jc w:val="center"/>
      </w:pPr>
      <w:r>
        <w:rPr>
          <w:b w:val="0"/>
        </w:rPr>
        <w:t>Bộ 2 phục vụ xin ý kiến chuyên môn thẩm định và phê duyệt</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2.2 ngày 17 tháng 10 năm 2026</w:t>
      </w:r>
    </w:p>
    <w:p>
      <w:r>
        <w:rPr>
          <w:b w:val="0"/>
        </w:rPr>
        <w:t>Bộ tài liệu phục vụ lập hồ sơ lần đầu cho toàn bộ nền tảng XOR STACK CLOUD và dịch vụ quản trị chung tại hai IDC. Chủ quản tổ chức xác nhận thông tin pháp nhân, thẩm quyền ký, hiện trạng kỹ thuật và bằng chứng theo danh mục kiểm soát tại tài liệu này trước khi trình hồ sơ.</w:t>
      </w:r>
    </w:p>
    <w:p>
      <w:pPr>
        <w:pStyle w:val="Heading2"/>
      </w:pPr>
      <w:r>
        <w:t>Kết quả pháp lý cần thực hiện</w:t>
      </w:r>
    </w:p>
    <w:p>
      <w:r>
        <w:rPr>
          <w:b w:val="0"/>
        </w:rPr>
        <w:t>Đối với hệ thống đang vận hành được đề xuất cấp độ 4 trong trường hợp thông thường, đơn vị vận hành lập hồ sơ, xin ý kiến chuyên môn của đơn vị chuyên trách về an ninh mạng của chủ quản, trình chủ quản gửi Bộ Công an chủ trì thẩm định; sau đó trình chủ quản phê duyệt. Các trường hợp quân sự và cơ yếu thực hiện theo thẩm quyền riêng tại Điều 18 khoản 3. [S1, Điều 18, 20–24]</w:t>
      </w:r>
    </w:p>
    <w:p>
      <w:r>
        <w:rPr>
          <w:b w:val="0"/>
        </w:rPr>
        <w:t>Bản tự rà soát hoặc thông báo của doanh nghiệp không thay thế ý kiến thẩm định và quyết định phê duyệt. Kết quả của tuyến thủ tục này là hồ sơ được thẩm định và quyết định phê duyệt cấp độ; không mặc nhiên là giấy chứng nhận cho mọi dịch vụ cloud hoặc mọi hệ thống khách hàng.</w:t>
      </w:r>
    </w:p>
    <w:p>
      <w:r>
        <w:rPr>
          <w:b w:val="0"/>
        </w:rPr>
        <w:t>Nếu có nhu cầu chứng nhận sự phù hợp theo một tiêu chuẩn/chương trình riêng, chủ quản phải xác nhận đối tượng, tiêu chuẩn và phiên bản, tổ chức có thẩm quyền/năng lực, phương thức đánh giá và loại văn bản đầu ra. Mẫu đề nghị tại tài liệu 09 phục vụ làm rõ tuyến này, chưa xác nhận một cơ chế cấp chứng nhận cụ thể cho XOR.</w:t>
      </w:r>
    </w:p>
    <w:p>
      <w:pPr>
        <w:pStyle w:val="Heading1"/>
        <w:pageBreakBefore/>
      </w:pPr>
      <w:r>
        <w:t>Danh mục tài liệu và trình tự sử dụng</w:t>
      </w:r>
    </w:p>
    <w:tbl>
      <w:tblPr>
        <w:tblW w:type="auto" w:w="0"/>
        <w:jc w:val="center"/>
        <w:tblLayout w:type="fixed"/>
        <w:tblLook w:firstColumn="1" w:firstRow="1" w:lastColumn="0" w:lastRow="0" w:noHBand="0" w:noVBand="1" w:val="04A0"/>
      </w:tblPr>
      <w:tblGrid>
        <w:gridCol w:w="730"/>
        <w:gridCol w:w="3128"/>
        <w:gridCol w:w="5213"/>
      </w:tblGrid>
      <w:tr>
        <w:trPr>
          <w:cantSplit/>
          <w:tblHeader/>
        </w:trPr>
        <w:tc>
          <w:tcPr>
            <w:tcW w:type="dxa" w:w="73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Số</w:t>
            </w:r>
          </w:p>
        </w:tc>
        <w:tc>
          <w:tcPr>
            <w:tcW w:type="dxa" w:w="312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Tài liệu</w:t>
            </w:r>
          </w:p>
        </w:tc>
        <w:tc>
          <w:tcPr>
            <w:tcW w:type="dxa" w:w="521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Cách sử dụng</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00</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Hướng dẫn hoàn thiện</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Dùng nội bộ để kiểm soát việc điền, ký và nộp.</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01</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Thuyết minh hồ sơ đề xuất</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Bao gồm tổng quan, thiết kế, căn cứ cấp độ, rủi ro, phương án; bổ sung dữ liệu thực.</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02</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Phụ lục đối chiếu yêu cầu</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119 điểm TCVN và phương án XOR, bằng chứng; điền thực trạng và tài liệu kèm theo.</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03</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Quy chế và quy trình bảo đảm ANM</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Dự thảo để chủ quản rà soát, ban hành và tổ chức thực thi.</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04</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Công văn xin ý kiến chuyên môn</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Mẫu 03, gửi đơn vị chuyên trách của chủ quản.</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05</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Công văn đề nghị thẩm định</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Mẫu 02, gửi cơ quan có thẩm quyền sau khi có ý kiến chuyên môn.</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06</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Tờ trình phê duyệt</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Mẫu 05, dùng sau khi tiếp nhận ý kiến thẩm định.</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07</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Dự thảo quyết định phê duyệt</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cấu trúc Mẫu 06; chủ quản xem xét, ký sau quy trình.</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08</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Ý kiến chuyên môn và báo cáo tự rà soát</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Mẫu nội bộ để đơn vị có trách nhiệm lập kết luận thật; không thay văn bản của cơ quan thẩm định.</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09</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Thông báo và đề nghị đánh giá</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Mẫu công bố sau phê duyệt; mẫu đề nghị đánh giá độc lập/sự phù hợp có điều kiện.</w:t>
            </w:r>
          </w:p>
        </w:tc>
      </w:tr>
    </w:tbl>
    <w:p>
      <w:pPr>
        <w:spacing w:after="20"/>
      </w:pPr>
      <w:r>
        <w:rPr>
          <w:b w:val="0"/>
        </w:rPr>
      </w:r>
    </w:p>
    <w:p>
      <w:r>
        <w:rPr>
          <w:b w:val="0"/>
        </w:rPr>
        <w:t>Hồ sơ theo Điều 21 phải có đủ năm thành phần: tổng quan, thiết kế, thuyết minh đề xuất cấp độ, phương án bảo đảm an ninh mạng và ý kiến chuyên môn đối với cấp độ 4. Ý kiến thẩm định do cơ quan thẩm định phát hành phải được bổ sung khi trình phê duyệt theo Điều 24. Không tự lập văn bản Mẫu 04 thay cơ quan này.</w:t>
      </w:r>
    </w:p>
    <w:p>
      <w:pPr>
        <w:pStyle w:val="Heading1"/>
        <w:pageBreakBefore/>
      </w:pPr>
      <w:r>
        <w:t>Kiểm soát thông tin trước ký và phát hành</w:t>
      </w:r>
    </w:p>
    <w:tbl>
      <w:tblPr>
        <w:tblW w:type="auto" w:w="0"/>
        <w:jc w:val="center"/>
        <w:tblLayout w:type="fixed"/>
        <w:tblLook w:firstColumn="1" w:firstRow="1" w:lastColumn="0" w:lastRow="0" w:noHBand="0" w:noVBand="1" w:val="04A0"/>
      </w:tblPr>
      <w:tblGrid>
        <w:gridCol w:w="3702"/>
        <w:gridCol w:w="2036"/>
        <w:gridCol w:w="3332"/>
      </w:tblGrid>
      <w:tr>
        <w:trPr>
          <w:cantSplit/>
          <w:tblHeader/>
        </w:trPr>
        <w:tc>
          <w:tcPr>
            <w:tcW w:type="dxa" w:w="37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Nội dung cần chốt</w:t>
            </w:r>
          </w:p>
        </w:tc>
        <w:tc>
          <w:tcPr>
            <w:tcW w:type="dxa" w:w="20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Người xác nhận</w:t>
            </w:r>
          </w:p>
        </w:tc>
        <w:tc>
          <w:tcPr>
            <w:tcW w:type="dxa" w:w="333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Bằng chứng</w:t>
            </w:r>
          </w:p>
        </w:tc>
      </w:tr>
      <w:tr>
        <w:trPr>
          <w:cantSplit/>
        </w:trPr>
        <w:tc>
          <w:tcPr>
            <w:tcW w:type="dxa" w:w="37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Tên pháp nhân, mã số, địa chỉ, chức năng, chủ quản và đơn vị vận hành.</w:t>
            </w:r>
          </w:p>
        </w:tc>
        <w:tc>
          <w:tcPr>
            <w:tcW w:type="dxa" w:w="20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Pháp chế/chủ quản</w:t>
            </w:r>
          </w:p>
        </w:tc>
        <w:tc>
          <w:tcPr>
            <w:tcW w:type="dxa" w:w="33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Đăng ký doanh nghiệp; quyết định chức năng và giao nhiệm vụ.</w:t>
            </w:r>
          </w:p>
        </w:tc>
      </w:tr>
      <w:tr>
        <w:trPr>
          <w:cantSplit/>
        </w:trPr>
        <w:tc>
          <w:tcPr>
            <w:tcW w:type="dxa" w:w="37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Người ký, chức danh và thẩm quyền hoặc ủy quyền.</w:t>
            </w:r>
          </w:p>
        </w:tc>
        <w:tc>
          <w:tcPr>
            <w:tcW w:type="dxa" w:w="20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Chủ quản/văn thư</w:t>
            </w:r>
          </w:p>
        </w:tc>
        <w:tc>
          <w:tcPr>
            <w:tcW w:type="dxa" w:w="33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Hồ sơ đại diện/ủy quyền hợp lệ.</w:t>
            </w:r>
          </w:p>
        </w:tc>
      </w:tr>
      <w:tr>
        <w:trPr>
          <w:cantSplit/>
        </w:trPr>
        <w:tc>
          <w:tcPr>
            <w:tcW w:type="dxa" w:w="37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Căn cứ cấp độ theo đúng khoản Điều 14.</w:t>
            </w:r>
          </w:p>
        </w:tc>
        <w:tc>
          <w:tcPr>
            <w:tcW w:type="dxa" w:w="20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Chủ quản/GRC</w:t>
            </w:r>
          </w:p>
        </w:tc>
        <w:tc>
          <w:tcPr>
            <w:tcW w:type="dxa" w:w="33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Phạm vi phục vụ, BIA, nghĩa vụ 24/7 và đánh giá rủi ro chi tiết.</w:t>
            </w:r>
          </w:p>
        </w:tc>
      </w:tr>
      <w:tr>
        <w:trPr>
          <w:cantSplit/>
        </w:trPr>
        <w:tc>
          <w:tcPr>
            <w:tcW w:type="dxa" w:w="37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As-built, dịch vụ, số lượng, phiên bản, IP/rack và cấu hình.</w:t>
            </w:r>
          </w:p>
        </w:tc>
        <w:tc>
          <w:tcPr>
            <w:tcW w:type="dxa" w:w="20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Kỹ thuật</w:t>
            </w:r>
          </w:p>
        </w:tc>
        <w:tc>
          <w:tcPr>
            <w:tcW w:type="dxa" w:w="33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Hồ sơ đã phê duyệt hoặc tương đương; CMDB và export thực tế.</w:t>
            </w:r>
          </w:p>
        </w:tc>
      </w:tr>
      <w:tr>
        <w:trPr>
          <w:cantSplit/>
        </w:trPr>
        <w:tc>
          <w:tcPr>
            <w:tcW w:type="dxa" w:w="37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Biện pháp đã thực thi, hiện trạng, bằng chứng và tồn tại.</w:t>
            </w:r>
          </w:p>
        </w:tc>
        <w:tc>
          <w:tcPr>
            <w:tcW w:type="dxa" w:w="20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An ninh/kỹ thuật</w:t>
            </w:r>
          </w:p>
        </w:tc>
        <w:tc>
          <w:tcPr>
            <w:tcW w:type="dxa" w:w="33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Workbook, kho EV, log, báo cáo thử và retest.</w:t>
            </w:r>
          </w:p>
        </w:tc>
      </w:tr>
      <w:tr>
        <w:trPr>
          <w:cantSplit/>
        </w:trPr>
        <w:tc>
          <w:tcPr>
            <w:tcW w:type="dxa" w:w="37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Văn bản ý kiến và quyết định theo đúng thứ tự.</w:t>
            </w:r>
          </w:p>
        </w:tc>
        <w:tc>
          <w:tcPr>
            <w:tcW w:type="dxa" w:w="20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Đơn vị chuyên trách/chủ quản</w:t>
            </w:r>
          </w:p>
        </w:tc>
        <w:tc>
          <w:tcPr>
            <w:tcW w:type="dxa" w:w="33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Bản gốc có số, ngày, người ký và tài liệu kèm theo.</w:t>
            </w:r>
          </w:p>
        </w:tc>
      </w:tr>
    </w:tbl>
    <w:p>
      <w:pPr>
        <w:spacing w:after="20"/>
      </w:pPr>
      <w:r>
        <w:rPr>
          <w:b w:val="0"/>
        </w:rPr>
      </w:r>
    </w:p>
    <w:p>
      <w:r>
        <w:rPr>
          <w:b w:val="0"/>
        </w:rPr>
        <w:t>Gỡ nhãn dự thảo chỉ sau khi chủ thể có trách nhiệm đã xác nhận nội dung và ký theo thẩm quyền. Không điền số văn bản, ngày ban hành, chữ ký, dấu hoặc kết luận đạt trước khi có căn cứ. Bản sơ đồ đề xuất chưa được coi là thiết kế hiện trạng đã phê duyệt.</w:t>
      </w:r>
    </w:p>
    <w:p>
      <w:r>
        <w:rPr>
          <w:b w:val="0"/>
        </w:rPr>
        <w:t>Trước khi nộp, liên hệ đầu mối tiếp nhận của cơ quan thẩm định để xác nhận hình thức, kênh nộp và yêu cầu tài liệu hiện hành. Đối chiếu điều khoản chuyển tiếp nếu dự án đã có quyết định đầu tư trước ngày 01/7/2026; hiện chưa có dữ liệu để kết luận XOR thuộc trường hợp chuyển tiếp. [S1, Điều 39]</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pPr>
        <w:pStyle w:val="Heading1"/>
        <w:pageBreakBefore/>
      </w:pPr>
      <w:r>
        <w:t>Thông tin tổ chức và đầu mối trình ký</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Vai trò</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Thông tin sử dụng trong bộ hồ sơ</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quản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Công ty Cổ phần XOR CLOUD</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Địa chỉ</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Tầng 7, Tòa nhà Việt Á, số 09 phố Duy Tân, phường Cầu Giấy, TP Hà Nội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vận hành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Khối Hạ tầng &amp; Vận hành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chuyên trách ANM</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Trung tâm Vận hành</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ký phía chủ quản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Lê Anh Vũ — Tổng Giám đốc</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ký phía vận hành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Trần Văn Dũng — Giám đốc Khối Hạ tầng &amp; Vận hành</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Đầu mối lập hồ sơ</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Chử Quang Thắng — Giám đốc Vận hành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Đầu mối chuyên trách trong hồ sơ nguồn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Trần Văn Dũng; cần xác nhận phân công và cơ chế kiểm tra độc lập</w:t>
            </w:r>
          </w:p>
        </w:tc>
      </w:tr>
    </w:tbl>
    <w:p>
      <w:pPr>
        <w:spacing w:after="20"/>
      </w:pPr>
      <w:r>
        <w:rPr>
          <w:b w:val="0"/>
        </w:rPr>
      </w:r>
    </w:p>
    <w:p>
      <w:r>
        <w:rPr>
          <w:b w:val="0"/>
        </w:rPr>
        <w:t>Thông tin tổ chức và nhân sự được đối chiếu tại bản XOR_SECURE_CLOUD_Ho_so_Cap_do_4_v0.9.4, phần kiểm soát tài liệu, phê duyệt nội bộ và công văn. Tên đơn vị vận hành được thống nhất là Khối Hạ tầng &amp; Vận hành trong bản này.</w:t>
      </w:r>
    </w:p>
    <w:p>
      <w:pPr>
        <w:pStyle w:val="Heading2"/>
      </w:pPr>
      <w:r>
        <w:t>Nội dung phải bổ sung trước khi ký</w:t>
      </w:r>
    </w:p>
    <w:p>
      <w:r>
        <w:rPr>
          <w:b w:val="0"/>
        </w:rPr>
        <w:t>Mã số doanh nghiệp; điện thoại và email; văn bản về chức năng, nhiệm vụ; quyết định giao vận hành và chuyên trách; căn cứ thẩm quyền hoặc ủy quyền ký. Họ tên in tại ô ký là người dự kiến ký, không xác nhận văn bản đã được ký hoặc phê duyệt.</w:t>
      </w:r>
    </w:p>
    <w:p>
      <w:r>
        <w:rPr>
          <w:b w:val="0"/>
        </w:rPr>
        <w:t>Hồ sơ nguồn ghi Trần Văn Dũng ở cả vai trò vận hành và chuyên trách an ninh mạng. Chủ quản cần xác nhận nhân sự thực hiện kiểm tra, phân tách nhiệm vụ và cơ chế xác nhận độc lập trước khi sử dụng ý kiến chuyên môn. Quyết định phân công và bằng chứng thực hiện được lưu cùng hồ sơ.</w:t>
      </w:r>
    </w:p>
    <w:p>
      <w:r>
        <w:br w:type="page"/>
      </w:r>
    </w:p>
    <w:p>
      <w:pPr>
        <w:pStyle w:val="Heading1"/>
      </w:pPr>
      <w:r>
        <w:t>Đối chiếu thiết kế trước khi trình</w:t>
      </w:r>
    </w:p>
    <w:p>
      <w:r>
        <w:t>Đọc phụ lục 10 cùng thuyết minh 01. Phụ lục bổ sung BOM, phân vùng và giới hạn dữ liệu kế thừa từ bản 0.9.4; danh mục XN01–XN07 xác định hồ sơ cần xác nhận trước phát hành. Bộ 1 có workbook giữ đủ 129 mục nguồn để truy vết và cập nhật kết quả mới.</w:t>
      </w:r>
    </w:p>
    <w:p>
      <w:r>
        <w:t>Không dùng các trạng thái cũ của bản tham khảo thay cho kết quả đánh giá. Các mẫu công văn, tờ trình, ý kiến, quyết định và thông báo trong Bộ 2 được dùng theo điều kiện ghi trong từng văn bản. Không có chữ ký, số văn bản hoặc kết luận đánh giá được tạo thay cơ quan, tổ chức có thẩm quyền.</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hoàn thiện bộ hồ sơ đề xuất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