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Hồ sơ đề xuất cấp độ 4 hệ thống XOR SECURE CLOUD</w:t>
      </w:r>
    </w:p>
    <w:p>
      <w:pPr>
        <w:jc w:val="center"/>
      </w:pPr>
      <w:r>
        <w:rPr>
          <w:b w:val="0"/>
        </w:rPr>
        <w:t>Tài liệu thuyết minh theo Điều 21 và Điều 22 Nghị định 331 năm 2026</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 quản lý hồ sơ</w:t>
            </w:r>
          </w:p>
        </w:tc>
        <w:tc>
          <w:tcPr>
            <w:tcW w:type="dxa" w:w="635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Công ty Cổ phần XOR CLOUD</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vận hành</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Khối Hạ tầng &amp; Vận hành</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trụ sở</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Tầng 7, Tòa nhà Việt Á, số 09 phố Duy Tân, phường Cầu Giấy, TP Hà Nội</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ký dự kiến của chủ quản</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Lê Anh Vũ — Tổng Giám đốc</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hồ sơ</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XOR-CD4-HS-01 — bản dự thảo 2.2</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Tình trạng</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lần đầu; chưa có quyết định phê duyệt cấp độ hoặc chứng nhận.</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Phạm vi</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Toàn bộ XOR STACK CLOUD và dịch vụ quản trị chung tại DC Cầu Giấy, DR Nam Thăng Long.</w:t>
            </w:r>
          </w:p>
        </w:tc>
      </w:tr>
    </w:tbl>
    <w:p>
      <w:pPr>
        <w:spacing w:after="20"/>
      </w:pPr>
      <w:r>
        <w:rPr>
          <w:b w:val="0"/>
        </w:rPr>
      </w:r>
    </w:p>
    <w:p>
      <w:r>
        <w:rPr>
          <w:b w:val="0"/>
        </w:rPr>
        <w:t>Hồ sơ trình bày phương án đề xuất cấp độ 4 và kế hoạch bảo đảm an ninh mạng. Các cấu hình, dung lượng, chỉ tiêu và kết quả chưa được xác minh đều phải được bổ sung trước khi trình ký. Nội dung có cụm từ “phương án” là thiết kế dự kiến; không phải xác nhận biện pháp đã triển khai.</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TCVN 14423:2026, Điều 6 và Phụ lục A.4 được sử dụng làm cơ sở kỹ thuật đối chiếu phương án. Dự thảo tiêu chuẩn Cloud được theo dõi riêng để cải thiện thiết kế, không đưa vào căn cứ pháp lý bắt buộc của hồ sơ này.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thông tin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Chủ quản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Đơn vị vận hành</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đầy đủ</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ty Cổ phần XOR CLOUD</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Khối Hạ tầng &amp;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Mã số doanh nghiệp/định danh</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theo đăng ký doanh nghiệp]</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nội bộ của chủ quản</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Chức năng, nhiệm vụ và quyền hạn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văn bản]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quyết định giao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Đại diện và đầu mối phụ trách</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Lê Anh Vũ — Tổng Giám đốc</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Trần Văn Dũng — Giám đốc Khối Hạ tầng &amp; Vận hành</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Địa chỉ và liên hệ</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Tầng 7, Tòa nhà Việt Á, số 09 phố Duy Tân, phường Cầu Giấy, TP Hà Nội; [điện thoại/email]</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Tầng 7, Tòa nhà Việt Á, số 09 phố Duy Tân, phường Cầu Giấy, TP Hà Nội; [CẦN ĐIỀN điện thoại/email]</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 ANM</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Trung tâm Vận hành; [CẦN ĐÍNH KÈM quyết định giao nhiệm vụ]</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Trần Văn Dũng; [CẦN XÁC NHẬN phân công và cơ chế độc lập]</w:t>
            </w:r>
          </w:p>
        </w:tc>
      </w:tr>
    </w:tbl>
    <w:p>
      <w:pPr>
        <w:spacing w:after="20"/>
      </w:pPr>
      <w:r>
        <w:rPr>
          <w:b w:val="0"/>
        </w:rPr>
      </w:r>
    </w:p>
    <w:p>
      <w:r>
        <w:rPr>
          <w:b w:val="0"/>
        </w:rPr>
        <w:t>Đầu mối lập hồ sơ: Chử Quang Thắng — Giám đốc Vận hành. Tư cách chủ quản, nhiệm vụ vận hành/chuyên trách và thẩm quyền ký phải kèm văn bản phân công hoặc ủy quyền phù hợp; xác nhận cơ chế kiểm tra độc lập trước khi trình.</w:t>
      </w:r>
    </w:p>
    <w:p>
      <w:pPr>
        <w:pStyle w:val="Heading1"/>
        <w:pageBreakBefore/>
      </w:pPr>
      <w:r>
        <w:t>3 Chức năng phạm vi và quy mô</w:t>
      </w:r>
    </w:p>
    <w:p>
      <w:r>
        <w:rPr>
          <w:b w:val="0"/>
        </w:rPr>
        <w:t>XOR SECURE CLOUD là hệ thống cung cấp và quản lý tài nguyên điện toán đám mây trên nền tảng XOR STACK CLOUD do đội ngũ XOR CLOUD phát triển lại và đóng gói từ OpenStack. Phạm vi hồ sơ gồm hạ tầng, phần mềm nền tảng và các dịch vụ quản trị chung tại Trung tâm Hạ tầng IDC Cầu Giấy (DC) và Trung tâm Hạ tầng IDC Nam Thăng Long (DR).</w:t>
      </w:r>
    </w:p>
    <w:p>
      <w:r>
        <w:rPr>
          <w:b w:val="0"/>
        </w:rPr>
        <w:t>Phạm vi kỹ thuật dự kiến bao gồm máy chủ, ảo hóa, mạng, lưu trữ, portal/API, control plane, định danh và đặc quyền, quản lý khóa/chứng thư, DNS/thời gian, giám sát/nhật ký, sao lưu/DR, chuỗi phát hành và máy trạm quản trị. Danh mục dịch vụ được cung cấp thực tế và các thành phần thuê ngoài được chốt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Số liệu phải điền và tài liệu chứng minh</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phục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nhóm khách hàng, địa bàn, số tổ chức/tenant/người dùng và phạm vi toàn quốc nếu có].</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 mô hai IDC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số rack, host/controller/compute/storage/network; dung lượng; tải và năng lực dự phòng từng site].</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CHỐT IaaS/VM, network, block/object/file, K8s, DBaaS, GPU và dịch vụ quản lý thực tế].</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xử lý</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loại dữ liệu, độ nhạy cảm, dữ liệu cá nhân/quan trọng và dữ liệu thuộc quy định chuyên ngành nếu có].</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ngoài</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ISP, hệ thống khách hàng, đối tác, dịch vụ dùng chung, cơ quan quản lý và kênh liên site].</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SLA và thời gian hoạt động</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nghĩa vụ 24/7, thời gian bảo trì, RPO/RTO và điều khoản hợp đồng/BIA].</w:t>
            </w:r>
          </w:p>
        </w:tc>
      </w:tr>
    </w:tbl>
    <w:p>
      <w:pPr>
        <w:spacing w:after="2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Đối với hệ thống đang vận hành, tài liệu kèm theo phải là thiết kế thi công đã được cấp có thẩm quyền phê duyệt hoặc tài liệu có giá trị tương đương. Bản kiến trúc tham chiếu trong hồ sơ này được dùng làm phương án hoàn thiện; đơn vị vận hành phải đối chiếu và xác nhận bằng hồ sơ as-built trước khi trình.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Mã</w:t>
            </w:r>
          </w:p>
        </w:tc>
        <w:tc>
          <w:tcPr>
            <w:tcW w:type="dxa" w:w="26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 phải kèm theo</w:t>
            </w:r>
          </w:p>
        </w:tc>
        <w:tc>
          <w:tcPr>
            <w:tcW w:type="dxa" w:w="544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bắt buộc</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PL01</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Dịch vụ và ứng dụng</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chức năng, đối tượng, máy chủ/vị trí, OS, phiên bản, chủ sở hữu và phạm vi XOR quản lý.</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PL02</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Thiết bị và cấu hình vật lý</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 loại, model/serial, rack, site, vai trò, kết nối, nguồn, phiên bản và EOL.</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PL03</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vùng mạng và IP</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VLAN/VRF/VXLAN, CIDR, IP private/public, route, endpoint, owner và mục đích.</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PL04</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Luồng dữ liệu và kết nối</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Nguồn/đích/cổng/giao thức, phân loại dữ liệu, xác thực, mã hóa, log, tần suất và phê duyệt.</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PL05</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Danh mục dữ liệu và quyền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dữ liệu, mức nhạy cảm, kho, quyền, thời hạn lưu, hủy, sao lưu và khóa.</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PL06</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 backup và DR</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thuộc, quorum, miền lỗi, capacity, replica, RPO/RTO, runbook, restore và diễn tập.</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PL07</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Cấu hình và phiên bản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Baseline, inventory, SBOM, khác biệt XOR/upstream, CI/CD, phê duyệt và rollback.</w:t>
            </w:r>
          </w:p>
        </w:tc>
      </w:tr>
    </w:tbl>
    <w:p>
      <w:pPr>
        <w:spacing w:after="20"/>
      </w:pPr>
      <w:r>
        <w:rPr>
          <w:b w:val="0"/>
        </w:rPr>
      </w:r>
    </w:p>
    <w:p>
      <w:r>
        <w:rPr>
          <w:b w:val="0"/>
        </w:rPr>
        <w:t>Trạng thái hiện tại: [CẦN ĐÍNH KÈM bộ thiết kế thực tế, số/ngày phê duyệt và danh mục phiên bản]. Dải IP, số lượng node và sản phẩm cụ thể trong tài liệu cũ không được dùng làm số liệu hiện trạng nếu chưa xác minh.</w:t>
      </w:r>
    </w:p>
    <w:p>
      <w:pPr>
        <w:pStyle w:val="Heading1"/>
        <w:pageBreakBefore/>
      </w:pPr>
      <w:r>
        <w:t>2 Sơ đồ kiến trúc tham chiếu</w:t>
      </w:r>
    </w:p>
    <w:p>
      <w:r>
        <w:drawing>
          <wp:inline xmlns:a="http://schemas.openxmlformats.org/drawingml/2006/main" xmlns:pic="http://schemas.openxmlformats.org/drawingml/2006/picture">
            <wp:extent cx="5544000" cy="7023139"/>
            <wp:docPr id="1" name="Picture 1"/>
            <wp:cNvGraphicFramePr>
              <a:graphicFrameLocks noChangeAspect="1"/>
            </wp:cNvGraphicFramePr>
            <a:graphic>
              <a:graphicData uri="http://schemas.openxmlformats.org/drawingml/2006/picture">
                <pic:pic>
                  <pic:nvPicPr>
                    <pic:cNvPr id="0" name="01-Kien-truc-tong-the-XOR-CD4.png"/>
                    <pic:cNvPicPr/>
                  </pic:nvPicPr>
                  <pic:blipFill>
                    <a:blip r:embed="rId11"/>
                    <a:stretch>
                      <a:fillRect/>
                    </a:stretch>
                  </pic:blipFill>
                  <pic:spPr>
                    <a:xfrm>
                      <a:off x="0" y="0"/>
                      <a:ext cx="5544000" cy="7023139"/>
                    </a:xfrm>
                    <a:prstGeom prst="rect"/>
                  </pic:spPr>
                </pic:pic>
              </a:graphicData>
            </a:graphic>
          </wp:inline>
        </w:drawing>
      </w:r>
    </w:p>
    <w:p>
      <w:pPr>
        <w:pStyle w:val="Caption"/>
      </w:pPr>
      <w:r>
        <w:rPr>
          <w:b w:val="0"/>
        </w:rPr>
        <w:t>Hình 1. Phương án mục tiêu cho toàn nền tảng. Bổ sung sơ đồ hiện trạng lô-gic và vật lý đã xác nhận tại PL02–PL04. Các thành phần bảo mật thể hiện trên hình chưa được xác nhận đã triển khai.</w:t>
      </w:r>
    </w:p>
    <w:p>
      <w:pPr>
        <w:pStyle w:val="Heading1"/>
        <w:pageBreakBefore/>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Vùng</w:t>
            </w:r>
          </w:p>
        </w:tc>
        <w:tc>
          <w:tcPr>
            <w:tcW w:type="dxa" w:w="670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Chức năng và giới hạn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Z01 Biên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Kết nối ISP, chống DDoS, NGFW/IPS và cổng VPN/ZTNA; tách listener quản trị.</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Z02 DMZ</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WAF, API gateway/LB và endpoint công khai được duyệt; chặn truy cập trực tiếp origin.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Z03 Nội bộ</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dùng nội bộ và thiết bị; kiểm soát kết nối bằng NAC hoặc tương đương.</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Z04 Tài nguyên tenant</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VM/container, project/SG/policy; tách tenant và môi trường.</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Z05 Dữ liệu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DB, block/object/file; tách mạng lưu trữ, quyền và khóa theo phạm vi.</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Z06 Quản trị</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IAM, PKI/KMS và dịch vụ quản trị; phân khu chức năng; không truy cập Internet trực tiếp.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Z07 Điều khiển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Controller/API nội bộ, DB trạng thái và hàng đợi; mTLS/ACL theo phiên bản.</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Z08 An ninh</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SOC, collector, SIEM và kho log khác vùng phát sinh; quyền quản trị độc lập.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Z09 Sao lưu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và miền quản trị độc lập; kiểm soát xóa, phiên bản và mã hóa.</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Z10 Ngoài băng</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BMC/console và quản trị thiết bị; chỉ qua đích quản trị được phép.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Z11 Phát triển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Git/CI/build/registry/dev/test, tách production và bí mật.</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Z12 Liên site</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Đồng bộ DC–DR trên kết nối riêng được bảo vệ; chỉ cho phép peer/luồng đã duyệt.</w:t>
            </w:r>
          </w:p>
        </w:tc>
      </w:tr>
    </w:tbl>
    <w:p>
      <w:pPr>
        <w:spacing w:after="2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pPr>
      <w:r>
        <w:t>4 Phương án nền tảng dữ liệu và phục hồi</w:t>
      </w:r>
    </w:p>
    <w:p>
      <w:pPr>
        <w:pStyle w:val="Heading2"/>
      </w:pPr>
      <w:r>
        <w:t>4 1 Nền tảng XOR STACK CLOUD</w:t>
      </w:r>
    </w:p>
    <w:p>
      <w:r>
        <w:rPr>
          <w:b w:val="0"/>
        </w:rPr>
        <w:t>Mỗi IDC được thiết kế thành cụm độc lập, có quorum nội bộ cho các thành phần yêu cầu đồng thuận. Việc bố trí số controller, DB, queue, compute và storage căn cứ vào bản dựng được hỗ trợ và phép đo tải. Không mặc định kéo dài một cụm đồng thuận hoặc miền lỗi duy nhất qua DC và DR. Hệ thống Neutron/SDN, hypervisor và storage được kiểm tra cách ly tenant, metadata, console, snapshot và tái cấp phát tài nguyên.</w:t>
      </w:r>
    </w:p>
    <w:p>
      <w:pPr>
        <w:pStyle w:val="Heading2"/>
      </w:pPr>
      <w:r>
        <w:t>4 2 Bảo vệ dữ liệu và khóa</w:t>
      </w:r>
    </w:p>
    <w:p>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Đối với cơ chế kiểm soát rủi ro tương đương phải có phân tích và bằng chứng kiểm chứng, không chỉ ghi tên giải pháp.</w:t>
      </w:r>
    </w:p>
    <w:p>
      <w:pPr>
        <w:pStyle w:val="Heading2"/>
      </w:pPr>
      <w:r>
        <w:t>4 3 Sao lưu và DR</w:t>
      </w:r>
    </w:p>
    <w:p>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pPr>
      <w:r>
        <w:t>4 4 Độc lập dịch vụ phục hồi</w:t>
      </w:r>
    </w:p>
    <w:p>
      <w:r>
        <w:rPr>
          <w:b w:val="0"/>
        </w:rPr>
        <w:t>Tài liệu khôi phục và bí mật khẩn cấp được lưu ở nơi truy cập được khi nền tảng dừng. Đơn vị vận hành lập đồ thị phụ thuộc và kiểm thử khởi động nguội để phát hiện vòng phụ thuộc. Các nội dung kỹ thuật nêu trên là phương án đề xuất, cần đối chiếu bằng chứng triển khai và biên bản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được đề xuất xem xét theo loại hệ thống cơ sở hạ tầng thông tin cung cấp tài nguyên điện toán đám mây. Việc phân loại và đề xuất cấp độ phải dựa trên chức năng, phạm vi phục vụ, loại thông tin và hậu quả rủi ro thực tế; tên sản phẩm hoặc mục tiêu kinh doanh không đủ để xác định cấp độ. [S1, Điều 14 và 22]</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Tiêu chí Điều 14</w:t>
            </w:r>
          </w:p>
        </w:tc>
        <w:tc>
          <w:tcPr>
            <w:tcW w:type="dxa" w:w="5597"/>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chứng minh đối với XOR</w:t>
            </w:r>
          </w:p>
        </w:tc>
        <w:tc>
          <w:tcPr>
            <w:tcW w:type="dxa" w:w="212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Tình trạng</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1</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tin bí mật nhà nước/quốc phòng/an ninh và hậu quả nghiêm trọng nếu thực tế có phục vụ.</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bằng chứng; không tự khai có.</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2</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Hạ tầng phục vụ cơ quan/tổ chức phạm vi toàn quốc, yêu cầu 24/7 và không chấp nhận ngừng không có kế hoạch. Cần phạm vi khách hàng, nghĩa vụ dịch vụ và BIA.</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Tiêu chí cần xem xét; chưa được xác nhận.</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3</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Hệ thống điều khiển công nghiệp phục vụ công trình thuộc trường hợp được quy định.</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thông tin áp dụng.</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4</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Quyết định của Thủ tướng hoặc kết quả đánh giá theo Khung quản lý rủi ro an ninh mạng trong trường hợp tương ứng.</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Chỉ viện dẫn khi có căn cứ hợp lệ.</w:t>
            </w:r>
          </w:p>
        </w:tc>
      </w:tr>
    </w:tbl>
    <w:p>
      <w:pPr>
        <w:spacing w:after="20"/>
      </w:pPr>
      <w:r>
        <w:rPr>
          <w:b w:val="0"/>
        </w:rPr>
      </w:r>
    </w:p>
    <w:p>
      <w:r>
        <w:rPr>
          <w:b w:val="0"/>
        </w:rPr>
        <w:t>Tiêu chí được chọn để trình: [CẦN CHỐT KHOẢN ĐIỀU 14]. Bằng chứng: [CẦN LIỆT KÊ mã tài liệu, hợp đồng/phạm vi phục vụ, BIA và kết quả đánh giá]. Đề xuất cấp độ 4 hiện là mục tiêu lập hồ sơ; chủ quản phải xác nhận căn cứ trước khi gửi xin ý kiến/thẩm định.</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Đối chiếu PL04 và BIA để không bỏ sót các phụ thuộc IAM, DNS, khóa, ISP, IDC và nhà cung cấp. [S1, Điều 22.5 a]</w:t>
      </w:r>
    </w:p>
    <w:p>
      <w:pPr>
        <w:pStyle w:val="Heading1"/>
        <w:pageBreakBefore/>
      </w:pPr>
      <w:r>
        <w:t>3 Báo cáo đánh giá rủi ro chi tiết</w:t>
      </w:r>
    </w:p>
    <w:p>
      <w:r>
        <w:rPr>
          <w:b w:val="0"/>
        </w:rPr>
        <w:t>Phương pháp nội bộ đề xuất gồm: xác định tài sản và dịch vụ, nhận diện mối đe dọa/điểm yếu, xác định khả năng và tác động, đánh giá kiểm soát, quyết định xử lý, đánh giá tồn dư và phê duyệt. Thang 5×5 trong workbook là công cụ nội bộ cần được chủ quản duyệt; không tự thay thế Khung quản lý rủi ro an ninh mạng hoặc tiêu chí pháp lý cấp độ.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Rủi ro cần đánh giá</w:t>
            </w:r>
          </w:p>
        </w:tc>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Tác động phải làm rõ</w:t>
            </w:r>
          </w:p>
        </w:tc>
        <w:tc>
          <w:tcPr>
            <w:tcW w:type="dxa" w:w="315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Kiểm soát dự kiến</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RR01 Tài khoản cloud admin bị chiếm hoặc lạm dụng</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Lộ/sửa dữ liệu nhiều tenant; ảnh hưởng dịch vụ diện rộng</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MFA, tách quyền, log độc lập</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RR02 Vượt ranh giới tenant qua API hoặc SDN</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 dữ liệu, thay đổi trái phép tài nguyên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RBAC, SG, kiểm tra sở hữu và cách ly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RR03 Ransomware phá cả bản chính và bản sao</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khôi phục được dịch vụ và dữ liệu</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độc lập, bất biến, tách quyền và restore</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RR04 Mất toàn bộ IDC Cầu Giấy</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Gián đoạn đồng thời nhiều dịch vụ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DR độc lập, replica, fencing, capacity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RR05 Mất kênh liên site hoặc hai site ghi đồng thời</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Dữ liệu không nhất quán hoặc mất giao dịch</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dõi lag, quorum riêng, fencing và quy trình DR</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RR06 Mất khóa hoặc vòng phụ thuộc phục hồi</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Có bản sao nhưng không giải mã/dựng được hệ thống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Backup khóa, bí mật khẩn cấp và cold start</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RR07 Lỗ hổng hoặc mã độc trong bản đóng gói XOR</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Tấn công chuỗi cung ứng vào nhiều host/tenant</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SBOM, review, ký image, gate và rollback</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RR08 DDoS hoặc lỗi thiết bị mạng/ISP</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Mất truy cập dịch vụ công khai, suy giảm khả dụng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ISP, chống DDoS, FW/LB HA</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RR09 SOC thiếu nguồn log hoặc mất dấu vết</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phát hiện hoặc điều tra được sự cố</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Ma trận nguồn, retention, chống sửa/xóa</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RR10 Sự cố khu vực ảnh hưởng cả DC và DR</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IDC cùng gián đoạn do điện/cáp/thiên tai hoặc nhà cung cấp</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tích miền lỗi chung, bản sao và kế hoạch thay thế</w:t>
            </w:r>
          </w:p>
        </w:tc>
      </w:tr>
    </w:tbl>
    <w:p>
      <w:pPr>
        <w:spacing w:after="20"/>
      </w:pPr>
      <w:r>
        <w:rPr>
          <w:b w:val="0"/>
        </w:rPr>
      </w:r>
    </w:p>
    <w:p>
      <w:r>
        <w:rPr>
          <w:b w:val="0"/>
        </w:rPr>
        <w:t>Điểm, căn cứ và rủi ro còn lại: [CẦN HOÀN THIỆN sổ rủi ro với tài sản, khả năng, tác động, người phụ trách, bằng chứng, thời hạn và quyết định chấp nhận]. Danh mục trên là đầu vào đánh giá, chưa phải báo cáo đánh giá đã hoàn thành.</w:t>
      </w:r>
    </w:p>
    <w:p>
      <w:pPr>
        <w:pStyle w:val="Heading1"/>
        <w:pageBreakBefore/>
      </w:pPr>
      <w:r>
        <w:t>4 Phân tích tác động và yêu cầu liên tục</w:t>
      </w:r>
    </w:p>
    <w:p>
      <w:r>
        <w:rPr>
          <w:b w:val="0"/>
        </w:rPr>
        <w:t>Đối với từng dịch vụ thiết yếu, cần lượng hóa số khách hàng và hệ thống bị ảnh hưởng, dữ liệu có thể mất/lộ/sửa, thời gian gián đoạn, hậu quả tài chính, pháp lý và tác động tới lợi ích công cộng, trật tự, an toàn xã hội hoặc an ninh quốc gia nếu có. Mọi kết luận về hậu quả phải kèm nguồn, giả định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Dịch vụ</w:t>
            </w:r>
          </w:p>
        </w:tc>
        <w:tc>
          <w:tcPr>
            <w:tcW w:type="dxa" w:w="359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Phụ thuộc cần đối chiếu</w:t>
            </w:r>
          </w:p>
        </w:tc>
        <w:tc>
          <w:tcPr>
            <w:tcW w:type="dxa" w:w="3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Chỉ tiêu và căn cứ</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DV01 IAM và quyền quản trị</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IdP, Keystone, MFA, PAM</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DV02 Khóa và chứng thư</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KMS/HSM, PKI, bản sao khóa</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DV03 Điều khiển cloud</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API, DB trạng thái, queue, SDN controller</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DV04 Máy ảo và container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Compute, network, image, storage</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DV05 Dữ liệu và lưu trữ</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Block, object, file, DB theo dịch vụ</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DV06 DNS và thời gian</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DNS nội bộ/công khai, NTP</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DV07 SOC và nhật ký</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Collector, SIEM, kho log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DV08 Sao lưu và DR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Repository, replication, runbook</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DV09 Phát hành XOR</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 CI/CD, registry, signing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bl>
    <w:p>
      <w:pPr>
        <w:spacing w:after="20"/>
      </w:pPr>
      <w:r>
        <w:rPr>
          <w:b w:val="0"/>
        </w:rPr>
      </w:r>
    </w:p>
    <w:p>
      <w:r>
        <w:rPr>
          <w:b w:val="0"/>
        </w:rPr>
        <w:t>Nếu viện dẫn Điều 14 khoản 2, thuyết minh riêng yêu cầu vận hành 24/7 và việc không chấp nhận ngừng vận hành không có kế hoạch trước; xác định bên yêu cầu, loại gián đoạn, tác động và biện pháp đáp ứng. [S1, Điều 22.5 d]</w:t>
      </w:r>
    </w:p>
    <w:p>
      <w:r>
        <w:rPr>
          <w:b w:val="0"/>
        </w:rPr>
        <w:t>Các chỉ tiêu RPO 15 phút/RTO 4 giờ từng nêu trong kiến trúc mẫu trước đây chỉ là ví dụ thiết kế, không được chuyển thành cam kết hoặc bằng chứng hiện trạng. Bản hồ sơ này để trống chỉ tiêu cho đến khi chủ dịch vụ và chủ quản phê duyệt.</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lập tại tài liệu 02, gồm mã đối chiếu, điều khoản/trang, yêu cầu diễn giải, phương án áp dụng tại XOR và bằng chứng cần có. Tài liệu 03 quy định trách nhiệm và các bước thực hiện. Trước trình ký, đơn vị vận hành bổ sung cấu hình thực tế, tài liệu ban hành và kết quả kiểm tra vào các vị trí quy định.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Nhóm</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Phương án tổ chức thực hiện</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rủi ro và tài sản</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CMDB, phân loại dữ liệu, BIA, quản lý thay đổi và sổ rủi ro; cập nhật theo tần suất từng điều khoản.</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và đặc quyền</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khoản cá nhân, quyền tối thiểu, MFA, PAM, tách vận hành/bảo mật/kiểm toán, thu hồi theo vòng đời.</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 và nền tảng</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vùng, microsegmentation, HA, FW/IPS/WAF/DDoS/DBF/NAC hoặc giải pháp tương đương có kiểm chứng; bảo vệ API và tenant.</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khôi phục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khóa, toàn vẹn, DLP, chữ ký số khi áp dụng; sao lưu độc lập; kiểm thử restore và DR.</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và ứng phó</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SOC 24/7, log tối thiểu 6 tháng, đồng bộ thời gian, kho tách mạng, EDR, cảnh báo và playbook.</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Phát triển và đánh giá</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SSDLC cho bản fork XOR; SBOM, kiểm tra mã nguồn/dependency, kiểm thử trước phát hành, pentest trong/ngoài, retest.</w:t>
            </w:r>
          </w:p>
        </w:tc>
      </w:tr>
    </w:tbl>
    <w:p>
      <w:pPr>
        <w:spacing w:after="20"/>
      </w:pPr>
      <w:r>
        <w:rPr>
          <w:b w:val="0"/>
        </w:rPr>
      </w:r>
    </w:p>
    <w:p>
      <w:pPr>
        <w:pStyle w:val="Heading2"/>
      </w:pPr>
      <w:r>
        <w:t>2 Điều kiện đối với giải pháp tương đương</w:t>
      </w:r>
    </w:p>
    <w:p>
      <w:r>
        <w:rPr>
          <w:b w:val="0"/>
        </w:rPr>
        <w:t>Trường hợp tiêu chuẩn cho phép phương án tương đương, hồ sơ phải xác định yêu cầu gốc, rủi ro, kiến trúc kiểm soát, khả năng bảo vệ đạt được, giới hạn, kết quả thử và người chấp thuận. Không dùng một câu cam kết chung hoặc chỉ tên sản phẩm để thay thuyết minh và bằng chứng.</w:t>
      </w:r>
    </w:p>
    <w:p>
      <w:pPr>
        <w:pStyle w:val="Heading1"/>
        <w:pageBreakBefore/>
      </w:pPr>
      <w:r>
        <w:t>3 Bảo đảm an toàn vật lý và trách nhiệm thuê ngoài</w:t>
      </w:r>
    </w:p>
    <w:p>
      <w:r>
        <w:rPr>
          <w:b w:val="0"/>
        </w:rPr>
        <w:t>Các yêu cầu A.4 được kiểm tra riêng tại DC Cầu Giấy và DR Nam Thăng Long. Chủ quản yêu cầu IDC cung cấp bằng chứng phù hợp phạm vi phòng/rack XOR, bao gồm vị trí, điện/UPS, PCCC, chống sét, chống nước, tĩnh điện, môi trường, bảo vệ điện từ, camera và kiểm soát ra vào. Chứng chỉ của IDC chỉ là một nguồn bằng chứng; cần xác minh phạm vi và hiệu lực, không thay kết quả kiểm tra từng yêu cầu.</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XOR</w:t>
            </w:r>
          </w:p>
        </w:tc>
        <w:tc>
          <w:tcPr>
            <w:tcW w:type="dxa" w:w="378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IDC hoặc bên cung cấp</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Rack thiết bị và tài sản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lý thiết bị, người được phép, niêm phong/bàn giao và inventory.</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Hạ tầng phòng máy, điều kiện vật lý và kiểm soát vào/ra theo hợp đồng.</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Điện và môi trường</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Đấu nối, giám sát tải, cảnh báo và phối hợp bảo trì.</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hai nguồn từ hai trạm khác nhau, UPS, điều hòa, chống cháy/nước/sét theo A.4.</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Camera và ra vào</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người, rà soát log liên quan, xử lý bất thường.</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24/7, lưu camera tối thiểu 6 tháng, cung cấp trích xuất theo thẩm quyền.</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Sự cố</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phản ứng với hệ thống, thông tin khách hàng theo trách nhiệm.</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báo sự cố cơ sở, hỗ trợ điều tra/phục hồi theo SLA.</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định kỳ</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Tổ chức kiểm tra, đối soát bằng chứng và theo dõi khắc phục.</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Cung cấp hồ sơ, tham gia kiểm tra theo hợp đồng và phạm vi cho phép.</w:t>
            </w:r>
          </w:p>
        </w:tc>
      </w:tr>
    </w:tbl>
    <w:p>
      <w:pPr>
        <w:spacing w:after="2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Giai đoạn</w:t>
            </w:r>
          </w:p>
        </w:tc>
        <w:tc>
          <w:tcPr>
            <w:tcW w:type="dxa" w:w="5324"/>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Kết quả phải có</w:t>
            </w:r>
          </w:p>
        </w:tc>
        <w:tc>
          <w:tcPr>
            <w:tcW w:type="dxa" w:w="21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Đầu mối và hạn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1 Xác minh đầu vào</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Pháp nhân, thẩm quyền, phạm vi, tiêu chí Điều 14, dữ liệu và dịch vụ.</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người và hạn]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2 Xác nhận hiện trạng</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Bộ as-built, CMDB, phiên bản, IP và các phụ lục PL01–PL07.</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3 Bổ sung kiểm soát</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từng thiếu sót trong TCVN/Cloud; phê duyệt thay đổi, triển khai và lưu bằng chứng.</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4 Kiểm tra và retest</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T01–T12; báo cáo độc lập, BIA/RPO/RTO đo được, đóng phát hiện.</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5 Ý kiến và thẩm định</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Ý kiến chuyên trách; công văn và bộ hồ sơ đúng phiên bản; giải trình khi yêu cầu.</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6 Phê duyệt và duy trì</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Quyết định chủ quản; thông báo đúng phạm vi; lịch vận hành, kiểm tra và cập nhật.</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bl>
    <w:p>
      <w:pPr>
        <w:spacing w:after="2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r>
        <w:rPr>
          <w:b w:val="0"/>
        </w:rPr>
        <w:t>Ý kiến thẩm định HS07 phải do cơ quan có thẩm quyền phát hành; ý kiến chuyên môn HS05 phải do đơn vị chuyên trách thực hiện. Tài liệu này không tự tạo kết quả của các chủ thể đó. Báo cáo rà soát và bằng chứng kỹ thuật HS10–HS16 được quản lý cùng danh mục tài liệu kèm theo.</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Phụ lục PL01 Danh mục dịch vụ và ứng dụng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dịch vụ; tên; chức năng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và phạm vi phục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 khách hàng; địa bàn; số tenant; nghiệp vụ]</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dịch vụ; đơn vị quản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chức năng; đầu mối]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vị trí triển khai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[DC/DR; asset ID; cụm; vùng mạng; endpoint]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Phần mềm và hệ điều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phiên bản; bản dựng; giấy phép; EOL]</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dịch vụ phụ thuộc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PL05; IAM/DNS/KMS/DB/queue/storage và bên ngoài]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trách nhiệm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[XOR/khách hàng/nhà cung cấp; dẫn hợp đồng]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và nghĩa vụ dịch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dung lượng; SLA; lịch hoạt động; dẫn BIA]</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liệu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[Hợp đồng; CMDB; thiết kế; biên bản; mã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tài sản; loại; vai trò</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không gộp nhiều thiết bị khác cấu hình]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và vị trí</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[Cầu Giấy/Nam Thăng Long; phòng; rack; U; địa chỉ thực tế]</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Nhà sản xuất; model; serial</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Cấu hình và phiên bản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[CPU/RAM/disk/NIC; firmware; hypervisor/OS; license]</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vật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[Cổng; peer; fabric A/B; tốc độ; loại cáp; bản vẽ số]</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miền lỗi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[PDU/UPS/nguồn A/B; rack; failure domain]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Bảo trì và vòng đời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hợp đồng; EOL/EOS; lịch bảo trì]</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Trách nhiệm và hiện trạng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người quản lý; hoạt động/dự phòng; ngày kiểm kê]</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vật lý; số/ngày phê duyệt hoặc tài liệu tương đương;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mạng; chức năng; site</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vùng Z01–Z12 tương ứng]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phân đoạn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[VLAN; VRF; VXLAN/VNI; project; network ID]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và điểm cuối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[CIDR; gateway; IP private/public; VIP; FQDN; asset ID]</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tuyến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[Bảng route; next-hop; miền định tuyến; đích được phép]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và kiểm soát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[FW/SG/ACL/SDN; mã rule; chặn mặc định; chống giả mạo]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và truy cập Internet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[Đường PAM; OOB; kiểm chứng mạng quản trị không kết nối Internet]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[Peer; fabric; LB; DNS; NTP; khả năng failover]</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mạng và thay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đầu mối; ticket; ngày phê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lô-gic; bảng IP; export route/rule đã xử lý bí mật;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luồng; mục đích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căn cứ nghiệp vụ]</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Hệ thống nguồn và đích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chủ quản; cấp độ đã phê duyệt nếu có; bên chịu trách nhiệm]</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Điểm kết nối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vùng; asset/IP/FQDN; cổng; giao thức; chiều khởi tạo]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trao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dữ liệu PL05; phân loại; dung lượng/tần suất]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Xác thực và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tính kỹ thuật; phạm vi quyền; cơ chế xác thực; chu kỳ đổi khóa]</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kiểm tra toàn vẹn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[Giao thức; bộ mật mã; chứng thư; cơ chế bảo vệ theo phân loại]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soát tại biên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[Rule/allowlist; WAF/IPS/gateway; kiểm soát tương đương nếu áp dụng]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Nhật ký và giám sát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[Trường log; đích collector; retention; cảnh báo; người quản lý]</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và kiểm thử</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duyệt; thời hạn; ticket; phép thử cho phép/từ chối;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tập dữ liệu; mô tả</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nguồn và mục đích xử lý]</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và trách nhiệm</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dữ liệu; bên xử lý; XOR/khách hàng; căn cứ hợp đồng]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loại và căn cứ</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[Độ nhạy cảm; nghĩa vụ pháp lý/chuyên ngành; người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Nơi lưu và bản sao</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hệ thống; volume/bucket/DB; replica; backup; môi trường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Ma trận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[Nhóm/danh tính; đọc/ghi/xuất/xóa; phê duyệt; ngày rà soát]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quản lý khóa</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[Khi truyền/lưu; KMS/HSM nếu dùng; chủ khóa; khôi phục/thu hồi]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và hủy</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căn cứ; phương pháp; bản sao; biên bản xác minh]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và phục hồi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[Audit/DLP/toàn vẹn; job backup; RPO/RTO;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mục; cấu hình che bí mật; log; ticket quyền;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và mục tiêu được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PL01/BIA; RPO; RTO; MTD; người/ngày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Phụ thuộc và thứ tự khôi phục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[Mạng/thời gian/DNS/IAM/KMS/storage/DB/queue/API/workload]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quorum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[Cụm tại từng IDC; số thành viên; failure domain; ngưỡng chịu lỗi]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Sao lưu</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liệu/cấu hình/khóa; job; lịch; retention; mã hóa; kho độc lập]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Đồng bộ DC–DR</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[Cơ chế; chiều; lịch; độ trễ đo; băng thông; kiểm tra nhất quán]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DR và rủi ro chung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đáp ứng; nguồn điện; ISP/tuyến cáp; rủi ro đồng thời; biện pháp]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Kích hoạt và chuyển đổi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[Ngưỡng; người quyết định; fencing; runbook; truyền thông]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Chuyển về và khởi động nguội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[Điều kiện; đồng bộ ngược; rollback; bí mật khẩn cấp;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quả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[Ngày; kịch bản; RPO/RTO đo được; đối soát; tồn tại;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phạm vi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site; asset/cụm; môi trường]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bản dựng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[OpenStack upstream; phiên bản XOR; commit/tag; digest]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Khác biệt và thành phần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vá/tùy biến; SBOM; thư viện; giấy phép; hỗ trợ]</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Baseline cấu hình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[Mã/phiên bản; hardening; IAM; log; giao thức; người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Chuỗi phát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[Kho mã; pipeline; runner; registry; người review và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trước phát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[SAST/SCA/secret scan/DAST/pentest; phạm vi; kết quả; retest]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Triển khai và quay lui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[Ticket; ngày; cửa sổ; bản trước/sau; phương án rollback]</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vận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[Drift; CVE; vá; EOL; tương thích và hiệu năng]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và phê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[Release manifest; log triển khai; biên bản; người ký;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