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TÀI LIỆU KỸ THUẬT</w:t>
      </w:r>
    </w:p>
    <w:p>
      <w:pPr>
        <w:pStyle w:val="Title"/>
        <w:spacing w:line="276" w:lineRule="auto" w:before="0" w:after="280"/>
        <w:ind w:firstLine="0"/>
        <w:jc w:val="center"/>
      </w:pPr>
      <w:r>
        <w:rPr>
          <w:rFonts w:ascii="Times New Roman" w:hAnsi="Times New Roman"/>
          <w:b/>
          <w:i w:val="0"/>
          <w:color w:val="000000"/>
          <w:sz w:val="30"/>
        </w:rPr>
        <w:t>KẾ HOẠCH ĐỐI SOÁT THIẾT KẾ</w:t>
        <w:br/>
        <w:t>VÀ TỒN TẠI TỪ HỒ SƠ THAM KHẢO</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Bổ sung cho sổ tay và checklist kỹ thuật</w:t>
      </w:r>
    </w:p>
    <w:p>
      <w:pPr>
        <w:spacing w:line="276" w:lineRule="auto" w:before="0" w:after="1120"/>
        <w:ind w:firstLine="0"/>
        <w:jc w:val="center"/>
      </w:pPr>
      <w:r>
        <w:rPr>
          <w:rFonts w:ascii="Times New Roman" w:hAnsi="Times New Roman"/>
          <w:b w:val="0"/>
          <w:i w:val="0"/>
          <w:color w:val="000000"/>
          <w:sz w:val="26"/>
        </w:rPr>
        <w:t>Nền tảng XOR STACK CLOUD dựa trên OpenStack</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color w:val="000000"/>
          <w:sz w:val="24"/>
        </w:rPr>
        <w:t>Bản dự thảo 2.3 chưa ký ban hành</w:t>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Khối Hạ tầng &amp; Vận hành sử dụng tài liệu này để đối soát thiết kế trong bản 0.9.4 với nền tảng đang vận hành tại DC Cầu Giấy và DR Nam Thăng Long. Đầu ra cần có là danh mục tài sản được xác nhận, các thay đổi đã nghiệm thu và bằng chứng gắn với từng kiểm soát.</w:t>
      </w:r>
    </w:p>
    <w:p>
      <w:pPr>
        <w:pStyle w:val="Heading2"/>
      </w:pPr>
      <w:r>
        <w:t>1 Dữ liệu kế thừa và cách xác nhận</w:t>
      </w:r>
    </w:p>
    <w:p>
      <w:r>
        <w:rPr>
          <w:b w:val="0"/>
        </w:rPr>
        <w:t>Nguồn tham khảo: XOR_SECURE_CLOUD_Ho_so_Cap_do_4_v0.9.4.docx, ngày lập 06/10/2026; Phần II–III, Phụ lục D–G. Số liệu BOM/VLAN là thiết kế ghi trong nguồn, chưa có biên bản kiểm kê hoặc nghiệm thu đi kèm. Không tự phân bổ BOM này cho DC hoặc nhân đôi thành cấu hình DR.</w:t>
      </w:r>
    </w:p>
    <w:tbl>
      <w:tblPr>
        <w:tblW w:type="auto" w:w="0"/>
        <w:jc w:val="center"/>
        <w:tblLayout w:type="fixed"/>
        <w:tblLook w:firstColumn="1" w:firstRow="1" w:lastColumn="0" w:lastRow="0" w:noHBand="0" w:noVBand="1" w:val="04A0"/>
      </w:tblPr>
      <w:tblGrid>
        <w:gridCol w:w="2520"/>
        <w:gridCol w:w="6551"/>
      </w:tblGrid>
      <w:tr>
        <w:trPr>
          <w:cantSplit/>
          <w:tblHeader/>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Cách dùng khi rà soát</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Tổ chức và phạm vi</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Dùng tên Công ty Cổ phần XOR CLOUD; Khối Hạ tầng &amp; Vận hành; toàn bộ XOR STACK CLOUD và quản trị chung. Hai IDC theo xác nhận của chủ quản cung cấp hồ sơ.</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129 mục cũ</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Giữ đủ mã, nội dung, trạng thái và tồn tại trong workbook 04_Doi_soat_129_hang_muc_v094.xlsx. Cột kết quả hiện tại tách riêng và bắt đầu Chưa xác minh.</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119 dòng TC và 18 dòng CL</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Tiếp tục dùng workbook 02 để kiểm tra yêu cầu đã diễn giải. Số dòng nội bộ không phải số điều khoản hoặc chứng nhận; không cộng 129 với 119 thành số kiểm soát đã đáp ứng.</w:t>
            </w:r>
          </w:p>
        </w:tc>
      </w:tr>
      <w:tr>
        <w:trPr>
          <w:cantSplit/>
        </w:trPr>
        <w:tc>
          <w:tcPr>
            <w:tcW w:type="dxa" w:w="25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thiếu</w:t>
            </w:r>
          </w:p>
        </w:tc>
        <w:tc>
          <w:tcPr>
            <w:tcW w:type="dxa" w:w="65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Điền kết quả thật, người kiểm tra, ngày và EV. Mọi khác biệt với nguồn phải có kết luận giữ, sửa, thay thế hoặc không áp dụng có căn cứ.</w:t>
            </w:r>
          </w:p>
        </w:tc>
      </w:tr>
    </w:tbl>
    <w:p>
      <w:pPr>
        <w:spacing w:line="240" w:lineRule="auto" w:after="20" w:before="0"/>
        <w:ind w:firstLine="0"/>
      </w:pPr>
      <w:r>
        <w:rPr>
          <w:b w:val="0"/>
        </w:rPr>
      </w:r>
    </w:p>
    <w:p>
      <w:r>
        <w:rPr>
          <w:b w:val="0"/>
        </w:rPr>
        <w:t>Thống kê trong bản nguồn: 97 Chưa đánh giá; 21 Đang thực hiện; 6 Không đạt; 4 Cần xác minh; 1 Đạt. Đây là trạng thái lịch sử của tài liệu tham khảo, không phải kết quả đánh giá hiện tại.</w:t>
      </w:r>
    </w:p>
    <w:p>
      <w:pPr>
        <w:pStyle w:val="Heading1"/>
        <w:pageBreakBefore/>
      </w:pPr>
      <w:r>
        <w:t>2 ĐỐI SOÁT THIẾT BỊ VÀ NĂNG LỰC</w:t>
      </w:r>
    </w:p>
    <w:p>
      <w:r>
        <w:rPr>
          <w:b w:val="0"/>
        </w:rPr>
        <w:t>Nguồn: Phần II mục 4, trang 12–13 của bản 0.9.4. Kỹ thuật bổ sung serial, site/rack/U, đường điện A/B, NIC–switch, firmware, hạn hỗ trợ và mã EV cho từng thiết bị.</w:t>
      </w:r>
    </w:p>
    <w:tbl>
      <w:tblPr>
        <w:tblW w:type="auto" w:w="0"/>
        <w:jc w:val="center"/>
        <w:tblLayout w:type="fixed"/>
        <w:tblLook w:firstColumn="1" w:firstRow="1" w:lastColumn="0" w:lastRow="0" w:noHBand="0" w:noVBand="1" w:val="04A0"/>
      </w:tblPr>
      <w:tblGrid>
        <w:gridCol w:w="1338"/>
        <w:gridCol w:w="1784"/>
        <w:gridCol w:w="2974"/>
        <w:gridCol w:w="2974"/>
      </w:tblGrid>
      <w:tr>
        <w:trPr>
          <w:cantSplit/>
          <w:tblHeader/>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SL và model nguồn</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Quy hoạch nguồn</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Việc cần chốt</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Controller</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Dell R630</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128 GB RAM/node; 2 × 480 GB OS và 2 × 800 GB/node; máy 1–2 kiêm SEED.</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vai trò ổ 800 GB, NIC 10/25 Gb, placement và inventory.</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Dell R630</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512 GB RAM/node; 2 × 480 GB OS/node; máy 4–6.</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gateway/agent đồng vị trí, uplink và năng lực khi mất một host.</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SSD</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Dell R630</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128 GB RAM/node; 10 ổ 1,92 TB phân bố 4/3/3; 19,2 TB raw.</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CRUSH, replica, dung lượng sử dụng và thử recovery.</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SAN</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01 chưa rõ model</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24 ổ 600 GB SAS; 14,4 TB raw; backend riêng.</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giao thức, RAID, controller, fabric và multipath.</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lõi</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02 Nexus N9K-C93180YC-EX</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Hai nhánh mạng A/B theo quy hoạch.</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Port map, peer/keepalive, MTU, cấu hình và failover.</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Tường lửa</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02 FortiGate 500E</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NGFW/IPS/VPN và HA theo thiết kế.</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nhận license/support, state sync và phép thử HA.</w:t>
            </w:r>
          </w:p>
        </w:tc>
      </w:tr>
      <w:tr>
        <w:trPr>
          <w:cantSplit/>
        </w:trPr>
        <w:tc>
          <w:tcPr>
            <w:tcW w:type="dxa" w:w="13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SAN và OOB</w:t>
            </w:r>
          </w:p>
        </w:tc>
        <w:tc>
          <w:tcPr>
            <w:tcW w:type="dxa" w:w="178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01 switch SAN; 01 Access</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có model và phương án dự phòng xác nhận.</w:t>
            </w:r>
          </w:p>
        </w:tc>
        <w:tc>
          <w:tcPr>
            <w:tcW w:type="dxa" w:w="297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Đánh giá điểm lỗi đơn, phương án xử lý và kiểm thử.</w:t>
            </w:r>
          </w:p>
        </w:tc>
      </w:tr>
    </w:tbl>
    <w:p>
      <w:pPr>
        <w:spacing w:line="240" w:lineRule="auto" w:after="20" w:before="0"/>
        <w:ind w:firstLine="0"/>
      </w:pPr>
      <w:r>
        <w:rPr>
          <w:b w:val="0"/>
        </w:rPr>
      </w:r>
    </w:p>
    <w:p>
      <w:r>
        <w:rPr>
          <w:b w:val="0"/>
        </w:rPr>
        <w:t>Tổng RAM theo vai trò: 3 × 128 + 3 × 512 + 3 × 128 = 2.304 GB. Đây là tổng theo thiết kế, không phải RAM bán được. Không dùng số 5.120 GB của bảng định giá cũ thay cho cụm này.</w:t>
      </w:r>
    </w:p>
    <w:p>
      <w:r>
        <w:rPr>
          <w:b w:val="0"/>
        </w:rPr>
        <w:t>19,2 TB Ceph và 14,4 TB SAN đều là dung lượng raw. Cần tính dung lượng sử dụng riêng theo replica/RAID, dự phòng, mức đầy và khả năng phục hồi. Nguồn chưa có CPU, tải thực, usable/IOPS hoặc kết quả N+1 đủ để cam kết SLA.</w:t>
      </w:r>
    </w:p>
    <w:p>
      <w:pPr>
        <w:pStyle w:val="Heading1"/>
        <w:pageBreakBefore/>
      </w:pPr>
      <w:r>
        <w:t>3 ĐỐI SOÁT PHÂN VÙNG MẠNG</w:t>
      </w:r>
    </w:p>
    <w:p>
      <w:r>
        <w:rPr>
          <w:b w:val="0"/>
        </w:rPr>
        <w:t>Nguồn: Phần II mục 5, trang 14–15. Bảng sau là quy hoạch logic tham khảo. Giữ sơ đồ kiến trúc mục tiêu của bộ hồ sơ và bổ sung bản vẽ triển khai tại từng site sau khi phê duyệt.</w:t>
      </w:r>
    </w:p>
    <w:tbl>
      <w:tblPr>
        <w:tblW w:type="auto" w:w="0"/>
        <w:jc w:val="center"/>
        <w:tblLayout w:type="fixed"/>
        <w:tblLook w:firstColumn="1" w:firstRow="1" w:lastColumn="0" w:lastRow="0" w:noHBand="0" w:noVBand="1" w:val="04A0"/>
      </w:tblPr>
      <w:tblGrid>
        <w:gridCol w:w="1050"/>
        <w:gridCol w:w="2292"/>
        <w:gridCol w:w="5729"/>
      </w:tblGrid>
      <w:tr>
        <w:trPr>
          <w:cantSplit/>
          <w:tblHeader/>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VLAN</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Vai trò trong nguồn</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Điểm kiểm tra</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Internal service</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Control/service nội bộ; chỉ luồng đã duyệt sang API private.</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Tenant overlay</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Transport tenant; không cấp quyền tới underlay/control/OOB.</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client</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Client I/O; tên “public” của Ceph không có nghĩa Internet công khai.</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31</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cluster</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Replication, recovery và heartbeat; cô lập tenant.</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Security và quản trị</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Tách quyền PAM, SIEM, backup và kho log; cần chốt cách phân tách nội vùng.</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70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OpenStack API private</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Broker/gateway và quản trị được duyệt; TLS, audit và giới hạn quyền.</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99</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OOB BMC iDRAC</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ngoài băng; không mở trực tiếp cho tenant/Internet.</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100</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Portal DMZ</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Web/ingress; đường portal tới API thông qua broker theo thiết kế.</w:t>
            </w:r>
          </w:p>
        </w:tc>
      </w:tr>
      <w:tr>
        <w:trPr>
          <w:cantSplit/>
        </w:trPr>
        <w:tc>
          <w:tcPr>
            <w:tcW w:type="dxa" w:w="10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chốt</w:t>
            </w:r>
          </w:p>
        </w:tc>
        <w:tc>
          <w:tcPr>
            <w:tcW w:type="dxa" w:w="22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Provider và SAN</w:t>
            </w:r>
          </w:p>
        </w:tc>
        <w:tc>
          <w:tcPr>
            <w:tcW w:type="dxa" w:w="572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VLAN/VRF, external gateway, SAN zoning hoặc multipath phù hợp.</w:t>
            </w:r>
          </w:p>
        </w:tc>
      </w:tr>
    </w:tbl>
    <w:p>
      <w:pPr>
        <w:spacing w:line="240" w:lineRule="auto" w:after="20" w:before="0"/>
        <w:ind w:firstLine="0"/>
      </w:pPr>
      <w:r>
        <w:rPr>
          <w:b w:val="0"/>
        </w:rPr>
      </w:r>
    </w:p>
    <w:p>
      <w:r>
        <w:rPr>
          <w:b w:val="0"/>
        </w:rPr>
        <w:t>Nguồn ghi VLAN 30/40 trong bảng cũ từng có ý nghĩa khác. Không áp cấu hình theo số VLAN khi chưa xác minh ngữ nghĩa. Lập bảng chuyển đổi gồm VLAN/VRF cũ, VLAN/VRF mới, CIDR, gateway, owner, chính sách, ảnh hưởng, kế hoạch chuyển và rollback.</w:t>
      </w:r>
    </w:p>
    <w:p>
      <w:r>
        <w:rPr>
          <w:b w:val="0"/>
        </w:rPr>
        <w:t>Với mỗi luồng: ghi nguồn, đích, hướng, cổng/giao thức, mục đích, điểm kiểm soát, rule ID và phép thử cho phép/từ chối. WAF chỉ áp dụng giao thức web phù hợp; không bắt mọi lưu lượng VM đi qua WAF. OOB, control, storage và tenant phải được kiểm tra cô lập theo thiết kế đã duyệt.</w:t>
      </w:r>
    </w:p>
    <w:p>
      <w:pPr>
        <w:pStyle w:val="Heading1"/>
        <w:pageBreakBefore/>
      </w:pPr>
      <w:r>
        <w:t>4 CÁC MỤC CẦN KIỂM TRA TRƯỚC</w:t>
      </w:r>
    </w:p>
    <w:p>
      <w:r>
        <w:rPr>
          <w:b w:val="0"/>
        </w:rPr>
        <w:t>Các mục dưới đây được chọn từ trạng thái Không đạt và Đạt trong bản nguồn. Ưu tiên xác minh phạm vi và phiên bản trước khi quyết định khắc phục; chưa có kết luận chúng còn tồn tại trong production hiện tại.</w:t>
      </w:r>
    </w:p>
    <w:tbl>
      <w:tblPr>
        <w:tblW w:type="auto" w:w="0"/>
        <w:jc w:val="center"/>
        <w:tblLayout w:type="fixed"/>
        <w:tblLook w:firstColumn="1" w:firstRow="1" w:lastColumn="0" w:lastRow="0" w:noHBand="0" w:noVBand="1" w:val="04A0"/>
      </w:tblPr>
      <w:tblGrid>
        <w:gridCol w:w="1432"/>
        <w:gridCol w:w="2387"/>
        <w:gridCol w:w="3660"/>
        <w:gridCol w:w="1591"/>
      </w:tblGrid>
      <w:tr>
        <w:trPr>
          <w:cantSplit/>
          <w:tblHeader/>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nguồn</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Ghi nhận cũ</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Công việc kiểm tra</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mối đề xuất</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C4-GOV-10</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ghi bundle 07 node, LVM/no-Ceph khác thiết kế 09 server.</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soát Kolla inventory, CMDB và cấu hình thực tế; phân biệt lab, staging, production.</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 / PMO</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C4-SW-02</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ghi registry insecure và CVE Critical còn bản vá.</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bản dựng hiện hành, TLS/trust, digest; đối chiếu báo cáo quét và kết quả xử lý.</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 / SecOps</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C4-IAM-06</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ghi 6 SSH host private key trong image.</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minh image/digest; loại khóa dùng chung nếu còn, xoay khóa liên quan, lưu kết quả quét lại.</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DevSecOps / IAM</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C4-NET-07</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chưa chứng minh hai tuyến độc lập và failover.</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hợp đồng/tuyến vật lý, cấu hình routing và biên bản thử mất tuyến, mất thiết bị.</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NetOps / IDC</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C4-CLD-16</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còn IP và tên miền ví dụ.</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cấu hình production, DNS, chứng thư và endpoint; ghi nhận thay thế theo change.</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C4-DC-18</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cũ ghi một DC và chưa có DR độc lập.</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Cập nhật DC Cầu Giấy và DR Nam Thăng Long; kiểm tra tài sản, hợp đồng, bản sao và diễn tập.</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SRE / IDC</w:t>
            </w:r>
          </w:p>
        </w:tc>
      </w:tr>
      <w:tr>
        <w:trPr>
          <w:cantSplit/>
        </w:trPr>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C4-SW-04</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ghi Đạt đối chiếu checksum bundle.</w:t>
            </w:r>
          </w:p>
        </w:tc>
        <w:tc>
          <w:tcPr>
            <w:tcW w:type="dxa" w:w="366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Tái kiểm tra đúng bundle đang dùng; checksum không tự chứng minh chữ ký hay nguồn phát hành.</w:t>
            </w:r>
          </w:p>
        </w:tc>
        <w:tc>
          <w:tcPr>
            <w:tcW w:type="dxa" w:w="1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DevSecOps</w:t>
            </w:r>
          </w:p>
        </w:tc>
      </w:tr>
    </w:tbl>
    <w:p>
      <w:pPr>
        <w:spacing w:line="240" w:lineRule="auto" w:after="20" w:before="0"/>
        <w:ind w:firstLine="0"/>
      </w:pPr>
      <w:r>
        <w:rPr>
          <w:b w:val="0"/>
        </w:rPr>
      </w:r>
    </w:p>
    <w:p>
      <w:r>
        <w:rPr>
          <w:b w:val="0"/>
        </w:rPr>
        <w:t>Không xóa nhận xét cũ khi đóng việc. Giữ báo cáo trước và sau, ticket thay đổi, EV retest và người chấp nhận. Nếu cùng một tồn tại ảnh hưởng nhiều kiểm soát, dùng chung mã việc/EV và liên kết đủ các dòng.</w:t>
      </w:r>
    </w:p>
    <w:p>
      <w:pPr>
        <w:pStyle w:val="Heading1"/>
        <w:pageBreakBefore/>
      </w:pPr>
      <w:r>
        <w:t>5 TRÌNH TỰ BÀN GIAO SANG HỒ SƠ HÀNH CHÍNH</w:t>
      </w:r>
    </w:p>
    <w:p>
      <w:r>
        <w:rPr>
          <w:b w:val="0"/>
        </w:rPr>
        <w:t>Bước 1. Giao từng dòng trong workbook 04 cho một cá nhân. Các trường nền xám nhạt là nơi nhập kết quả hiện tại, thời hạn, hành động và bằng chứng. Tab Nguon_v094 giữ dữ liệu lịch sử để đối chiếu.</w:t>
      </w:r>
    </w:p>
    <w:p>
      <w:r>
        <w:rPr>
          <w:b w:val="0"/>
        </w:rPr>
        <w:t>Bước 2. Mỗi mã C4 được liên kết với mã TC/CL/HS/T liên quan trong workbook 02 khi người kiểm tra xác định đúng yêu cầu. Một mục C4 có thể liên quan nhiều dòng; không ghép tự động theo số thứ tự hoặc lấy căn cứ cũ làm căn cứ hiện hành.</w:t>
      </w:r>
    </w:p>
    <w:p>
      <w:r>
        <w:rPr>
          <w:b w:val="0"/>
        </w:rPr>
        <w:t>Bước 3. Hoàn thành rà soát và phép thử phù hợp. Nếu đánh dấu Đạt hoặc Không áp dụng, phải có kết luận/hành động, EV, người xác minh và ngày. Trạng thái Đủ dữ liệu xác minh chỉ thể hiện đủ trường khai báo để người kiểm tra xem xét, không thay kết luận chuyên môn.</w:t>
      </w:r>
    </w:p>
    <w:p>
      <w:r>
        <w:rPr>
          <w:b w:val="0"/>
        </w:rPr>
        <w:t>Bước 4. Chuyển dữ liệu được xác nhận sang phụ lục 10 của Bộ 2, thuyết minh, sổ rủi ro và báo cáo tự rà soát. Chủ quản chốt phạm vi, căn cứ cấp độ, phân công và thẩm quyền; kỹ thuật bàn giao bằng chứng có kiểm soát phiên bản.</w:t>
      </w:r>
    </w:p>
    <w:tbl>
      <w:tblPr>
        <w:tblW w:type="auto" w:w="0"/>
        <w:jc w:val="center"/>
        <w:tblLayout w:type="fixed"/>
        <w:tblLook w:firstColumn="1" w:firstRow="1" w:lastColumn="0" w:lastRow="0" w:noHBand="0" w:noVBand="1" w:val="04A0"/>
      </w:tblPr>
      <w:tblGrid>
        <w:gridCol w:w="1996"/>
        <w:gridCol w:w="4717"/>
        <w:gridCol w:w="2358"/>
      </w:tblGrid>
      <w:tr>
        <w:trPr>
          <w:cantSplit/>
          <w:tblHeader/>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Mốc nội bộ đề xuất</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ra</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Người xác nhận</w:t>
            </w:r>
          </w:p>
        </w:tc>
      </w:tr>
      <w:tr>
        <w:trPr>
          <w:cantSplit/>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Khởi động đối soát</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 hai site, danh sách dịch vụ, chủ việc 129 dòng và kho EV.</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Khối Hạ tầng &amp; Vận hành</w:t>
            </w:r>
          </w:p>
        </w:tc>
      </w:tr>
      <w:tr>
        <w:trPr>
          <w:cantSplit/>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thiết kế triển khai</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BOM theo site, inventory, IP/port/rack map, luồng mạng và danh mục thay đổi.</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Kiến trúc / Platform / NetOps / Storage</w:t>
            </w:r>
          </w:p>
        </w:tc>
      </w:tr>
      <w:tr>
        <w:trPr>
          <w:cantSplit/>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nhận kết quả kỹ thuật</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quả T01–T12 áp dụng, retest, RPO/RTO đo được và rủi ro còn lại.</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kiểm tra được phân công</w:t>
            </w:r>
          </w:p>
        </w:tc>
      </w:tr>
      <w:tr>
        <w:trPr>
          <w:cantSplit/>
        </w:trPr>
        <w:tc>
          <w:tcPr>
            <w:tcW w:type="dxa" w:w="19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Bàn giao hồ sơ</w:t>
            </w:r>
          </w:p>
        </w:tc>
        <w:tc>
          <w:tcPr>
            <w:tcW w:type="dxa" w:w="471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Workbook khóa phiên bản, phụ lục xác nhận, hồ sơ chuyên môn và danh sách còn thiếu.</w:t>
            </w:r>
          </w:p>
        </w:tc>
        <w:tc>
          <w:tcPr>
            <w:tcW w:type="dxa" w:w="23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trì lập hồ sơ / chuyên trách ANM</w:t>
            </w:r>
          </w:p>
        </w:tc>
      </w:tr>
    </w:tbl>
    <w:p>
      <w:pPr>
        <w:spacing w:line="240" w:lineRule="auto" w:after="20" w:before="0"/>
        <w:ind w:firstLine="0"/>
      </w:pPr>
      <w:r>
        <w:rPr>
          <w:b w:val="0"/>
        </w:rPr>
      </w:r>
    </w:p>
    <w:p>
      <w:r>
        <w:rPr>
          <w:b w:val="0"/>
        </w:rPr>
        <w:t>Thời hạn thực hiện và ngày hoàn thành do các đầu mối thống nhất, nhập vào workbook; chưa ấn định mốc cam kết khi chưa có kế hoạch nguồn lực được phê duyệt.</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đối soát thiết kế và tồn tại từ hồ sơ tham khảo</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