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b/>
          <w:i w:val="0"/>
          <w:color w:val="000000"/>
          <w:sz w:val="26"/>
        </w:rPr>
        <w:t>CÔNG TY CỔ PHẦN XOR CLOUD</w:t>
      </w:r>
    </w:p>
    <w:p>
      <w:pPr>
        <w:spacing w:line="276" w:lineRule="auto" w:before="0" w:after="360"/>
        <w:ind w:firstLine="0"/>
        <w:jc w:val="center"/>
      </w:pPr>
      <w:r>
        <w:rPr>
          <w:rFonts w:ascii="Times New Roman" w:hAnsi="Times New Roman"/>
          <w:b/>
          <w:i w:val="0"/>
          <w:color w:val="000000"/>
          <w:sz w:val="26"/>
        </w:rPr>
        <w:t>KHỐI HẠ TẦNG &amp; VẬN HÀNH</w:t>
      </w:r>
    </w:p>
    <w:p>
      <w:pPr>
        <w:spacing w:line="276" w:lineRule="auto" w:before="0" w:after="1440"/>
        <w:ind w:firstLine="0" w:left="2494" w:right="2494"/>
        <w:jc w:val="center"/>
        <w:pBdr>
          <w:bottom w:val="single" w:sz="6" w:space="1" w:color="000000"/>
        </w:pBdr>
      </w:pPr>
      <w:r>
        <w:rPr>
          <w:rFonts w:ascii="Times New Roman" w:hAnsi="Times New Roman"/>
          <w:b w:val="0"/>
          <w:i w:val="0"/>
          <w:color w:val="000000"/>
          <w:sz w:val="26"/>
        </w:rPr>
      </w:r>
    </w:p>
    <w:p>
      <w:pPr>
        <w:spacing w:line="276" w:lineRule="auto" w:before="0" w:after="260"/>
        <w:ind w:firstLine="0"/>
        <w:jc w:val="center"/>
      </w:pPr>
      <w:r>
        <w:rPr>
          <w:rFonts w:ascii="Times New Roman" w:hAnsi="Times New Roman"/>
          <w:b/>
          <w:i w:val="0"/>
          <w:color w:val="000000"/>
          <w:sz w:val="44"/>
        </w:rPr>
        <w:t>HỒ SƠ</w:t>
      </w:r>
    </w:p>
    <w:p>
      <w:pPr>
        <w:pStyle w:val="Title"/>
        <w:spacing w:line="276" w:lineRule="auto" w:before="0" w:after="280"/>
        <w:ind w:firstLine="0"/>
        <w:jc w:val="center"/>
      </w:pPr>
      <w:r>
        <w:rPr>
          <w:rFonts w:ascii="Times New Roman" w:hAnsi="Times New Roman"/>
          <w:b/>
          <w:i w:val="0"/>
          <w:color w:val="000000"/>
          <w:sz w:val="30"/>
        </w:rPr>
        <w:t>PHỤ LỤC ĐỐI CHIẾU THIẾT KẾ</w:t>
        <w:br/>
        <w:t>VÀ XÁC NHẬN HIỆN TRẠNG HỆ THỐNG</w:t>
      </w:r>
    </w:p>
    <w:p>
      <w:pPr>
        <w:spacing w:line="276" w:lineRule="auto" w:before="0" w:after="240"/>
        <w:ind w:firstLine="0"/>
        <w:jc w:val="center"/>
      </w:pPr>
      <w:r>
        <w:rPr>
          <w:rFonts w:ascii="Times New Roman" w:hAnsi="Times New Roman"/>
          <w:b/>
          <w:i w:val="0"/>
          <w:color w:val="000000"/>
          <w:sz w:val="36"/>
        </w:rPr>
        <w:t>XOR SECURE CLOUD</w:t>
      </w:r>
    </w:p>
    <w:p>
      <w:pPr>
        <w:spacing w:line="276" w:lineRule="auto" w:before="0" w:after="240"/>
        <w:ind w:firstLine="0"/>
        <w:jc w:val="center"/>
      </w:pPr>
      <w:r>
        <w:rPr>
          <w:rFonts w:ascii="Times New Roman" w:hAnsi="Times New Roman"/>
          <w:b w:val="0"/>
          <w:i/>
          <w:color w:val="000000"/>
          <w:sz w:val="26"/>
        </w:rPr>
        <w:t>Kèm theo thuyết minh hồ sơ đề xuất cấp độ 4</w:t>
      </w:r>
    </w:p>
    <w:p>
      <w:pPr>
        <w:spacing w:line="276" w:lineRule="auto" w:before="0" w:after="1120"/>
        <w:ind w:firstLine="0"/>
        <w:jc w:val="center"/>
      </w:pPr>
      <w:r>
        <w:rPr>
          <w:rFonts w:ascii="Times New Roman" w:hAnsi="Times New Roman"/>
          <w:b w:val="0"/>
          <w:i w:val="0"/>
          <w:color w:val="000000"/>
          <w:sz w:val="26"/>
        </w:rPr>
        <w:t>Nền tảng XOR STACK CLOUD dựa trên OpenStack</w:t>
      </w:r>
    </w:p>
    <w:p>
      <w:pPr>
        <w:spacing w:line="276" w:lineRule="auto" w:before="0" w:after="120"/>
        <w:ind w:firstLine="0"/>
        <w:jc w:val="center"/>
      </w:pPr>
      <w:r>
        <w:rPr>
          <w:rFonts w:ascii="Times New Roman" w:hAnsi="Times New Roman"/>
          <w:b w:val="0"/>
          <w:i w:val="0"/>
          <w:color w:val="000000"/>
          <w:sz w:val="26"/>
        </w:rPr>
        <w:t>Đơn vị vận hành: Khối Hạ tầng &amp; Vận hành</w:t>
      </w:r>
    </w:p>
    <w:p>
      <w:pPr>
        <w:spacing w:line="276" w:lineRule="auto" w:before="0" w:after="200"/>
        <w:ind w:firstLine="0"/>
        <w:jc w:val="center"/>
      </w:pPr>
      <w:r>
        <w:rPr>
          <w:rFonts w:ascii="Times New Roman" w:hAnsi="Times New Roman"/>
          <w:b w:val="0"/>
          <w:i w:val="0"/>
          <w:color w:val="000000"/>
          <w:sz w:val="26"/>
        </w:rPr>
        <w:t>DC: Trung tâm Hạ tầng IDC Cầu Giấy</w:t>
        <w:br/>
        <w:t>DR: Trung tâm Hạ tầng IDC Nam Thăng Long</w:t>
      </w:r>
    </w:p>
    <w:p>
      <w:pPr>
        <w:spacing w:line="276" w:lineRule="auto" w:before="0" w:after="840"/>
        <w:ind w:firstLine="0"/>
        <w:jc w:val="center"/>
      </w:pPr>
      <w:r>
        <w:rPr>
          <w:rFonts w:ascii="Times New Roman" w:hAnsi="Times New Roman"/>
          <w:b w:val="0"/>
          <w:i/>
          <w:color w:val="000000"/>
          <w:sz w:val="24"/>
        </w:rPr>
        <w:t>Bản dự thảo 2.3 chưa ký ban hành</w:t>
      </w:r>
    </w:p>
    <w:p>
      <w:pPr>
        <w:spacing w:line="276" w:lineRule="auto" w:before="0" w:after="0"/>
        <w:ind w:firstLine="0"/>
        <w:jc w:val="center"/>
      </w:pPr>
      <w:r>
        <w:rPr>
          <w:rFonts w:ascii="Times New Roman" w:hAnsi="Times New Roman"/>
          <w:b w:val="0"/>
          <w:i/>
          <w:color w:val="000000"/>
          <w:sz w:val="26"/>
        </w:rPr>
        <w:t>Hà Nội, tháng 10 năm 2026</w:t>
      </w:r>
    </w:p>
    <w:p>
      <w:pPr>
        <w:sectPr>
          <w:headerReference w:type="default" r:id="rId9"/>
          <w:footerReference w:type="default" r:id="rId10"/>
          <w:pgSz w:w="11906" w:h="16838"/>
          <w:pgMar w:top="1134" w:right="1134" w:bottom="1134" w:left="1701" w:header="397" w:footer="567" w:gutter="0"/>
          <w:cols w:space="720"/>
          <w:docGrid w:linePitch="360"/>
        </w:sectPr>
      </w:pPr>
    </w:p>
    <w:p>
      <w:r>
        <w:rPr>
          <w:b w:val="0"/>
        </w:rPr>
        <w:t>Phụ lục này xác định cơ sở thiết kế kế thừa, phạm vi cần xác nhận và trách nhiệm hoàn thiện thông tin trước khi phát hành hồ sơ chính thức. Khối Hạ tầng &amp; Vận hành chịu trách nhiệm đối chiếu số liệu, cấu hình và kết quả kiểm tra với hệ thống thực tế; đơn vị chuyên trách an ninh mạng xem xét theo phân công.</w:t>
      </w:r>
    </w:p>
    <w:p>
      <w:pPr>
        <w:pStyle w:val="Heading2"/>
      </w:pPr>
      <w:r>
        <w:t>1 Thông tin thống nhất trong bộ hồ sơ</w:t>
      </w:r>
    </w:p>
    <w:tbl>
      <w:tblPr>
        <w:tblW w:type="auto" w:w="0"/>
        <w:jc w:val="center"/>
        <w:tblLayout w:type="fixed"/>
        <w:tblLook w:firstColumn="1" w:firstRow="1" w:lastColumn="0" w:lastRow="0" w:noHBand="0" w:noVBand="1" w:val="04A0"/>
      </w:tblPr>
      <w:tblGrid>
        <w:gridCol w:w="2520"/>
        <w:gridCol w:w="6551"/>
      </w:tblGrid>
      <w:tr>
        <w:trPr>
          <w:cantSplit/>
          <w:tblHeader/>
        </w:trPr>
        <w:tc>
          <w:tcPr>
            <w:tcW w:type="dxa" w:w="25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w:t>
            </w:r>
          </w:p>
        </w:tc>
        <w:tc>
          <w:tcPr>
            <w:tcW w:type="dxa" w:w="65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w:t>
            </w:r>
          </w:p>
        </w:tc>
      </w:tr>
      <w:tr>
        <w:trPr>
          <w:cantSplit/>
        </w:trPr>
        <w:tc>
          <w:tcPr>
            <w:tcW w:type="dxa" w:w="25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Tên hệ thống</w:t>
            </w:r>
          </w:p>
        </w:tc>
        <w:tc>
          <w:tcPr>
            <w:tcW w:type="dxa" w:w="65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 SECURE CLOUD; nền tảng XOR STACK CLOUD do XOR CLOUD phát triển lại và đóng gói trên cơ sở OpenStack.</w:t>
            </w:r>
          </w:p>
        </w:tc>
      </w:tr>
      <w:tr>
        <w:trPr>
          <w:cantSplit/>
        </w:trPr>
        <w:tc>
          <w:tcPr>
            <w:tcW w:type="dxa" w:w="25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quản và vận hành</w:t>
            </w:r>
          </w:p>
        </w:tc>
        <w:tc>
          <w:tcPr>
            <w:tcW w:type="dxa" w:w="65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Công ty Cổ phần XOR CLOUD; đơn vị vận hành: Khối Hạ tầng &amp; Vận hành.</w:t>
            </w:r>
          </w:p>
        </w:tc>
      </w:tr>
      <w:tr>
        <w:trPr>
          <w:cantSplit/>
        </w:trPr>
        <w:tc>
          <w:tcPr>
            <w:tcW w:type="dxa" w:w="25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Phạm vi</w:t>
            </w:r>
          </w:p>
        </w:tc>
        <w:tc>
          <w:tcPr>
            <w:tcW w:type="dxa" w:w="65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Toàn bộ nền tảng cloud và các dịch vụ quản trị chung. Phần thuộc trách nhiệm khách hàng được xác định theo hợp đồng và ma trận trách nhiệm.</w:t>
            </w:r>
          </w:p>
        </w:tc>
      </w:tr>
      <w:tr>
        <w:trPr>
          <w:cantSplit/>
        </w:trPr>
        <w:tc>
          <w:tcPr>
            <w:tcW w:type="dxa" w:w="25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Địa điểm</w:t>
            </w:r>
          </w:p>
        </w:tc>
        <w:tc>
          <w:tcPr>
            <w:tcW w:type="dxa" w:w="65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DC: Trung tâm Hạ tầng IDC Cầu Giấy. DR: Trung tâm Hạ tầng IDC Nam Thăng Long.</w:t>
            </w:r>
          </w:p>
        </w:tc>
      </w:tr>
      <w:tr>
        <w:trPr>
          <w:cantSplit/>
        </w:trPr>
        <w:tc>
          <w:tcPr>
            <w:tcW w:type="dxa" w:w="25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Tình trạng thủ tục</w:t>
            </w:r>
          </w:p>
        </w:tc>
        <w:tc>
          <w:tcPr>
            <w:tcW w:type="dxa" w:w="65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Lập hồ sơ lần đầu; chưa có quyết định phê duyệt cấp độ hoặc chứng nhận theo thông tin được cung cấp.</w:t>
            </w:r>
          </w:p>
        </w:tc>
      </w:tr>
      <w:tr>
        <w:trPr>
          <w:cantSplit/>
        </w:trPr>
        <w:tc>
          <w:tcPr>
            <w:tcW w:type="dxa" w:w="25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Tài liệu thiết kế tham khảo</w:t>
            </w:r>
          </w:p>
        </w:tc>
        <w:tc>
          <w:tcPr>
            <w:tcW w:type="dxa" w:w="65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XOR_SECURE_CLOUD_Ho_so_Cap_do_4_v0.9.4.docx; phiên bản 0.9.4 ngày 06/10/2026.</w:t>
            </w:r>
          </w:p>
        </w:tc>
      </w:tr>
    </w:tbl>
    <w:p>
      <w:pPr>
        <w:spacing w:line="240" w:lineRule="auto" w:after="20" w:before="0"/>
        <w:ind w:firstLine="0"/>
      </w:pPr>
      <w:r>
        <w:rPr>
          <w:b w:val="0"/>
        </w:rPr>
      </w:r>
    </w:p>
    <w:p>
      <w:r>
        <w:rPr>
          <w:b w:val="0"/>
        </w:rPr>
        <w:t>Số lượng và cấu hình dưới đây được kế thừa dưới dạng thông số thiết kế tham khảo. Số liệu hiện trạng và việc phân bổ thiết bị theo địa điểm phải được xác nhận bằng hồ sơ kiểm kê, cấu hình và biên bản nghiệm thu. Việc xác nhận có hai địa điểm không thay thế kết quả kiểm thử phục hồi tại địa điểm dự phòng.</w:t>
      </w:r>
    </w:p>
    <w:p>
      <w:pPr>
        <w:pStyle w:val="Heading1"/>
        <w:pageBreakBefore/>
      </w:pPr>
      <w:r>
        <w:t>2 CƠ SỞ THIẾT KẾ HẠ TẦNG</w:t>
      </w:r>
    </w:p>
    <w:tbl>
      <w:tblPr>
        <w:tblW w:type="auto" w:w="0"/>
        <w:jc w:val="center"/>
        <w:tblLayout w:type="fixed"/>
        <w:tblLook w:firstColumn="1" w:firstRow="1" w:lastColumn="0" w:lastRow="0" w:noHBand="0" w:noVBand="1" w:val="04A0"/>
      </w:tblPr>
      <w:tblGrid>
        <w:gridCol w:w="1814"/>
        <w:gridCol w:w="3628"/>
        <w:gridCol w:w="3628"/>
      </w:tblGrid>
      <w:tr>
        <w:trPr>
          <w:cantSplit/>
          <w:tblHeader/>
        </w:trPr>
        <w:tc>
          <w:tcPr>
            <w:tcW w:type="dxa" w:w="181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Thành phần</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Thiết kế trong tài liệu tham khảo</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cần xác nhận</w:t>
            </w:r>
          </w:p>
        </w:tc>
      </w:tr>
      <w:tr>
        <w:trPr>
          <w:cantSplit/>
        </w:trPr>
        <w:tc>
          <w:tcPr>
            <w:tcW w:type="dxa" w:w="181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Máy chủ</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09 Dell R630: 03 Controller, 03 Compute KVM, 03 Ceph SSD.</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Số lượng thực tế từng site; serial; cấu hình; vai trò và phiên bản.</w:t>
            </w:r>
          </w:p>
        </w:tc>
      </w:tr>
      <w:tr>
        <w:trPr>
          <w:cantSplit/>
        </w:trPr>
        <w:tc>
          <w:tcPr>
            <w:tcW w:type="dxa" w:w="181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Bộ nhớ</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2.304 GB RAM theo tổng cấu hình các vai trò.</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Bộ nhớ khả dụng; dự phòng; công suất khi mất thành phần.</w:t>
            </w:r>
          </w:p>
        </w:tc>
      </w:tr>
      <w:tr>
        <w:trPr>
          <w:cantSplit/>
        </w:trPr>
        <w:tc>
          <w:tcPr>
            <w:tcW w:type="dxa" w:w="181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Lưu trữ</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 SSD 19,2 TB raw; SAN 14,4 TB raw; 18 ổ OS 480 GB.</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Dung lượng usable; replica/RAID; backend; mã hóa và phục hồi.</w:t>
            </w:r>
          </w:p>
        </w:tc>
      </w:tr>
      <w:tr>
        <w:trPr>
          <w:cantSplit/>
        </w:trPr>
        <w:tc>
          <w:tcPr>
            <w:tcW w:type="dxa" w:w="181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Mạng và bảo vệ biên</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02 Nexus N9K-C93180YC-EX; 02 FortiGate 500E; 01 switch SAN; 01 Access.</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Sơ đồ và port map; dự phòng; license/support; kết quả chịu lỗi.</w:t>
            </w:r>
          </w:p>
        </w:tc>
      </w:tr>
      <w:tr>
        <w:trPr>
          <w:cantSplit/>
        </w:trPr>
        <w:tc>
          <w:tcPr>
            <w:tcW w:type="dxa" w:w="181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nối liên trung tâm</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Hai địa điểm DC và DR đã được xác nhận về phạm vi.</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Nhà mạng; tuyến; băng thông; mã hóa; độ trễ; cơ chế sao chép và khả năng chuyển đổi.</w:t>
            </w:r>
          </w:p>
        </w:tc>
      </w:tr>
    </w:tbl>
    <w:p>
      <w:pPr>
        <w:spacing w:line="240" w:lineRule="auto" w:after="20" w:before="0"/>
        <w:ind w:firstLine="0"/>
      </w:pPr>
      <w:r>
        <w:rPr>
          <w:b w:val="0"/>
        </w:rPr>
      </w:r>
    </w:p>
    <w:p>
      <w:r>
        <w:rPr>
          <w:b w:val="0"/>
        </w:rPr>
        <w:t>Nguồn số liệu: Phần II mục 3–5 và Phần III của tài liệu tham khảo; bảng thiết bị tại trang 12–13. Chưa sử dụng các giá trị raw để công bố dung lượng khai thác. Chưa xác định BOM này là toàn bộ cấu hình của cả hai địa điểm hoặc là cấu hình riêng của một địa điểm.</w:t>
      </w:r>
    </w:p>
    <w:p>
      <w:pPr>
        <w:pStyle w:val="Heading2"/>
      </w:pPr>
      <w:r>
        <w:t>Phân vùng và luồng thông tin</w:t>
      </w:r>
    </w:p>
    <w:p>
      <w:r>
        <w:rPr>
          <w:b w:val="0"/>
        </w:rPr>
        <w:t>Thiết kế tham khảo gồm các mạng internal service, tenant overlay, Ceph client, Ceph cluster, quản trị và bảo vệ, API private, OOB và DMZ. Các VLAN 10, 20, 30, 31, 40, 70, 99 và 100 được dùng làm mã đối chiếu thiết kế. Provider/external và SAN còn phải xác định chi tiết. Bản vẽ triển khai, địa chỉ, rule và luồng cho phép là thành phần cần bổ sung trước xác nhận hiện trạng.</w:t>
      </w:r>
    </w:p>
    <w:p>
      <w:pPr>
        <w:pStyle w:val="Heading1"/>
        <w:pageBreakBefore/>
      </w:pPr>
      <w:r>
        <w:t>3 PHẠM VI DỊCH VỤ VÀ HAI ĐỊA ĐIỂM</w:t>
      </w:r>
    </w:p>
    <w:tbl>
      <w:tblPr>
        <w:tblW w:type="auto" w:w="0"/>
        <w:jc w:val="center"/>
        <w:tblLayout w:type="fixed"/>
        <w:tblLook w:firstColumn="1" w:firstRow="1" w:lastColumn="0" w:lastRow="0" w:noHBand="0" w:noVBand="1" w:val="04A0"/>
      </w:tblPr>
      <w:tblGrid>
        <w:gridCol w:w="1930"/>
        <w:gridCol w:w="3860"/>
        <w:gridCol w:w="3281"/>
      </w:tblGrid>
      <w:tr>
        <w:trPr>
          <w:cantSplit/>
          <w:tblHeader/>
        </w:trPr>
        <w:tc>
          <w:tcPr>
            <w:tcW w:type="dxa" w:w="19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Nhóm dịch vụ</w:t>
            </w:r>
          </w:p>
        </w:tc>
        <w:tc>
          <w:tcPr>
            <w:tcW w:type="dxa" w:w="38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Phạm vi dự kiến rà soát</w:t>
            </w:r>
          </w:p>
        </w:tc>
        <w:tc>
          <w:tcPr>
            <w:tcW w:type="dxa" w:w="328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Xác nhận triển khai</w:t>
            </w:r>
          </w:p>
        </w:tc>
      </w:tr>
      <w:tr>
        <w:trPr>
          <w:cantSplit/>
        </w:trPr>
        <w:tc>
          <w:tcPr>
            <w:tcW w:type="dxa" w:w="19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Tính toán và mạng</w:t>
            </w:r>
          </w:p>
        </w:tc>
        <w:tc>
          <w:tcPr>
            <w:tcW w:type="dxa" w:w="38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VM, image, flavor, volume, mạng riêng, router, SG, floating IP; LB nếu có.</w:t>
            </w:r>
          </w:p>
        </w:tc>
        <w:tc>
          <w:tcPr>
            <w:tcW w:type="dxa" w:w="328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dịch vụ, phiên bản, site và EV]</w:t>
            </w:r>
          </w:p>
        </w:tc>
      </w:tr>
      <w:tr>
        <w:trPr>
          <w:cantSplit/>
        </w:trPr>
        <w:tc>
          <w:tcPr>
            <w:tcW w:type="dxa" w:w="19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Quản trị chung</w:t>
            </w:r>
          </w:p>
        </w:tc>
        <w:tc>
          <w:tcPr>
            <w:tcW w:type="dxa" w:w="38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Portal/API, identity, quota, usage/billing, CMDB, giám sát, log và hỗ trợ.</w:t>
            </w:r>
          </w:p>
        </w:tc>
        <w:tc>
          <w:tcPr>
            <w:tcW w:type="dxa" w:w="328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thành phần, đơn vị chịu trách nhiệm và EV]</w:t>
            </w:r>
          </w:p>
        </w:tc>
      </w:tr>
      <w:tr>
        <w:trPr>
          <w:cantSplit/>
        </w:trPr>
        <w:tc>
          <w:tcPr>
            <w:tcW w:type="dxa" w:w="19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Dữ liệu và sao lưu</w:t>
            </w:r>
          </w:p>
        </w:tc>
        <w:tc>
          <w:tcPr>
            <w:tcW w:type="dxa" w:w="38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Backend thực tế, snapshot, backup, cấu hình và khóa phục hồi.</w:t>
            </w:r>
          </w:p>
        </w:tc>
        <w:tc>
          <w:tcPr>
            <w:tcW w:type="dxa" w:w="328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loại dữ liệu, vị trí, retention và EV]</w:t>
            </w:r>
          </w:p>
        </w:tc>
      </w:tr>
      <w:tr>
        <w:trPr>
          <w:cantSplit/>
        </w:trPr>
        <w:tc>
          <w:tcPr>
            <w:tcW w:type="dxa" w:w="19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Dịch vụ mở rộng</w:t>
            </w:r>
          </w:p>
        </w:tc>
        <w:tc>
          <w:tcPr>
            <w:tcW w:type="dxa" w:w="38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Kubernetes, GPU, S3, cơ sở dữ liệu quản trị hoặc dịch vụ khác trên sơ đồ mục tiêu.</w:t>
            </w:r>
          </w:p>
        </w:tc>
        <w:tc>
          <w:tcPr>
            <w:tcW w:type="dxa" w:w="328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XÁC NHẬN đã triển khai, dự kiến hoặc không thuộc phạm vi đợt này]</w:t>
            </w:r>
          </w:p>
        </w:tc>
      </w:tr>
    </w:tbl>
    <w:p>
      <w:pPr>
        <w:spacing w:line="240" w:lineRule="auto" w:after="20" w:before="0"/>
        <w:ind w:firstLine="0"/>
      </w:pPr>
      <w:r>
        <w:rPr>
          <w:b w:val="0"/>
        </w:rPr>
      </w:r>
    </w:p>
    <w:p>
      <w:r>
        <w:rPr>
          <w:b w:val="0"/>
        </w:rPr>
        <w:t>Việc một dịch vụ có trên sơ đồ mục tiêu không xác nhận dịch vụ đó đã cung cấp. Phụ lục danh mục dịch vụ phải ghi rõ trạng thái và giới hạn đánh giá; không loại bỏ thành phần dùng chung nếu thành phần đó ảnh hưởng tới hệ thống thuộc phạm vi.</w:t>
      </w:r>
    </w:p>
    <w:tbl>
      <w:tblPr>
        <w:tblW w:type="auto" w:w="0"/>
        <w:jc w:val="center"/>
        <w:tblLayout w:type="fixed"/>
        <w:tblLook w:firstColumn="1" w:firstRow="1" w:lastColumn="0" w:lastRow="0" w:noHBand="0" w:noVBand="1" w:val="04A0"/>
      </w:tblPr>
      <w:tblGrid>
        <w:gridCol w:w="1890"/>
        <w:gridCol w:w="1890"/>
        <w:gridCol w:w="5291"/>
      </w:tblGrid>
      <w:tr>
        <w:trPr>
          <w:cantSplit/>
          <w:tblHeader/>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Địa điểm</w:t>
            </w:r>
          </w:p>
        </w:tc>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Vai trò đã xác nhận</w:t>
            </w:r>
          </w:p>
        </w:tc>
        <w:tc>
          <w:tcPr>
            <w:tcW w:type="dxa" w:w="52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Hồ sơ cần bổ sung</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IDC Cầu Giấy</w:t>
            </w:r>
          </w:p>
        </w:tc>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DC chính</w:t>
            </w:r>
          </w:p>
        </w:tc>
        <w:tc>
          <w:tcPr>
            <w:tcW w:type="dxa" w:w="52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Địa chỉ chi tiết; hợp đồng/SLA; rack/điện/lạnh; danh mục thiết bị; kết nối và kiểm soát vật lý.</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IDC Nam Thăng Long</w:t>
            </w:r>
          </w:p>
        </w:tc>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DR</w:t>
            </w:r>
          </w:p>
        </w:tc>
        <w:tc>
          <w:tcPr>
            <w:tcW w:type="dxa" w:w="52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Cấu hình phục hồi; dữ liệu và phiên bản sao chép; tài khoản/khóa; hồ sơ IDC; bằng chứng thử chuyển đổi và chuyển về.</w:t>
            </w:r>
          </w:p>
        </w:tc>
      </w:tr>
    </w:tbl>
    <w:p>
      <w:pPr>
        <w:spacing w:line="240" w:lineRule="auto" w:after="20" w:before="0"/>
        <w:ind w:firstLine="0"/>
      </w:pPr>
      <w:r>
        <w:rPr>
          <w:b w:val="0"/>
        </w:rPr>
      </w:r>
    </w:p>
    <w:p>
      <w:r>
        <w:rPr>
          <w:b w:val="0"/>
        </w:rPr>
        <w:t>BIA phải xác định RPO/RTO cho từng dịch vụ, trình tự phục hồi và các phụ thuộc IAM, DNS, mạng, khóa, cơ sở dữ liệu, lưu trữ và giám sát. Giá trị mục tiêu, số đo thực tế và người xác nhận được ghi trong biên bản; không tự đặt kết quả đạt khi chưa thử.</w:t>
      </w:r>
    </w:p>
    <w:p>
      <w:pPr>
        <w:pStyle w:val="Heading1"/>
        <w:pageBreakBefore/>
      </w:pPr>
      <w:r>
        <w:t>4 DANH MỤC HỒ SƠ XÁC NHẬN</w:t>
      </w:r>
    </w:p>
    <w:tbl>
      <w:tblPr>
        <w:tblW w:type="auto" w:w="0"/>
        <w:jc w:val="center"/>
        <w:tblLayout w:type="fixed"/>
        <w:tblLook w:firstColumn="1" w:firstRow="1" w:lastColumn="0" w:lastRow="0" w:noHBand="0" w:noVBand="1" w:val="04A0"/>
      </w:tblPr>
      <w:tblGrid>
        <w:gridCol w:w="969"/>
        <w:gridCol w:w="4227"/>
        <w:gridCol w:w="2114"/>
        <w:gridCol w:w="1761"/>
      </w:tblGrid>
      <w:tr>
        <w:trPr>
          <w:cantSplit/>
          <w:tblHeader/>
        </w:trPr>
        <w:tc>
          <w:tcPr>
            <w:tcW w:type="dxa" w:w="9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Mã</w:t>
            </w:r>
          </w:p>
        </w:tc>
        <w:tc>
          <w:tcPr>
            <w:tcW w:type="dxa" w:w="422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Tài liệu phải đối chiếu</w:t>
            </w:r>
          </w:p>
        </w:tc>
        <w:tc>
          <w:tcPr>
            <w:tcW w:type="dxa" w:w="211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Đơn vị chủ trì</w:t>
            </w:r>
          </w:p>
        </w:tc>
        <w:tc>
          <w:tcPr>
            <w:tcW w:type="dxa" w:w="176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Mã EV và phiên bản</w:t>
            </w:r>
          </w:p>
        </w:tc>
      </w:tr>
      <w:tr>
        <w:trPr>
          <w:cantSplit/>
        </w:trPr>
        <w:tc>
          <w:tcPr>
            <w:tcW w:type="dxa" w:w="9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XN01</w:t>
            </w:r>
          </w:p>
        </w:tc>
        <w:tc>
          <w:tcPr>
            <w:tcW w:type="dxa" w:w="422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BOM theo site, serial, rack, port và điện A/B.</w:t>
            </w:r>
          </w:p>
        </w:tc>
        <w:tc>
          <w:tcPr>
            <w:tcW w:type="dxa" w:w="211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Hạ tầng / IDC</w:t>
            </w:r>
          </w:p>
        </w:tc>
        <w:tc>
          <w:tcPr>
            <w:tcW w:type="dxa" w:w="176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9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XN02</w:t>
            </w:r>
          </w:p>
        </w:tc>
        <w:tc>
          <w:tcPr>
            <w:tcW w:type="dxa" w:w="422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OpenStack/Kolla inventory, bản dựng XOR, SBOM và cấu hình.</w:t>
            </w:r>
          </w:p>
        </w:tc>
        <w:tc>
          <w:tcPr>
            <w:tcW w:type="dxa" w:w="211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Platform</w:t>
            </w:r>
          </w:p>
        </w:tc>
        <w:tc>
          <w:tcPr>
            <w:tcW w:type="dxa" w:w="176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9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XN03</w:t>
            </w:r>
          </w:p>
        </w:tc>
        <w:tc>
          <w:tcPr>
            <w:tcW w:type="dxa" w:w="422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VLAN/VRF/IP, rule liên vùng, OOB và kết nối hai site.</w:t>
            </w:r>
          </w:p>
        </w:tc>
        <w:tc>
          <w:tcPr>
            <w:tcW w:type="dxa" w:w="211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Network</w:t>
            </w:r>
          </w:p>
        </w:tc>
        <w:tc>
          <w:tcPr>
            <w:tcW w:type="dxa" w:w="176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9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XN04</w:t>
            </w:r>
          </w:p>
        </w:tc>
        <w:tc>
          <w:tcPr>
            <w:tcW w:type="dxa" w:w="422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Backend dữ liệu, mã hóa, khóa, dung lượng và chịu lỗi.</w:t>
            </w:r>
          </w:p>
        </w:tc>
        <w:tc>
          <w:tcPr>
            <w:tcW w:type="dxa" w:w="211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Storage / IAM</w:t>
            </w:r>
          </w:p>
        </w:tc>
        <w:tc>
          <w:tcPr>
            <w:tcW w:type="dxa" w:w="176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9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XN05</w:t>
            </w:r>
          </w:p>
        </w:tc>
        <w:tc>
          <w:tcPr>
            <w:tcW w:type="dxa" w:w="422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Quét lỗ hổng, kiểm thử độc lập, retest và thay đổi.</w:t>
            </w:r>
          </w:p>
        </w:tc>
        <w:tc>
          <w:tcPr>
            <w:tcW w:type="dxa" w:w="211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Chuyên trách ANM</w:t>
            </w:r>
          </w:p>
        </w:tc>
        <w:tc>
          <w:tcPr>
            <w:tcW w:type="dxa" w:w="176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9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XN06</w:t>
            </w:r>
          </w:p>
        </w:tc>
        <w:tc>
          <w:tcPr>
            <w:tcW w:type="dxa" w:w="422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BIA, backup/restore, diễn tập DR và RPO/RTO.</w:t>
            </w:r>
          </w:p>
        </w:tc>
        <w:tc>
          <w:tcPr>
            <w:tcW w:type="dxa" w:w="211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SRE / vận hành</w:t>
            </w:r>
          </w:p>
        </w:tc>
        <w:tc>
          <w:tcPr>
            <w:tcW w:type="dxa" w:w="176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9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XN07</w:t>
            </w:r>
          </w:p>
        </w:tc>
        <w:tc>
          <w:tcPr>
            <w:tcW w:type="dxa" w:w="422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Hồ sơ pháp nhân, phân công, thẩm quyền ký và liên hệ.</w:t>
            </w:r>
          </w:p>
        </w:tc>
        <w:tc>
          <w:tcPr>
            <w:tcW w:type="dxa" w:w="211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quản / pháp chế</w:t>
            </w:r>
          </w:p>
        </w:tc>
        <w:tc>
          <w:tcPr>
            <w:tcW w:type="dxa" w:w="176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bl>
    <w:p>
      <w:pPr>
        <w:spacing w:line="240" w:lineRule="auto" w:after="20" w:before="0"/>
        <w:ind w:firstLine="0"/>
      </w:pPr>
      <w:r>
        <w:rPr>
          <w:b w:val="0"/>
        </w:rPr>
      </w:r>
    </w:p>
    <w:p>
      <w:r>
        <w:rPr>
          <w:b w:val="0"/>
        </w:rPr>
        <w:t>129 mục kiểm soát của bản tham khảo được lưu trong workbook đối soát của Bộ 1. Các trạng thái lịch sử không được chuyển thành kết luận hiện tại nếu chưa có xác minh. Việc dẫn chiếu căn cứ trong bảng cũ phải được đối chiếu với văn bản áp dụng và phụ lục yêu cầu của bộ hồ sơ này; số dòng không xác định mức độ đáp ứng.</w:t>
      </w:r>
    </w:p>
    <w:p>
      <w:r>
        <w:rPr>
          <w:b w:val="0"/>
        </w:rPr>
        <w:t>Sau đối soát, đơn vị vận hành cập nhật thuyết minh, thiết kế triển khai, báo cáo rủi ro và báo cáo tự rà soát; đồng thời lập danh sách nội dung chưa hoàn thành, người chịu trách nhiệm và thời hạn. Hồ sơ xin ý kiến hoặc thẩm định phải phản ánh đúng tình trạng triển khai và kế hoạch bảo đảm an ninh mạng tại thời điểm trình.</w:t>
      </w:r>
    </w:p>
    <w:sectPr w:rsidR="00FC693F" w:rsidRPr="0006063C" w:rsidSect="00034616">
      <w:headerReference w:type="default" r:id="rId11"/>
      <w:footerReference w:type="default" r:id="rId12"/>
      <w:pgSz w:w="11906" w:h="16838"/>
      <w:pgMar w:top="1134" w:right="1134" w:bottom="1134" w:left="1701" w:header="39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đối chiếu thiết kế và xác nhận hiện trạng hệ thống</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