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HỒ SƠ ĐỀ XUẤT CẤP ĐỘ 4</w:t>
        <w:br/>
        <w:t>HỆ THỐNG XOR SECURE CLOUD</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Tài liệu thuyết minh theo Điều 21 và Điều 22 Nghị định 331 năm 2026</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quản lý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vận hành</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trụ sở</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Đại diện 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XOR-CD4-HS-01 — phiên bản 2.4</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Tình trạng</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lần đầu; chưa có quyết định phê duyệt cấp độ hoặc chứng nhận.</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XOR STACK CLOUD và dịch vụ quản trị chung tại DC Cầu Giấy, DR Nam Thăng Long.</w:t>
            </w:r>
          </w:p>
        </w:tc>
      </w:tr>
    </w:tbl>
    <w:p>
      <w:pPr>
        <w:spacing w:line="240" w:lineRule="auto" w:after="20" w:before="0"/>
        <w:ind w:firstLine="0"/>
      </w:pPr>
      <w:r>
        <w:rPr>
          <w:b w:val="0"/>
        </w:rPr>
      </w:r>
    </w:p>
    <w:p>
      <w:r>
        <w:rPr>
          <w:b w:val="0"/>
        </w:rPr>
        <w:t>Hồ sơ đề xuất cấp độ 4 đối với toàn bộ nền tảng XOR SECURE CLOUD và các dịch vụ quản trị chung, bao gồm thuyết minh hệ thống, phương án thiết kế, đánh giá rủi ro và phương án bảo đảm an ninh mạng.</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Phương án bảo đảm an ninh mạng được đối chiếu với Điều 6 và Phụ lục A.4 TCVN 14423:2026.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Chủ quản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Đơn vị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đầy đủ</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số doanh nghiệp/định danh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đăng ký doanh nghiệp]</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nội bộ của chủ quản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Chức năng, nhiệm vụ và quyền hạn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văn bản]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quyết định giao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Đại diện và đầu mối phụ trách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 Giám đốc 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liên hệ</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[điện thoại/email]</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[CẦN ĐIỀN điện thoại/email]</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chuyên trách ANM</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Vận hành; [CẦN ĐÍNH KÈM quyết định giao nhiệm vụ]</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[CẦN XÁC NHẬN phân công và cơ chế độc lập]</w:t>
            </w:r>
          </w:p>
        </w:tc>
      </w:tr>
    </w:tbl>
    <w:p>
      <w:pPr>
        <w:spacing w:line="240" w:lineRule="auto" w:after="20" w:before="0"/>
        <w:ind w:firstLine="0"/>
      </w:pPr>
      <w:r>
        <w:rPr>
          <w:b w:val="0"/>
        </w:rPr>
      </w:r>
    </w:p>
    <w:p>
      <w:r>
        <w:rPr>
          <w:b w:val="0"/>
        </w:rPr>
        <w:t>Đầu mối lập hồ sơ: Chử Quang Thắng — Giám đốc Vận hành. [CẦN ĐIỀN số, ngày văn bản xác định tư cách chủ quản, giao nhiệm vụ vận hành/chuyên trách, thẩm quyền ký và cơ chế kiểm tra độc lập].</w:t>
      </w:r>
    </w:p>
    <w:p>
      <w:pPr>
        <w:pStyle w:val="Heading1"/>
        <w:pageBreakBefore/>
      </w:pPr>
      <w:r>
        <w:t>3 CHỨC NĂNG PHẠM VI VÀ QUY MÔ</w:t>
      </w:r>
    </w:p>
    <w:p>
      <w:r>
        <w:rPr>
          <w:b w:val="0"/>
        </w:rPr>
        <w:t>XOR SECURE CLOUD là hệ thống cung cấp và quản lý tài nguyên điện toán đám mây trên nền tảng XOR STACK CLOUD. Phạm vi hồ sơ gồm hạ tầng, phần mềm nền tảng và các dịch vụ quản trị chung tại Trung tâm Hạ tầng IDC Cầu Giấy (DC) và Trung tâm Hạ tầng IDC Nam Thăng Long (DR).</w:t>
      </w:r>
    </w:p>
    <w:p>
      <w:r>
        <w:rPr>
          <w:b w:val="0"/>
        </w:rPr>
        <w:t>Phạm vi kỹ thuật bao gồm máy chủ, ảo hóa, mạng, lưu trữ, portal/API, control plane, định danh và đặc quyền, quản lý khóa/chứng thư, DNS/thời gian, giám sát/nhật ký, sao lưu/DR, chuỗi phát hành và máy trạm quản trị. Danh mục dịch vụ và các thành phần thuê ngoài được xác định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và tài liệu chứng minh</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phục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nhóm khách hàng, địa bàn, số tổ chức/tenant/người dùng và phạm vi toàn quốc nếu có].</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 mô hai IDC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số rack, host/controller/compute/storage/network; dung lượng; tải và năng lực dự phòng từng site].</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CHỐT IaaS/VM, network, block/object/file, K8s, DBaaS, GPU và dịch vụ quản lý thực tế].</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xử lý</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loại dữ liệu, độ nhạy cảm, dữ liệu cá nhân/quan trọng và dữ liệu thuộc quy định chuyên ngành nếu có].</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ngoài</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ISP, hệ thống khách hàng, đối tác, dịch vụ dùng chung, cơ quan quản lý và kênh liên site].</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SLA và thời gian hoạt động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nghĩa vụ 24/7, thời gian bảo trì, RPO/RTO và điều khoản hợp đồng/BIA].</w:t>
            </w:r>
          </w:p>
        </w:tc>
      </w:tr>
    </w:tbl>
    <w:p>
      <w:pPr>
        <w:spacing w:line="240" w:lineRule="auto" w:after="20" w:before="0"/>
        <w:ind w:firstLine="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Thiết kế hệ thống gồm kiến trúc tổng thể DC–DR, phân vùng mạng, các luồng kết nối, hạ tầng vật lý và các thành phần quản trị. Hồ sơ thiết kế được phê duyệt hoặc tài liệu có giá trị tương đương: [CẦN ĐIỀN tên, số, ngày, cơ quan phê duyệt và danh mục bản vẽ].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 phải kèm theo</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PL01</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ứng dụng</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đối tượng, máy chủ/vị trí, OS, phiên bản, chủ sở hữu và phạm vi XOR quản lý.</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PL02</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Thiết bị và cấu hình vật lý</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 loại, model/serial, rack, site, vai trò, kết nối, nguồn, phiên bản và EOL.</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PL03</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mạng và IP</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VLAN/VRF/VXLAN, CIDR, IP private/public, route, endpoint, owner và mục đích.</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PL04</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Luồng dữ liệu và kết nối</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Nguồn/đích/cổng/giao thức, phân loại dữ liệu, xác thực, mã hóa, log, tần suất và phê duyệt.</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PL05</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dữ liệu và quyền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mức nhạy cảm, kho, quyền, thời hạn lưu, hủy, sao lưu và khóa.</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PL06</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backup và DR</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quorum, miền lỗi, capacity, replica, RPO/RTO, runbook, restore và diễn tập.</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PL07</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inventory, SBOM, khác biệt XOR/upstream, CI/CD, phê duyệt và rollback.</w:t>
            </w:r>
          </w:p>
        </w:tc>
      </w:tr>
    </w:tbl>
    <w:p>
      <w:pPr>
        <w:spacing w:line="240" w:lineRule="auto" w:after="20" w:before="0"/>
        <w:ind w:firstLine="0"/>
      </w:pPr>
      <w:r>
        <w:rPr>
          <w:b w:val="0"/>
        </w:rPr>
      </w:r>
    </w:p>
    <w:p>
      <w:r>
        <w:rPr>
          <w:b w:val="0"/>
        </w:rPr>
        <w:t>Hiện trạng triển khai: [CẦN ĐIỀN số, ngày hồ sơ kiểm kê/nghiệm thu; phiên bản cấu hình; sai khác giữa thiết kế và hiện trạng; mã tài liệu tại PL01–PL07].</w:t>
      </w:r>
    </w:p>
    <w:p>
      <w:pPr>
        <w:sectPr>
          <w:headerReference w:type="default" r:id="rId11"/>
          <w:footerReference w:type="default" r:id="rId12"/>
          <w:pgSz w:w="11906" w:h="16838"/>
          <w:pgMar w:top="1134" w:right="1134" w:bottom="1134" w:left="1701" w:header="397" w:footer="567" w:gutter="0"/>
          <w:cols w:space="720"/>
          <w:docGrid w:linePitch="360"/>
          <w:pgNumType w:start="1"/>
        </w:sectPr>
      </w:pPr>
    </w:p>
    <w:p>
      <w:pPr>
        <w:pStyle w:val="Heading2"/>
      </w:pPr>
      <w:r>
        <w:t>2.1 Phương án kiến trúc tổng thể DC–DR</w:t>
      </w:r>
    </w:p>
    <w:p>
      <w:pPr>
        <w:spacing w:line="240" w:lineRule="auto" w:after="0"/>
        <w:ind w:firstLine="0"/>
      </w:pPr>
      <w:r>
        <w:drawing>
          <wp:inline xmlns:a="http://schemas.openxmlformats.org/drawingml/2006/main" xmlns:pic="http://schemas.openxmlformats.org/drawingml/2006/picture">
            <wp:extent cx="9108000" cy="5692500"/>
            <wp:docPr id="1" name="Picture 1"/>
            <wp:cNvGraphicFramePr>
              <a:graphicFrameLocks noChangeAspect="1"/>
            </wp:cNvGraphicFramePr>
            <a:graphic>
              <a:graphicData uri="http://schemas.openxmlformats.org/drawingml/2006/picture">
                <pic:pic>
                  <pic:nvPicPr>
                    <pic:cNvPr id="0" name="01_Topo_tong_the_DC_DR.png"/>
                    <pic:cNvPicPr/>
                  </pic:nvPicPr>
                  <pic:blipFill>
                    <a:blip r:embed="rId13"/>
                    <a:stretch>
                      <a:fillRect/>
                    </a:stretch>
                  </pic:blipFill>
                  <pic:spPr>
                    <a:xfrm>
                      <a:off x="0" y="0"/>
                      <a:ext cx="9108000" cy="5692500"/>
                    </a:xfrm>
                    <a:prstGeom prst="rect"/>
                  </pic:spPr>
                </pic:pic>
              </a:graphicData>
            </a:graphic>
          </wp:inline>
        </w:drawing>
      </w:r>
    </w:p>
    <w:p>
      <w:pPr>
        <w:pStyle w:val="Caption"/>
        <w:spacing w:after="0"/>
      </w:pPr>
      <w:r>
        <w:rPr>
          <w:b w:val="0"/>
        </w:rPr>
        <w:t>Hình 1. Kiến trúc tổng thể hệ thống XOR SECURE CLOUD.</w:t>
      </w:r>
    </w:p>
    <w:p>
      <w:pPr>
        <w:sectPr>
          <w:pgSz w:w="16838" w:h="11906" w:orient="landscape"/>
          <w:pgMar w:top="850" w:right="1134" w:bottom="850" w:left="1134" w:header="397" w:footer="567" w:gutter="0"/>
          <w:cols w:space="720"/>
          <w:docGrid w:linePitch="360"/>
        </w:sectPr>
      </w:pPr>
    </w:p>
    <w:p>
      <w:pPr>
        <w:pStyle w:val="Heading2"/>
      </w:pPr>
      <w:r>
        <w:t>2.2 Phương án phân vùng mạng và kết nối</w:t>
      </w:r>
    </w:p>
    <w:p>
      <w:pPr>
        <w:spacing w:line="240" w:lineRule="auto" w:after="0"/>
        <w:ind w:firstLine="0"/>
      </w:pPr>
      <w:r>
        <w:drawing>
          <wp:inline xmlns:a="http://schemas.openxmlformats.org/drawingml/2006/main" xmlns:pic="http://schemas.openxmlformats.org/drawingml/2006/picture">
            <wp:extent cx="9108000" cy="5464800"/>
            <wp:docPr id="2" name="Picture 2"/>
            <wp:cNvGraphicFramePr>
              <a:graphicFrameLocks noChangeAspect="1"/>
            </wp:cNvGraphicFramePr>
            <a:graphic>
              <a:graphicData uri="http://schemas.openxmlformats.org/drawingml/2006/picture">
                <pic:pic>
                  <pic:nvPicPr>
                    <pic:cNvPr id="0" name="02_Topo_phan_vung_va_luong.png"/>
                    <pic:cNvPicPr/>
                  </pic:nvPicPr>
                  <pic:blipFill>
                    <a:blip r:embed="rId14"/>
                    <a:stretch>
                      <a:fillRect/>
                    </a:stretch>
                  </pic:blipFill>
                  <pic:spPr>
                    <a:xfrm>
                      <a:off x="0" y="0"/>
                      <a:ext cx="9108000" cy="5464800"/>
                    </a:xfrm>
                    <a:prstGeom prst="rect"/>
                  </pic:spPr>
                </pic:pic>
              </a:graphicData>
            </a:graphic>
          </wp:inline>
        </w:drawing>
      </w:r>
    </w:p>
    <w:p>
      <w:pPr>
        <w:pStyle w:val="Caption"/>
        <w:spacing w:after="0"/>
      </w:pPr>
      <w:r>
        <w:rPr>
          <w:b w:val="0"/>
        </w:rPr>
        <w:t>Hình 2. Phân vùng mạng và các luồng kết nối chính.</w:t>
      </w:r>
    </w:p>
    <w:p>
      <w:pPr>
        <w:sectPr>
          <w:pgSz w:w="16838" w:h="11906" w:orient="landscape"/>
          <w:pgMar w:top="850" w:right="1134" w:bottom="850" w:left="1134" w:header="397" w:footer="567" w:gutter="0"/>
          <w:cols w:space="720"/>
          <w:docGrid w:linePitch="360"/>
        </w:sectPr>
      </w:pPr>
    </w:p>
    <w:p>
      <w:pPr>
        <w:pStyle w:val="Heading1"/>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Vùng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Chức năng và giới hạn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Z01 Biên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ISP, chống DDoS, NGFW/IPS và cổng VPN/ZTNA; tách listener quản trị.</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Z02 DMZ</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WAF, API gateway/LB và endpoint công khai được duyệt; chặn truy cập trực tiếp origin.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Z03 Nội bộ</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dùng nội bộ và thiết bị; kiểm soát kết nối bằng NAC hoặc tương đương.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Z04 Tài nguyên tenant</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VM/container, project/SG/policy; tách tenant và môi trường.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Z05 Dữ liệu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DB, block/object/file; tách mạng lưu trữ, quyền và khóa theo phạm vi.</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Z06 Quản trị</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IAM, PKI/KMS và dịch vụ quản trị; phân khu chức năng; không truy cập Internet trực tiếp.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Z07 Điều khiển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Controller/API nội bộ, DB trạng thái và hàng đợi; mTLS/ACL theo phiên bản.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Z08 An ninh</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collector, SIEM và kho log khác vùng phát sinh; quyền quản trị độc lập.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Z09 Sao lưu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và miền quản trị độc lập; kiểm soát xóa, phiên bản và mã hóa.</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Z10 Ngoài băng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BMC/console và quản trị thiết bị; chỉ qua đích quản trị được phép.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Z11 Phát triển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Git/CI/build/registry/dev/test, tách production và bí mật.</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Z12 Liên site</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 trên kết nối riêng được bảo vệ; chỉ cho phép peer/luồng đã duyệt.</w:t>
            </w:r>
          </w:p>
        </w:tc>
      </w:tr>
    </w:tbl>
    <w:p>
      <w:pPr>
        <w:spacing w:line="240" w:lineRule="auto" w:after="20" w:before="0"/>
        <w:ind w:firstLine="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spacing w:line="324" w:lineRule="auto" w:before="120" w:after="60"/>
      </w:pPr>
      <w:r>
        <w:t>4 PHƯƠNG ÁN NỀN TẢNG DỮ LIỆU VÀ PHỤC HỒI</w:t>
      </w:r>
    </w:p>
    <w:p>
      <w:pPr>
        <w:pStyle w:val="Heading2"/>
        <w:spacing w:line="324" w:lineRule="auto" w:before="120" w:after="60"/>
      </w:pPr>
      <w:r>
        <w:t>4 1 Nền tảng XOR STACK CLOUD</w:t>
      </w:r>
    </w:p>
    <w:p>
      <w:pPr>
        <w:spacing w:line="324" w:lineRule="auto" w:before="0" w:after="60"/>
      </w:pPr>
      <w:r>
        <w:rPr>
          <w:b w:val="0"/>
        </w:rPr>
        <w:t>Mỗi IDC được thiết kế thành cụm độc lập, có quorum nội bộ cho các thành phần yêu cầu đồng thuận. Việc bố trí số controller, DB, queue, compute và storage căn cứ vào bản dựng được hỗ trợ và phép đo tải. Cụm đồng thuận được thiết lập trong từng IDC; rủi ro miền lỗi chung giữa hai IDC được đánh giá trong phương án DR. Hệ thống mạng ảo hóa/SDN, hypervisor và storage được kiểm tra cách ly tenant, metadata, console, snapshot và tái cấp phát tài nguyên.</w:t>
      </w:r>
    </w:p>
    <w:p>
      <w:pPr>
        <w:pStyle w:val="Heading2"/>
        <w:spacing w:line="324" w:lineRule="auto" w:before="120" w:after="60"/>
      </w:pPr>
      <w:r>
        <w:t>4 2 Bảo vệ dữ liệu và khóa</w:t>
      </w:r>
    </w:p>
    <w:p>
      <w:pPr>
        <w:spacing w:line="324" w:lineRule="auto" w:before="0" w:after="60"/>
      </w:pPr>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Giải pháp kiểm soát tương đương được thuyết minh và kiểm chứng theo phạm vi áp dụng.</w:t>
      </w:r>
    </w:p>
    <w:p>
      <w:pPr>
        <w:pStyle w:val="Heading2"/>
        <w:spacing w:line="324" w:lineRule="auto" w:before="120" w:after="60"/>
      </w:pPr>
      <w:r>
        <w:t>4 3 Sao lưu và DR</w:t>
      </w:r>
    </w:p>
    <w:p>
      <w:pPr>
        <w:spacing w:line="324" w:lineRule="auto" w:before="0" w:after="60"/>
      </w:pPr>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pPr>
        <w:spacing w:line="324" w:lineRule="auto" w:before="0" w:after="60"/>
      </w:pPr>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spacing w:line="324" w:lineRule="auto" w:before="120" w:after="60"/>
      </w:pPr>
      <w:r>
        <w:t>4 4 Độc lập dịch vụ phục hồi</w:t>
      </w:r>
    </w:p>
    <w:p>
      <w:pPr>
        <w:spacing w:line="324" w:lineRule="auto" w:before="0" w:after="60"/>
      </w:pPr>
      <w:r>
        <w:rPr>
          <w:b w:val="0"/>
        </w:rPr>
        <w:t>Tài liệu khôi phục và bí mật khẩn cấp được lưu ở nơi truy cập được khi nền tảng dừng. Đơn vị vận hành lập đồ thị phụ thuộc và kiểm thử khởi động nguội để phát hiện vòng phụ thuộc. [CẦN ĐIỀN mã bằng chứng triển khai và biên bản kiểm thử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thuộc loại hệ thống cơ sở hạ tầng thông tin cung cấp tài nguyên điện toán đám mây. Cấp độ đề xuất: cấp độ 4. Chức năng, phạm vi phục vụ, loại thông tin và hậu quả rủi ro được thuyết minh theo Điều 14 và Điều 22 Nghị định 331/2026/NĐ-CP.</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Tiêu chí Điều 14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chứng minh đối với XOR</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Tình trạng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1</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bí mật nhà nước/quốc phòng/an ninh và hậu quả nghiêm trọng [CẦN ĐIỀN phạm vi phục vụ nếu áp dụng].</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2</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phục vụ cơ quan/tổ chức phạm vi toàn quốc, yêu cầu 24/7 và không chấp nhận ngừng không có kế hoạch. Phạm vi khách hàng, nghĩa vụ dịch vụ và BIA: [CẦN ĐIỀN].</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3</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điều khiển công nghiệp phục vụ công trình thuộc trường hợp được quy định.</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XÁC NHẬN áp dụng và mã bằng chứng]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của Thủ tướng hoặc kết quả đánh giá theo Khung quản lý rủi ro an ninh mạng trong trường hợp tương ứng.</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văn bản làm căn cứ nếu áp dụng]</w:t>
            </w:r>
          </w:p>
        </w:tc>
      </w:tr>
    </w:tbl>
    <w:p>
      <w:pPr>
        <w:spacing w:line="240" w:lineRule="auto" w:after="20" w:before="0"/>
        <w:ind w:firstLine="0"/>
      </w:pPr>
      <w:r>
        <w:rPr>
          <w:b w:val="0"/>
        </w:rPr>
      </w:r>
    </w:p>
    <w:p>
      <w:r>
        <w:rPr>
          <w:b w:val="0"/>
        </w:rPr>
        <w:t>Tiêu chí đề xuất cấp độ: [CẦN ĐIỀN khoản áp dụng tại Điều 14]. Căn cứ và tài liệu chứng minh: [CẦN ĐIỀN phạm vi phục vụ, hợp đồng, BIA, kết quả đánh giá rủi ro và mã tài liệu].</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Các phụ thuộc IAM, DNS, khóa, ISP, IDC và nhà cung cấp được xác định tại PL04 và BIA. [S1, Điều 22.5 a]</w:t>
      </w:r>
    </w:p>
    <w:p>
      <w:pPr>
        <w:pStyle w:val="Heading1"/>
        <w:pageBreakBefore/>
      </w:pPr>
      <w:r>
        <w:t>3 BÁO CÁO ĐÁNH GIÁ RỦI RO CHI TIẾT</w:t>
      </w:r>
    </w:p>
    <w:p>
      <w:r>
        <w:rPr>
          <w:b w:val="0"/>
        </w:rPr>
        <w:t>Phương pháp đánh giá rủi ro gồm xác định tài sản và dịch vụ; nhận diện mối đe dọa, điểm yếu; xác định khả năng và tác động; đánh giá hiệu lực kiểm soát; lựa chọn biện pháp xử lý; đánh giá rủi ro còn lại và phê duyệt. [CẦN ĐIỀN phương pháp, thang điểm và văn bản phê duyệt áp dụng].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Rủi ro cần đánh giá</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Tác động phải làm rõ</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Kiểm soát dự kiến</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RR01 Tài khoản cloud admin bị chiếm hoặc lạm dụng</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Lộ/sửa dữ liệu nhiều tenant; ảnh hưởng dịch vụ diện rộng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MFA, tách quyền, log độc lập</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RR02 Vượt ranh giới tenant qua API hoặc SDN</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 dữ liệu, thay đổi trái phép tài nguyên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SG, kiểm tra sở hữu và cách ly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RR03 Ransomware phá cả bản chính và bản sao</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khôi phục được dịch vụ và dữ liệu</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độc lập, bất biến, tách quyền và restore</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RR04 Mất toàn bộ IDC Cầu Giấy</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Gián đoạn đồng thời nhiều dịch vụ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 độc lập, replica, fencing, capacity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RR05 Mất kênh liên site hoặc hai site ghi đồng thời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không nhất quán hoặc mất giao dịch</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lag, quorum riêng, fencing và quy trình DR</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RR06 Mất khóa hoặc vòng phụ thuộc phục hồi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bản sao nhưng không giải mã/dựng được hệ thống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khóa, bí mật khẩn cấp và cold start</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RR07 Lỗ hổng hoặc mã độc trong bản đóng gói XOR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Tấn công chuỗi cung ứng vào nhiều host/tenant</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SBOM, review, ký image, gate và rollback</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RR08 DDoS hoặc lỗi thiết bị mạng/ISP</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Mất truy cập dịch vụ công khai, suy giảm khả dụng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ISP, chống DDoS, FW/LB HA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RR09 SOC thiếu nguồn log hoặc mất dấu vết</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phát hiện hoặc điều tra được sự cố</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retention, chống sửa/xóa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RR10 Sự cố khu vực ảnh hưởng cả DC và DR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IDC cùng gián đoạn do điện/cáp/thiên tai hoặc nhà cung cấp</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tích miền lỗi chung, bản sao và kế hoạch thay thế</w:t>
            </w:r>
          </w:p>
        </w:tc>
      </w:tr>
    </w:tbl>
    <w:p>
      <w:pPr>
        <w:spacing w:line="240" w:lineRule="auto" w:after="20" w:before="0"/>
        <w:ind w:firstLine="0"/>
      </w:pPr>
      <w:r>
        <w:rPr>
          <w:b w:val="0"/>
        </w:rPr>
      </w:r>
    </w:p>
    <w:p>
      <w:r>
        <w:rPr>
          <w:b w:val="0"/>
        </w:rPr>
        <w:t>Kết quả đánh giá rủi ro: [CẦN ĐIỀN tài sản, mức khả năng, mức tác động, căn cứ chấm điểm, biện pháp xử lý, rủi ro còn lại, người chịu trách nhiệm, thời hạn và quyết định chấp nhận].</w:t>
      </w:r>
    </w:p>
    <w:p>
      <w:pPr>
        <w:pStyle w:val="Heading1"/>
        <w:pageBreakBefore/>
      </w:pPr>
      <w:r>
        <w:t>4 PHÂN TÍCH TÁC ĐỘNG VÀ YÊU CẦU LIÊN TỤC</w:t>
      </w:r>
    </w:p>
    <w:p>
      <w:r>
        <w:rPr>
          <w:b w:val="0"/>
        </w:rPr>
        <w:t>Phân tích tác động nghiệp vụ xác định số khách hàng và hệ thống bị ảnh hưởng; nguy cơ mất, lộ, sửa dữ liệu; thời gian gián đoạn; hậu quả tài chính, pháp lý và tác động đối với lợi ích công cộng, trật tự, an toàn xã hội, an ninh quốc gia. [CẦN ĐIỀN báo cáo BIA, số liệu, nguồn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Dịch vụ</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Phụ thuộc cần đối chiếu</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Chỉ tiêu và căn cứ</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DV01 IAM và quyền quản trị</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IdP, Keystone, MFA, PAM</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DV02 Khóa và chứng thư</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KMS/HSM, PKI, bản sao khóa</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DV03 Điều khiển cloud</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API, DB trạng thái, queue, SDN controller</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DV04 Máy ảo và container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 network, image, storage</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DV05 Dữ liệu và lưu trữ</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Block, object, file, DB theo dịch vụ</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DV06 DNS và thời gian</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DNS nội bộ/công khai, NTP</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DV07 SOC và nhật ký</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Collector, SIEM, kho log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DV08 Sao lưu và DR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Repository, replication, runbook</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DV09 Phát hành XOR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 CI/CD, registry, signing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bl>
    <w:p>
      <w:pPr>
        <w:spacing w:line="240" w:lineRule="auto" w:after="20" w:before="0"/>
        <w:ind w:firstLine="0"/>
      </w:pPr>
      <w:r>
        <w:rPr>
          <w:b w:val="0"/>
        </w:rPr>
      </w:r>
    </w:p>
    <w:p>
      <w:r>
        <w:rPr>
          <w:b w:val="0"/>
        </w:rPr>
        <w:t>Yêu cầu hoạt động liên tục: [CẦN ĐIỀN nghĩa vụ 24/7; điều kiện về ngừng vận hành có kế hoạch và không có kế hoạch; bên yêu cầu, phạm vi dịch vụ, tác động và biện pháp đáp ứng]. [S1, Điều 22.5 d]</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xác định tại Phụ lục đối chiếu yêu cầu và phương án bảo đảm an ninh mạng. Quy chế và quy trình quy định trách nhiệm, trình tự thực hiện và hồ sơ lưu. Hiện trạng và kết quả kiểm tra: [CẦN ĐIỀN ngày chốt, danh mục cấu hình, văn bản ban hành, biên bản kiểm tra và mã bằng chứng].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Phương án tổ chức thực hiện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rủi ro và tài sản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CMDB, phân loại dữ liệu, BIA, quản lý thay đổi và sổ rủi ro; cập nhật theo tần suất từng điều khoản.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và đặc quyền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khoản cá nhân, quyền tối thiểu, MFA, PAM, tách vận hành/bảo mật/kiểm toán, thu hồi theo vòng đời.</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nền tảng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microsegmentation, HA, FW/IPS/WAF/DDoS/DBF/NAC hoặc giải pháp tương đương có kiểm chứng; bảo vệ API và tenant.</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khôi phục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khóa, toàn vẹn, DLP, chữ ký số khi áp dụng; sao lưu độc lập; kiểm thử restore và DR.</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và ứng phó</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24/7, log tối thiểu 6 tháng, đồng bộ thời gian, kho tách mạng, EDR, cảnh báo và playbook.</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Phát triển và đánh giá</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Phát triển an toàn phần mềm nền tảng XOR; SBOM, kiểm tra mã nguồn/dependency, kiểm thử trước phát hành, pentest trong/ngoài, retest.</w:t>
            </w:r>
          </w:p>
        </w:tc>
      </w:tr>
    </w:tbl>
    <w:p>
      <w:pPr>
        <w:spacing w:line="240" w:lineRule="auto" w:after="20" w:before="0"/>
        <w:ind w:firstLine="0"/>
      </w:pPr>
      <w:r>
        <w:rPr>
          <w:b w:val="0"/>
        </w:rPr>
      </w:r>
    </w:p>
    <w:p>
      <w:pPr>
        <w:pStyle w:val="Heading2"/>
      </w:pPr>
      <w:r>
        <w:t>2 Điều kiện đối với giải pháp tương đương</w:t>
      </w:r>
    </w:p>
    <w:p>
      <w:r>
        <w:rPr>
          <w:b w:val="0"/>
        </w:rPr>
        <w:t>Giải pháp tương đương được đánh giá theo yêu cầu áp dụng, rủi ro, kiến trúc kiểm soát, khả năng bảo vệ, giới hạn, kết quả thử nghiệm và thẩm quyền chấp thuận. Hồ sơ giải pháp tương đương: [CẦN ĐIỀN mã yêu cầu, thuyết minh, kết quả kiểm chứng và văn bản chấp thuận nếu áp dụng].</w:t>
      </w:r>
    </w:p>
    <w:p>
      <w:pPr>
        <w:pStyle w:val="Heading1"/>
        <w:pageBreakBefore/>
      </w:pPr>
      <w:r>
        <w:t>3 BẢO ĐẢM AN TOÀN VẬT LÝ VÀ TRÁCH NHIỆM THUÊ NGOÀI</w:t>
      </w:r>
    </w:p>
    <w:p>
      <w:r>
        <w:rPr>
          <w:b w:val="0"/>
        </w:rPr>
        <w:t>Phương án bảo đảm an toàn vật lý áp dụng riêng tại DC Cầu Giấy và DR Nam Thăng Long theo Phụ lục A.4. Phạm vi kiểm soát gồm phòng máy, rack thiết bị, điện/UPS, phòng cháy và chữa cháy, chống sét, chống nước, tĩnh điện, môi trường, bảo vệ điện từ, camera và kiểm soát ra vào. Hồ sơ đối chiếu của từng IDC: [CẦN ĐIỀN hợp đồng, phạm vi, thời hạn hiệu lực, biên bản kiểm tra và mã bằng chứng].</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XOR</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IDC hoặc bên cung cấp</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Rack thiết bị và tài sản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lý thiết bị, người được phép, niêm phong/bàn giao và inventory.</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phòng máy, điều kiện vật lý và kiểm soát vào/ra theo hợp đồng.</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Điện và môi trường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Đấu nối, giám sát tải, cảnh báo và phối hợp bảo trì.</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hai nguồn từ hai trạm khác nhau, UPS, điều hòa, chống cháy/nước/sét theo A.4.</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Camera và ra vào</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người, rà soát log liên quan, xử lý bất thường.</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24/7, lưu camera tối thiểu 6 tháng, cung cấp trích xuất theo thẩm quyền.</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Sự cố</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huy phản ứng với hệ thống, thông tin khách hàng theo trách nhiệm.</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báo sự cố cơ sở, hỗ trợ điều tra/phục hồi theo SLA.</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định kỳ</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 chức kiểm tra, đối soát bằng chứng và theo dõi khắc phục.</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Cung cấp hồ sơ, tham gia kiểm tra theo hợp đồng và phạm vi cho phép.</w:t>
            </w:r>
          </w:p>
        </w:tc>
      </w:tr>
    </w:tbl>
    <w:p>
      <w:pPr>
        <w:spacing w:line="240" w:lineRule="auto" w:after="20" w:before="0"/>
        <w:ind w:firstLine="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Giai đoạn</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Kết quả phải có</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mối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Xác minh đầu vào</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Pháp nhân, thẩm quyền, phạm vi, tiêu chí Điều 14, dữ liệu và dịch vụ.</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người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Xác nhận hiện trạng</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as-built, CMDB, phiên bản, IP và các phụ lục PL01–PL07.</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Bổ sung kiểm soát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từng thiếu sót trong TCVN; phê duyệt thay đổi, triển khai và lưu bằng chứng.</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Kiểm tra và retest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T01–T12; báo cáo độc lập, BIA/RPO/RTO đo được, đóng phát hiện.</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Ý kiến và thẩm định</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Ý kiến chuyên trách; công văn và bộ hồ sơ đúng phiên bản; giải trình khi yêu cầu.</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Phê duyệt và duy trì</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chủ quản; thông báo đúng phạm vi; lịch vận hành, kiểm tra và cập nhật.</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bl>
    <w:p>
      <w:pPr>
        <w:spacing w:line="240" w:lineRule="auto" w:after="20" w:before="0"/>
        <w:ind w:firstLine="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pPr>
        <w:pStyle w:val="Heading2"/>
      </w:pPr>
      <w:r>
        <w:t>Tài liệu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w:t>
      </w:r>
    </w:p>
    <w:p>
      <w:pPr>
        <w:pStyle w:val="Heading1"/>
        <w:pageBreakBefore/>
      </w:pPr>
      <w:r>
        <w:t>PHỤ LỤC PL01 DANH MỤC DỊCH VỤ VÀ ỨNG DỤNG</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dịch vụ; tên; chức năng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và phạm vi phục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[Nhóm khách hàng; địa bàn; số tenant; nghiệp vụ]</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dịch vụ; đơn vị quản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đầu mối]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vị trí triển khai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[DC/DR; asset ID; cụm; vùng mạng; endpoint]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Phần mềm và hệ điều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phiên bản; bản dựng; giấy phép; EOL]</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dịch vụ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PL05; IAM/DNS/KMS/DB/queue/storage và bên ngoài]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[XOR/khách hàng/nhà cung cấp; dẫn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và nghĩa vụ dịch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[Tải; dung lượng; SLA; lịch hoạt động; dẫn BIA]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liệu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[Hợp đồng; CMDB; thiết kế; biên bản; mã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tài sản; loại; vai trò</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mã tài sản, loại và vai trò]</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và vị trí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[Cầu Giấy/Nam Thăng Long; phòng; rack; U; địa chỉ thực tế]</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Nhà sản xuất; model; serial</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[CPU/RAM/disk/NIC; firmware; hypervisor/OS; license]</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vật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[Cổng; peer; fabric A/B; tốc độ; loại cáp; bản vẽ số]</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miền lỗi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[PDU/UPS/nguồn A/B; rack; failure domain]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Bảo trì và vòng đời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hợp đồng; EOL/EOS; lịch bảo trì]</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Trách nhiệm và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sở hữu; người quản lý; hoạt động/dự phòng; ngày kiểm kê]</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vẽ vật lý; số/ngày phê duyệt hoặc tài liệu tương đương;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mạng; chức năng; site</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vùng Z01–Z12 tương ứng]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phân đoạn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 VRF; VXLAN/VNI; project; network ID]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điểm cuối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[CIDR; gateway; IP private/public; VIP; FQDN; asset ID]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tuyến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[Bảng route; next-hop; miền định tuyến; đích được phép]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và kiểm soát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[FW/SG/ACL/SDN; mã rule; chặn mặc định; chống giả mạo]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và truy cập Internet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[Đường PAM; OOB; kiểm chứng mạng quản trị không kết nối Internet]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[Peer; fabric; LB; DNS; NTP; khả năng failover]</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mạng và thay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đầu mối; ticket; 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vẽ lô-gic; bảng IP; export route/rule đã xử lý bí mật;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luồng; mục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căn cứ nghiệp vụ]</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nguồn và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chủ quản; cấp độ đã phê duyệt nếu có; bên chịu trách nhiệm]</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Điểm kết nối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vùng; asset/IP/FQDN; cổng; giao thức; chiều khởi tạo]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trao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dữ liệu PL05; phân loại; dung lượng/tần suất]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thực và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tính kỹ thuật; phạm vi quyền; cơ chế xác thực; chu kỳ đổi khóa]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kiểm tra toàn vẹn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[Giao thức; bộ mật mã; chứng thư; cơ chế bảo vệ theo phân loại]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soát tại biên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[Rule/allowlist; WAF/IPS/gateway; kiểm soát tương đương nếu áp dụng]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Nhật ký và giám sát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[Trường log; đích collector; retention; cảnh báo; người quản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và kiểm thử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duyệt; thời hạn; ticket; phép thử cho phép/từ chối;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tập dữ liệu; mô tả</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nguồn và mục đích xử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sở hữu và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bên xử lý; XOR/khách hàng; căn cứ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loại và căn cứ</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[Độ nhạy cảm; nghĩa vụ pháp lý/chuyên ngành; người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Nơi lưu và bản sao</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hệ thống; volume/bucket/DB; replica; backup; môi trường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[Nhóm/danh tính; đọc/ghi/xuất/xóa; phê duyệt; ngày rà soát]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quản lý khóa</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[Khi truyền/lưu; KMS/HSM nếu dùng; chủ khóa; khôi phục/thu hồi]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giữ và hủy</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hạn; căn cứ; phương pháp; bản sao; biên bản xác minh]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và phục hồi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[Audit/DLP/toàn vẹn; job backup; RPO/RTO;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cấu hình che bí mật; log; ticket quyền;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mục tiêu được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PL01/BIA; RPO; RTO; MTD; người/ngày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và thứ tự khôi phục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[Mạng/thời gian/DNS/IAM/KMS/storage/DB/queue/API/workload]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quorum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[Cụm tại từng IDC; số thành viên; failure domain; ngưỡng chịu lỗi]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Sao lưu</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liệu/cấu hình/khóa; job; lịch; retention; mã hóa; kho độc lập]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[Cơ chế; chiều; lịch; độ trễ đo; băng thông; kiểm tra nhất quán]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DR và rủi ro chung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[Tải đáp ứng; nguồn điện; ISP/tuyến cáp; rủi ro đồng thời; biện pháp]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Kích hoạt và chuyển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[Ngưỡng; người quyết định; fencing; runbook; truyền thông]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Chuyển về và khởi động nguội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đồng bộ ngược; rollback; bí mật khẩn cấp;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[Ngày; kịch bản; RPO/RTO đo được; đối soát; tồn tại;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 xml:space="preserve">Mã bản ghi: [CẦN ĐIỀN]. Ngày chốt hiện trạng: [CẦN ĐIỀN]. </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hiện trạng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phạm vi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site; asset/cụm; môi trường]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bản dựng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nguồn phần mềm; phiên bản XOR; commit/tag; digest]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Khác biệt và thành phần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vá/tùy biến; SBOM; thư viện; giấy phép; hỗ trợ]</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cấu hình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[Mã/phiên bản; hardening; IAM; log; giao thức; người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Chuỗi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mã; pipeline; runner; registry; người review và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trước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[SAST/SCA/secret scan/DAST/pentest; phạm vi; kết quả; retest]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Triển khai và quay lui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[Ticket; ngày; cửa sổ; bản trước/sau; phương án rollback]</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vận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[Drift; CVE; vá; EOL; tương thích và hiệu năng]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và phê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[Release manifest; log triển khai; biên bản; người ký;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