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PHỤ LỤC THIẾT KẾ VÀ HIỆN TRẠNG HỆ THỐNG</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Kèm theo hồ sơ đề xuất cấp độ 4 hệ thống XOR SECURE CLOUD</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pPr>
        <w:pStyle w:val="Heading2"/>
      </w:pPr>
      <w:r>
        <w:t>1. Thông tin hệ thống</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hệ thống</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 SECURE CLOUD; nền tảng XOR STACK CLOUD.</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 và đơn vị vận hành</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 Khối Hạ tầng &amp;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nền tảng cloud và các dịch vụ quản trị chung. Ranh giới với phần khách hàng quản lý được xác định theo hợp đồng và ma trận trách nhiệm.</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điểm</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 Trung tâm Hạ tầng IDC Cầu Giấy. DR: Trung tâm Hạ tầng IDC Nam Thăng Long.</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thiết kế</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tên, số, ngày, phiên bản và văn bản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điểm chốt hiện trạng</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ngày, người kiểm kê/xác nhận và biên bản]</w:t>
            </w:r>
          </w:p>
        </w:tc>
      </w:tr>
    </w:tbl>
    <w:p>
      <w:pPr>
        <w:spacing w:line="240" w:lineRule="auto" w:after="20" w:before="0"/>
        <w:ind w:firstLine="0"/>
      </w:pPr>
      <w:r>
        <w:rPr>
          <w:b w:val="0"/>
        </w:rPr>
      </w:r>
    </w:p>
    <w:p>
      <w:pPr>
        <w:pStyle w:val="Heading2"/>
      </w:pPr>
      <w:r>
        <w:t>2. Thông số thiết kế hạ tầng</w:t>
      </w:r>
    </w:p>
    <w:tbl>
      <w:tblPr>
        <w:tblW w:type="auto" w:w="0"/>
        <w:jc w:val="center"/>
        <w:tblLayout w:type="fixed"/>
        <w:tblLook w:firstColumn="1" w:firstRow="1" w:lastColumn="0" w:lastRow="0" w:noHBand="0" w:noVBand="1" w:val="04A0"/>
      </w:tblPr>
      <w:tblGrid>
        <w:gridCol w:w="1910"/>
        <w:gridCol w:w="3151"/>
        <w:gridCol w:w="4010"/>
      </w:tblGrid>
      <w:tr>
        <w:trPr>
          <w:cantSplit/>
          <w:tblHeader/>
        </w:trPr>
        <w:tc>
          <w:tcPr>
            <w:tcW w:type="dxa" w:w="19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Thành phần</w:t>
            </w:r>
          </w:p>
        </w:tc>
        <w:tc>
          <w:tcPr>
            <w:tcW w:type="dxa" w:w="31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số thiết kế</w:t>
            </w:r>
          </w:p>
        </w:tc>
        <w:tc>
          <w:tcPr>
            <w:tcW w:type="dxa" w:w="40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Hiện trạng và bằng chứng</w:t>
            </w:r>
          </w:p>
        </w:tc>
      </w:tr>
      <w:tr>
        <w:trPr>
          <w:cantSplit/>
        </w:trPr>
        <w:tc>
          <w:tcPr>
            <w:tcW w:type="dxa" w:w="19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Máy chủ</w:t>
            </w:r>
          </w:p>
        </w:tc>
        <w:tc>
          <w:tcPr>
            <w:tcW w:type="dxa" w:w="31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09 Dell R630: 03 Controller, 03 Compute KVM, 03 Ceph SSD.</w:t>
            </w:r>
          </w:p>
        </w:tc>
        <w:tc>
          <w:tcPr>
            <w:tcW w:type="dxa" w:w="40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số lượng theo site; serial; cấu hình; vai trò; phiên bản; mã EV]</w:t>
            </w:r>
          </w:p>
        </w:tc>
      </w:tr>
      <w:tr>
        <w:trPr>
          <w:cantSplit/>
        </w:trPr>
        <w:tc>
          <w:tcPr>
            <w:tcW w:type="dxa" w:w="19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Bộ nhớ</w:t>
            </w:r>
          </w:p>
        </w:tc>
        <w:tc>
          <w:tcPr>
            <w:tcW w:type="dxa" w:w="31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2.304 GB RAM theo cấu hình các vai trò.</w:t>
            </w:r>
          </w:p>
        </w:tc>
        <w:tc>
          <w:tcPr>
            <w:tcW w:type="dxa" w:w="40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bộ nhớ khả dụng, dự phòng, năng lực chịu lỗi và mã EV]</w:t>
            </w:r>
          </w:p>
        </w:tc>
      </w:tr>
      <w:tr>
        <w:trPr>
          <w:cantSplit/>
        </w:trPr>
        <w:tc>
          <w:tcPr>
            <w:tcW w:type="dxa" w:w="19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trữ</w:t>
            </w:r>
          </w:p>
        </w:tc>
        <w:tc>
          <w:tcPr>
            <w:tcW w:type="dxa" w:w="31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SSD: 19,2 TB dung lượng thô; SAN: 14,4 TB dung lượng thô; 18 ổ OS 480 GB.</w:t>
            </w:r>
          </w:p>
        </w:tc>
        <w:tc>
          <w:tcPr>
            <w:tcW w:type="dxa" w:w="40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dung lượng sử dụng, replica/RAID, backend, mã hóa và kết quả phục hồi]</w:t>
            </w:r>
          </w:p>
        </w:tc>
      </w:tr>
      <w:tr>
        <w:trPr>
          <w:cantSplit/>
        </w:trPr>
        <w:tc>
          <w:tcPr>
            <w:tcW w:type="dxa" w:w="19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và bảo vệ biên</w:t>
            </w:r>
          </w:p>
        </w:tc>
        <w:tc>
          <w:tcPr>
            <w:tcW w:type="dxa" w:w="31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Nexus N9K-C93180YC-EX; 02 FortiGate 500E; 01 switch SAN; 01 Access.</w:t>
            </w:r>
          </w:p>
        </w:tc>
        <w:tc>
          <w:tcPr>
            <w:tcW w:type="dxa" w:w="40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phân bổ theo site, port map, dự phòng, giấy phép, hỗ trợ và kết quả chịu lỗi]</w:t>
            </w:r>
          </w:p>
        </w:tc>
      </w:tr>
      <w:tr>
        <w:trPr>
          <w:cantSplit/>
        </w:trPr>
        <w:tc>
          <w:tcPr>
            <w:tcW w:type="dxa" w:w="19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liên trung tâm</w:t>
            </w:r>
          </w:p>
        </w:tc>
        <w:tc>
          <w:tcPr>
            <w:tcW w:type="dxa" w:w="31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DC Cầu Giấy – DR Nam Thăng Long.</w:t>
            </w:r>
          </w:p>
        </w:tc>
        <w:tc>
          <w:tcPr>
            <w:tcW w:type="dxa" w:w="401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nhà mạng, tuyến, băng thông, mã hóa, độ trễ và cơ chế đồng bộ]</w:t>
            </w:r>
          </w:p>
        </w:tc>
      </w:tr>
    </w:tbl>
    <w:p>
      <w:pPr>
        <w:spacing w:line="240" w:lineRule="auto" w:after="20" w:before="0"/>
        <w:ind w:firstLine="0"/>
      </w:pPr>
      <w:r>
        <w:rPr>
          <w:b w:val="0"/>
        </w:rPr>
      </w:r>
    </w:p>
    <w:p>
      <w:r>
        <w:rPr>
          <w:b w:val="0"/>
        </w:rPr>
        <w:t>[CẦN XÁC NHẬN phạm vi của bảng cấu hình: một site hoặc toàn hệ thống; phân bổ thiết bị tại DC/DR; sai khác giữa thiết kế và hiện trạng; biên bản nghiệm thu].</w:t>
      </w:r>
    </w:p>
    <w:p>
      <w:pPr>
        <w:pStyle w:val="Heading1"/>
        <w:pageBreakBefore/>
      </w:pPr>
      <w:r>
        <w:t>3. PHÂN VÙNG VÀ LUỒNG THÔNG TIN</w:t>
      </w:r>
    </w:p>
    <w:tbl>
      <w:tblPr>
        <w:tblW w:type="auto" w:w="0"/>
        <w:jc w:val="center"/>
        <w:tblLayout w:type="fixed"/>
        <w:tblLook w:firstColumn="1" w:firstRow="1" w:lastColumn="0" w:lastRow="0" w:noHBand="0" w:noVBand="1" w:val="04A0"/>
      </w:tblPr>
      <w:tblGrid>
        <w:gridCol w:w="1371"/>
        <w:gridCol w:w="2848"/>
        <w:gridCol w:w="4852"/>
      </w:tblGrid>
      <w:tr>
        <w:trPr>
          <w:cantSplit/>
          <w:tblHeader/>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VLAN thiết kế</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Chức năng</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triển khai</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điều khiển nội bộ</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site, VLAN/VRF/CIDR, gateway, owner, vùng Z và mã rule]</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Transport cho mạng tenant</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underlay/overlay, VNI, MTU, chính sách cách ly và mã EV]</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30</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trữ Ceph client</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mạng I/O, client được phép, ACL và mã EV]</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31</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trữ Ceph cluster</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mạng đồng bộ, recovery, heartbeat và mã EV]</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40</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và an ninh</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phân khu PAM, SIEM, sao lưu, kho log và quyền quản trị]</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70</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API nội bộ XOR STACK CLOUD</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endpoint, TLS, danh tính, quyền, audit và mã EV]</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99</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ngoài băng</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BMC/console, điểm truy cập qua PAM và ACL]</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DMZ và cổng thông tin</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endpoint, WAF/LB, origin, luồng API và mã EV]</w:t>
            </w:r>
          </w:p>
        </w:tc>
      </w:tr>
      <w:tr>
        <w:trPr>
          <w:cantSplit/>
        </w:trPr>
        <w:tc>
          <w:tcPr>
            <w:tcW w:type="dxa" w:w="137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c>
          <w:tcPr>
            <w:tcW w:type="dxa" w:w="2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Provider/external và SAN</w:t>
            </w:r>
          </w:p>
        </w:tc>
        <w:tc>
          <w:tcPr>
            <w:tcW w:type="dxa" w:w="48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VLAN/VRF, gateway, giao thức, zoning/multipath]</w:t>
            </w:r>
          </w:p>
        </w:tc>
      </w:tr>
    </w:tbl>
    <w:p>
      <w:pPr>
        <w:spacing w:line="240" w:lineRule="auto" w:after="20" w:before="0"/>
        <w:ind w:firstLine="0"/>
      </w:pPr>
      <w:r>
        <w:rPr>
          <w:b w:val="0"/>
        </w:rPr>
      </w:r>
    </w:p>
    <w:p>
      <w:r>
        <w:rPr>
          <w:b w:val="0"/>
        </w:rPr>
        <w:t>Hồ sơ luồng kết nối: [CẦN ĐIỀN mã PL04, nguồn, đích, chiều khởi tạo, cổng/giao thức, mục đích, biện pháp kiểm soát, rule ID, người phê duyệt và bằng chứng thử cho phép/từ chối].</w:t>
      </w:r>
    </w:p>
    <w:p>
      <w:pPr>
        <w:pStyle w:val="Heading2"/>
      </w:pPr>
      <w:r>
        <w:t>4. Phạm vi dịch vụ</w:t>
      </w:r>
    </w:p>
    <w:tbl>
      <w:tblPr>
        <w:tblW w:type="auto" w:w="0"/>
        <w:jc w:val="center"/>
        <w:tblLayout w:type="fixed"/>
        <w:tblLook w:firstColumn="1" w:firstRow="1" w:lastColumn="0" w:lastRow="0" w:noHBand="0" w:noVBand="1" w:val="04A0"/>
      </w:tblPr>
      <w:tblGrid>
        <w:gridCol w:w="2062"/>
        <w:gridCol w:w="3711"/>
        <w:gridCol w:w="3299"/>
      </w:tblGrid>
      <w:tr>
        <w:trPr>
          <w:cantSplit/>
          <w:tblHeader/>
        </w:trPr>
        <w:tc>
          <w:tcPr>
            <w:tcW w:type="dxa" w:w="20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 dịch vụ</w:t>
            </w:r>
          </w:p>
        </w:tc>
        <w:tc>
          <w:tcPr>
            <w:tcW w:type="dxa" w:w="371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Thành phần</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Trạng thái và phạm vi triển khai</w:t>
            </w:r>
          </w:p>
        </w:tc>
      </w:tr>
      <w:tr>
        <w:trPr>
          <w:cantSplit/>
        </w:trPr>
        <w:tc>
          <w:tcPr>
            <w:tcW w:type="dxa" w:w="20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Tính toán và mạng</w:t>
            </w:r>
          </w:p>
        </w:tc>
        <w:tc>
          <w:tcPr>
            <w:tcW w:type="dxa" w:w="371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 image, flavor, volume, mạng riêng, router, SG, floating IP, cân bằng tải.</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dịch vụ, phiên bản, site, trạng thái và mã EV]</w:t>
            </w:r>
          </w:p>
        </w:tc>
      </w:tr>
      <w:tr>
        <w:trPr>
          <w:cantSplit/>
        </w:trPr>
        <w:tc>
          <w:tcPr>
            <w:tcW w:type="dxa" w:w="20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chung</w:t>
            </w:r>
          </w:p>
        </w:tc>
        <w:tc>
          <w:tcPr>
            <w:tcW w:type="dxa" w:w="371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Portal/API, định danh, quota, usage/billing, CMDB, giám sát, nhật ký, hỗ trợ.</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thành phần, trách nhiệm, trạng thái và mã EV]</w:t>
            </w:r>
          </w:p>
        </w:tc>
      </w:tr>
      <w:tr>
        <w:trPr>
          <w:cantSplit/>
        </w:trPr>
        <w:tc>
          <w:tcPr>
            <w:tcW w:type="dxa" w:w="20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sao lưu</w:t>
            </w:r>
          </w:p>
        </w:tc>
        <w:tc>
          <w:tcPr>
            <w:tcW w:type="dxa" w:w="371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Backend, snapshot, backup, cấu hình và khóa phục hồi.</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dữ liệu, vị trí, thời hạn lưu, quyền và mã EV]</w:t>
            </w:r>
          </w:p>
        </w:tc>
      </w:tr>
      <w:tr>
        <w:trPr>
          <w:cantSplit/>
        </w:trPr>
        <w:tc>
          <w:tcPr>
            <w:tcW w:type="dxa" w:w="20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mở rộng</w:t>
            </w:r>
          </w:p>
        </w:tc>
        <w:tc>
          <w:tcPr>
            <w:tcW w:type="dxa" w:w="371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Kubernetes, GPU, S3, cơ sở dữ liệu quản trị và các dịch vụ khác.</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đã triển khai, dự kiến hoặc không thuộc phạm vi; mã EV]</w:t>
            </w:r>
          </w:p>
        </w:tc>
      </w:tr>
    </w:tbl>
    <w:p>
      <w:pPr>
        <w:spacing w:line="240" w:lineRule="auto" w:after="20" w:before="0"/>
        <w:ind w:firstLine="0"/>
      </w:pPr>
      <w:r>
        <w:rPr>
          <w:b w:val="0"/>
        </w:rPr>
      </w:r>
    </w:p>
    <w:p>
      <w:pPr>
        <w:pStyle w:val="Heading1"/>
        <w:pageBreakBefore/>
      </w:pPr>
      <w:r>
        <w:t>5. PHÂN BỔ TẠI DC VÀ DR</w:t>
      </w:r>
    </w:p>
    <w:tbl>
      <w:tblPr>
        <w:tblW w:type="auto" w:w="0"/>
        <w:jc w:val="center"/>
        <w:tblLayout w:type="fixed"/>
        <w:tblLook w:firstColumn="1" w:firstRow="1" w:lastColumn="0" w:lastRow="0" w:noHBand="0" w:noVBand="1" w:val="04A0"/>
      </w:tblPr>
      <w:tblGrid>
        <w:gridCol w:w="2536"/>
        <w:gridCol w:w="1073"/>
        <w:gridCol w:w="5462"/>
      </w:tblGrid>
      <w:tr>
        <w:trPr>
          <w:cantSplit/>
          <w:tblHeader/>
        </w:trPr>
        <w:tc>
          <w:tcPr>
            <w:tcW w:type="dxa" w:w="25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Địa điểm</w:t>
            </w:r>
          </w:p>
        </w:tc>
        <w:tc>
          <w:tcPr>
            <w:tcW w:type="dxa" w:w="107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Vai trò</w:t>
            </w:r>
          </w:p>
        </w:tc>
        <w:tc>
          <w:tcPr>
            <w:tcW w:type="dxa" w:w="54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Hồ sơ hiện trạng</w:t>
            </w:r>
          </w:p>
        </w:tc>
      </w:tr>
      <w:tr>
        <w:trPr>
          <w:cantSplit/>
        </w:trPr>
        <w:tc>
          <w:tcPr>
            <w:tcW w:type="dxa" w:w="25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Trung tâm Hạ tầng IDC Cầu Giấy</w:t>
            </w:r>
          </w:p>
        </w:tc>
        <w:tc>
          <w:tcPr>
            <w:tcW w:type="dxa" w:w="107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 chính</w:t>
            </w:r>
          </w:p>
        </w:tc>
        <w:tc>
          <w:tcPr>
            <w:tcW w:type="dxa" w:w="54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địa chỉ chi tiết, hợp đồng/SLA, rack/điện/lạnh, thiết bị, kết nối, kiểm soát vật lý và mã EV]</w:t>
            </w:r>
          </w:p>
        </w:tc>
      </w:tr>
      <w:tr>
        <w:trPr>
          <w:cantSplit/>
        </w:trPr>
        <w:tc>
          <w:tcPr>
            <w:tcW w:type="dxa" w:w="25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Trung tâm Hạ tầng IDC Nam Thăng Long</w:t>
            </w:r>
          </w:p>
        </w:tc>
        <w:tc>
          <w:tcPr>
            <w:tcW w:type="dxa" w:w="107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w:t>
            </w:r>
          </w:p>
        </w:tc>
        <w:tc>
          <w:tcPr>
            <w:tcW w:type="dxa" w:w="546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cấu hình phục hồi, dữ liệu đồng bộ, tài khoản/khóa, hồ sơ IDC, kết quả chuyển đổi/chuyển về và mã EV]</w:t>
            </w:r>
          </w:p>
        </w:tc>
      </w:tr>
    </w:tbl>
    <w:p>
      <w:pPr>
        <w:spacing w:line="240" w:lineRule="auto" w:after="20" w:before="0"/>
        <w:ind w:firstLine="0"/>
      </w:pPr>
      <w:r>
        <w:rPr>
          <w:b w:val="0"/>
        </w:rPr>
      </w:r>
    </w:p>
    <w:p>
      <w:r>
        <w:rPr>
          <w:b w:val="0"/>
        </w:rPr>
        <w:t>Chỉ tiêu phục hồi: [CẦN ĐIỀN mã dịch vụ, RPO/RTO/MTD được duyệt, kết quả đo, ngày thử và người xác nhận]. Thứ tự phục hồi và phụ thuộc: [CẦN ĐIỀN mạng, thời gian, DNS, IAM, KMS, lưu trữ, cơ sở dữ liệu, hàng đợi, API và workload].</w:t>
      </w:r>
    </w:p>
    <w:p>
      <w:pPr>
        <w:pStyle w:val="Heading2"/>
      </w:pPr>
      <w:r>
        <w:t>6. Danh mục hồ sơ xác nhận</w:t>
      </w:r>
    </w:p>
    <w:tbl>
      <w:tblPr>
        <w:tblW w:type="auto" w:w="0"/>
        <w:jc w:val="center"/>
        <w:tblLayout w:type="fixed"/>
        <w:tblLook w:firstColumn="1" w:firstRow="1" w:lastColumn="0" w:lastRow="0" w:noHBand="0" w:noVBand="1" w:val="04A0"/>
      </w:tblPr>
      <w:tblGrid>
        <w:gridCol w:w="916"/>
        <w:gridCol w:w="4032"/>
        <w:gridCol w:w="2107"/>
        <w:gridCol w:w="2016"/>
      </w:tblGrid>
      <w:tr>
        <w:trPr>
          <w:cantSplit/>
          <w:tblHeader/>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Tài liệu</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Đơn vị chủ trì</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EV / phiên bản</w:t>
            </w:r>
          </w:p>
        </w:tc>
      </w:tr>
      <w:tr>
        <w:trPr>
          <w:cantSplit/>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XN01</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BOM theo site; serial; rack; port; nguồn điện A/B.</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 IDC</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XN02</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Inventory nền tảng, bản dựng XOR, SBOM, cấu hình.</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XN03</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VLAN/VRF/IP, rule liên vùng, OOB, kết nối hai site.</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Network</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XN04</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Backend, mã hóa, khóa, dung lượng và chịu lỗi.</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Storage / IAM</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XN05</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Quét lỗ hổng, kiểm thử, kiểm tra lại và thay đổi.</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Chuyên trách ANM</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XN06</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BIA, sao lưu/phục hồi, diễn tập DR và RPO/RTO.</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Vận hành</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9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XN07</w:t>
            </w:r>
          </w:p>
        </w:tc>
        <w:tc>
          <w:tcPr>
            <w:tcW w:type="dxa" w:w="40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Pháp nhân, phân công, thẩm quyền ký, liên hệ.</w:t>
            </w:r>
          </w:p>
        </w:tc>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 / pháp chế</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bl>
    <w:p>
      <w:pPr>
        <w:spacing w:line="240" w:lineRule="auto" w:after="20" w:before="0"/>
        <w:ind w:firstLine="0"/>
      </w:pPr>
      <w:r>
        <w:rPr>
          <w:b w:val="0"/>
        </w:rPr>
      </w:r>
    </w:p>
    <w:p>
      <w:r>
        <w:rPr>
          <w:b w:val="0"/>
        </w:rPr>
        <w:t>Đơn vị lập: Khối Hạ tầng &amp; Vận hành. Người lập: [CẦN ĐIỀN]. Người kiểm tra: [CẦN ĐIỀN]. Văn bản xác nhận: [CẦN ĐIỀN số, ngày, người ký].</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thiết kế và hiện trạng hệ thống</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