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b/>
          <w:i w:val="0"/>
          <w:color w:val="000000"/>
          <w:sz w:val="26"/>
        </w:rPr>
        <w:t>CÔNG TY CỔ PHẦN XOR CLOUD</w:t>
      </w:r>
    </w:p>
    <w:p>
      <w:pPr>
        <w:spacing w:line="276" w:lineRule="auto" w:before="0" w:after="360"/>
        <w:ind w:firstLine="0"/>
        <w:jc w:val="center"/>
      </w:pPr>
      <w:r>
        <w:rPr>
          <w:rFonts w:ascii="Times New Roman" w:hAnsi="Times New Roman"/>
          <w:b/>
          <w:i w:val="0"/>
          <w:color w:val="000000"/>
          <w:sz w:val="26"/>
        </w:rPr>
        <w:t>KHỐI HẠ TẦNG &amp; VẬN HÀNH</w:t>
      </w:r>
    </w:p>
    <w:p>
      <w:pPr>
        <w:spacing w:line="276" w:lineRule="auto" w:before="0" w:after="1440"/>
        <w:ind w:firstLine="0" w:left="2494" w:right="2494"/>
        <w:jc w:val="center"/>
        <w:pBdr>
          <w:bottom w:val="single" w:sz="6" w:space="1" w:color="000000"/>
        </w:pBdr>
      </w:pPr>
      <w:r>
        <w:rPr>
          <w:rFonts w:ascii="Times New Roman" w:hAnsi="Times New Roman"/>
          <w:b w:val="0"/>
          <w:i w:val="0"/>
          <w:color w:val="000000"/>
          <w:sz w:val="26"/>
        </w:rPr>
      </w:r>
    </w:p>
    <w:p>
      <w:pPr>
        <w:spacing w:line="276" w:lineRule="auto" w:before="0" w:after="260"/>
        <w:ind w:firstLine="0"/>
        <w:jc w:val="center"/>
      </w:pPr>
      <w:r>
        <w:rPr>
          <w:rFonts w:ascii="Times New Roman" w:hAnsi="Times New Roman"/>
          <w:b/>
          <w:i w:val="0"/>
          <w:color w:val="000000"/>
          <w:sz w:val="44"/>
        </w:rPr>
        <w:t>TÀI LIỆU KỸ THUẬT</w:t>
      </w:r>
    </w:p>
    <w:p>
      <w:pPr>
        <w:pStyle w:val="Title"/>
        <w:spacing w:line="276" w:lineRule="auto" w:before="0" w:after="280"/>
        <w:ind w:firstLine="0"/>
        <w:jc w:val="center"/>
      </w:pPr>
      <w:r>
        <w:rPr>
          <w:rFonts w:ascii="Times New Roman" w:hAnsi="Times New Roman"/>
          <w:b/>
          <w:i w:val="0"/>
          <w:color w:val="000000"/>
          <w:sz w:val="30"/>
        </w:rPr>
        <w:t>ĐỐI SOÁT HIỆN TRẠNG KIỂM KÊ VÀ TỒN TẠI KỸ THUẬT</w:t>
      </w:r>
    </w:p>
    <w:p>
      <w:pPr>
        <w:spacing w:line="276" w:lineRule="auto" w:before="0" w:after="240"/>
        <w:ind w:firstLine="0"/>
        <w:jc w:val="center"/>
      </w:pPr>
      <w:r>
        <w:rPr>
          <w:rFonts w:ascii="Times New Roman" w:hAnsi="Times New Roman"/>
          <w:b/>
          <w:i w:val="0"/>
          <w:color w:val="000000"/>
          <w:sz w:val="36"/>
        </w:rPr>
        <w:t>XOR SECURE CLOUD</w:t>
      </w:r>
    </w:p>
    <w:p>
      <w:pPr>
        <w:spacing w:line="276" w:lineRule="auto" w:before="0" w:after="240"/>
        <w:ind w:firstLine="0"/>
        <w:jc w:val="center"/>
      </w:pPr>
      <w:r>
        <w:rPr>
          <w:rFonts w:ascii="Times New Roman" w:hAnsi="Times New Roman"/>
          <w:b w:val="0"/>
          <w:i/>
          <w:color w:val="000000"/>
          <w:sz w:val="26"/>
        </w:rPr>
        <w:t>Cập nhật kiểm kê ngày 18 tháng 10 năm 2026</w:t>
      </w:r>
    </w:p>
    <w:p>
      <w:pPr>
        <w:spacing w:line="276" w:lineRule="auto" w:before="0" w:after="1120"/>
        <w:ind w:firstLine="0"/>
        <w:jc w:val="center"/>
      </w:pPr>
      <w:r>
        <w:rPr>
          <w:rFonts w:ascii="Times New Roman" w:hAnsi="Times New Roman"/>
          <w:b w:val="0"/>
          <w:i w:val="0"/>
          <w:color w:val="000000"/>
          <w:sz w:val="26"/>
        </w:rPr>
        <w:t>Nền tảng XOR STACK CLOUD</w:t>
      </w:r>
    </w:p>
    <w:p>
      <w:pPr>
        <w:spacing w:line="276" w:lineRule="auto" w:before="0" w:after="120"/>
        <w:ind w:firstLine="0"/>
        <w:jc w:val="center"/>
      </w:pPr>
      <w:r>
        <w:rPr>
          <w:rFonts w:ascii="Times New Roman" w:hAnsi="Times New Roman"/>
          <w:b w:val="0"/>
          <w:i w:val="0"/>
          <w:color w:val="000000"/>
          <w:sz w:val="26"/>
        </w:rPr>
        <w:t>Đơn vị vận hành: Khối Hạ tầng &amp; Vận hành</w:t>
      </w:r>
    </w:p>
    <w:p>
      <w:pPr>
        <w:spacing w:line="276" w:lineRule="auto" w:before="0" w:after="200"/>
        <w:ind w:firstLine="0"/>
        <w:jc w:val="center"/>
      </w:pPr>
      <w:r>
        <w:rPr>
          <w:rFonts w:ascii="Times New Roman" w:hAnsi="Times New Roman"/>
          <w:b w:val="0"/>
          <w:i w:val="0"/>
          <w:color w:val="000000"/>
          <w:sz w:val="26"/>
        </w:rPr>
        <w:t>DC: Trung tâm Hạ tầng IDC Cầu Giấy</w:t>
        <w:br/>
        <w:t>DR: Trung tâm Hạ tầng IDC Nam Thăng Long</w:t>
      </w:r>
    </w:p>
    <w:p>
      <w:pPr>
        <w:spacing w:line="276" w:lineRule="auto" w:before="0" w:after="840"/>
        <w:ind w:firstLine="0"/>
        <w:jc w:val="center"/>
      </w:pPr>
      <w:r>
        <w:rPr>
          <w:rFonts w:ascii="Times New Roman" w:hAnsi="Times New Roman"/>
          <w:b w:val="0"/>
          <w:i w:val="0"/>
          <w:color w:val="000000"/>
          <w:sz w:val="24"/>
        </w:rPr>
      </w:r>
    </w:p>
    <w:p>
      <w:pPr>
        <w:spacing w:line="276" w:lineRule="auto" w:before="0" w:after="0"/>
        <w:ind w:firstLine="0"/>
        <w:jc w:val="center"/>
      </w:pPr>
      <w:r>
        <w:rPr>
          <w:rFonts w:ascii="Times New Roman" w:hAnsi="Times New Roman"/>
          <w:b w:val="0"/>
          <w:i/>
          <w:color w:val="000000"/>
          <w:sz w:val="26"/>
        </w:rPr>
        <w:t>Hà Nội, tháng 10 năm 2026</w:t>
      </w:r>
    </w:p>
    <w:p>
      <w:pPr>
        <w:sectPr>
          <w:headerReference w:type="default" r:id="rId9"/>
          <w:footerReference w:type="default" r:id="rId10"/>
          <w:pgSz w:w="11906" w:h="16838"/>
          <w:pgMar w:top="1134" w:right="1134" w:bottom="1134" w:left="1701" w:header="397" w:footer="567" w:gutter="0"/>
          <w:cols w:space="720"/>
          <w:docGrid w:linePitch="360"/>
        </w:sectPr>
      </w:pPr>
    </w:p>
    <w:p>
      <w:r>
        <w:rPr>
          <w:b w:val="0"/>
        </w:rPr>
        <w:t>Khối Hạ tầng &amp; Vận hành đối chiếu hồ sơ thiết kế v0.9.4 với Báo cáo kiểm kê hạ tầng hệ thống XOR Secure ngày 18/10/2026. Số liệu kiểm kê được cập nhật vào checklist và phụ lục 10 của bộ hành chính; kết quả kiểm thử và phê duyệt được quản lý riêng.</w:t>
      </w:r>
    </w:p>
    <w:p>
      <w:pPr>
        <w:pStyle w:val="Heading2"/>
      </w:pPr>
      <w:r>
        <w:t>1 Nguồn và phạm vi</w:t>
      </w:r>
    </w:p>
    <w:p>
      <w:r>
        <w:rPr>
          <w:b w:val="0"/>
        </w:rPr>
        <w:t>Theo EV-001, số liệu kiểm kê ngày 18/10/2026, khoảng 21:19–21:31 GMT+7. Site chính được đối chiếu với DC Cầu Giấy theo phạm vi hồ sơ; vị trí rack/U và địa điểm đặt VM mfa-02 ngoài site còn phải xác nhận.</w:t>
      </w:r>
    </w:p>
    <w:p>
      <w:r>
        <w:rPr>
          <w:b w:val="0"/>
        </w:rPr>
        <w:t>13 thiết bị chính tại site chính gồm 09 Dell PowerEdge R630, 02 Cisco Nexus N9K-C93180YC-EX và 02 FortiGate-500E. Chín máy chủ có 18 socket, 324 nhân CPU, 648 luồng và 2.336 GiB RAM DIMM. Có 46 VM: 21 trên Proxmox, 24 trên cụm compute và 01 mfa-02 ngoài site.</w:t>
      </w:r>
    </w:p>
    <w:p>
      <w:r>
        <w:rPr>
          <w:b w:val="0"/>
        </w:rPr>
        <w:t>Báo cáo kiểm kê xác định tài sản và cấu hình tại thời điểm thu thập; chưa xác nhận hiệu lực kiểm soát an ninh mạng, khả năng chịu lỗi hoặc kết quả phục hồi.</w:t>
      </w:r>
    </w:p>
    <w:tbl>
      <w:tblPr>
        <w:tblW w:type="auto" w:w="0"/>
        <w:jc w:val="center"/>
        <w:tblLayout w:type="fixed"/>
        <w:tblLook w:firstColumn="1" w:firstRow="1" w:lastColumn="0" w:lastRow="0" w:noHBand="0" w:noVBand="1" w:val="04A0"/>
      </w:tblPr>
      <w:tblGrid>
        <w:gridCol w:w="2268"/>
        <w:gridCol w:w="6803"/>
      </w:tblGrid>
      <w:tr>
        <w:trPr>
          <w:cantSplit/>
          <w:tblHeader/>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Dữ liệu</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Căn cứ và cách sử dụng</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Bao-cao-kiem-ke-ha-tang-he-thong-XOR-Secure-20261018.docx; 16 trang. SHA-256: 645d2ff7070da87a1b875204e04f22e2f8aa6bd0319ffade1fd324a9980b22ef</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H01–H06</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Các tệp máy đọc được do báo cáo dẫn tại C:/XOR Secure/openstack-deployment/evidence; chưa được cung cấp trong lượt cập nhật này. Thu bản gốc và hash trước khi xác minh độc lập.</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129 mục lịch sử</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nguyên dữ liệu tại Nguon_v094; ghi nhận kiểm kê vào cột bằng chứng/hành động của Doi_soat. Không chuyển kết quả lịch sử thành kết quả mới.</w:t>
            </w:r>
          </w:p>
        </w:tc>
      </w:tr>
      <w:tr>
        <w:trPr>
          <w:cantSplit/>
        </w:trPr>
        <w:tc>
          <w:tcPr>
            <w:tcW w:type="dxa" w:w="226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119 mục TCVN</w:t>
            </w:r>
          </w:p>
        </w:tc>
        <w:tc>
          <w:tcPr>
            <w:tcW w:type="dxa" w:w="6803"/>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Giữ nguyên yêu cầu và kết luận chờ kiểm tra; chỉ thêm hiện trạng kiểm kê vào các mục liên quan.</w:t>
            </w:r>
          </w:p>
        </w:tc>
      </w:tr>
    </w:tbl>
    <w:p>
      <w:pPr>
        <w:spacing w:line="240" w:lineRule="auto" w:after="20" w:before="0"/>
        <w:ind w:firstLine="0"/>
      </w:pPr>
      <w:r>
        <w:rPr>
          <w:b w:val="0"/>
        </w:rPr>
      </w:r>
    </w:p>
    <w:p>
      <w:pPr>
        <w:pStyle w:val="Heading1"/>
        <w:pageBreakBefore/>
      </w:pPr>
      <w:r>
        <w:t>2 SAI KHÁC GIỮA THIẾT KẾ VÀ KIỂM KÊ</w:t>
      </w:r>
    </w:p>
    <w:tbl>
      <w:tblPr>
        <w:tblW w:type="auto" w:w="0"/>
        <w:jc w:val="center"/>
        <w:tblLayout w:type="fixed"/>
        <w:tblLook w:firstColumn="1" w:firstRow="1" w:lastColumn="0" w:lastRow="0" w:noHBand="0" w:noVBand="1" w:val="04A0"/>
      </w:tblPr>
      <w:tblGrid>
        <w:gridCol w:w="1466"/>
        <w:gridCol w:w="2657"/>
        <w:gridCol w:w="4948"/>
      </w:tblGrid>
      <w:tr>
        <w:trPr>
          <w:cantSplit/>
          <w:tblHeader/>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Nội dung</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Hồ sơ v0.9.4</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Kiểm kê 18/10/2026</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server vai trò Controller, 128 GB/node.</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Proxmox vật lý: RAM 256/192/192 GiB; trên mỗi host có 01 VM controller 24 vCPU/48 GiB/300G local-lvm.</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server, 512 GB/node.</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RAM DIMM 288/512/512 GiB; số VM 10/0/14. Không suy compute-02 lỗi hoặc là dự phòng đã kiểm chứng từ số VM bằng 0.</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Tổng RAM</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2.304 GB theo quy hoạch.</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2.336 GiB DIMM theo kiểm kê; 324 nhân/648 luồng CPU. Không cộng vCPU và RAM VM vào tổng vật lý.</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03 server, 10 SSD 1,92 TB.</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Đã ghi nhận 4/3/3 OSD, 19,20 TB raw; size 3/min_size 2; MAX AVAIL 5,02 TB theo pool tại thời điểm đọc, không cộng giữa các pool.</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SAN và switch SAN</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SAN 24 × 600 GB; 14,4 TB raw; 01 switch SAN.</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có model/serial/dung lượng xác minh; chưa thấy FC trên 09 host trong dữ liệu đã thu. Không đưa SAN vào tổng đã kiểm kê.</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DR và S3</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Phương án phục hồi độc lập.</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Mới kiểm kê mfa-02 ngoài site; chưa đủ dữ liệu cụm DR, S3 và đồng bộ.</w:t>
            </w:r>
          </w:p>
        </w:tc>
      </w:tr>
      <w:tr>
        <w:trPr>
          <w:cantSplit/>
        </w:trPr>
        <w:tc>
          <w:tcPr>
            <w:tcW w:type="dxa" w:w="1466"/>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VLAN</w:t>
            </w:r>
          </w:p>
        </w:tc>
        <w:tc>
          <w:tcPr>
            <w:tcW w:type="dxa" w:w="2657"/>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10/20/30/31/40/70/99/100 theo thiết kế.</w:t>
            </w:r>
          </w:p>
        </w:tc>
        <w:tc>
          <w:tcPr>
            <w:tcW w:type="dxa" w:w="494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Đã có cấu hình VLAN/NIC VM; bổ sung VLAN 235 trunk 40 và NIC untagged. IP 10.3.99.x không tự xác nhận VLAN 99.</w:t>
            </w:r>
          </w:p>
        </w:tc>
      </w:tr>
    </w:tbl>
    <w:p>
      <w:pPr>
        <w:spacing w:line="240" w:lineRule="auto" w:after="20" w:before="0"/>
        <w:ind w:firstLine="0"/>
      </w:pPr>
      <w:r>
        <w:rPr>
          <w:b w:val="0"/>
        </w:rPr>
      </w:r>
    </w:p>
    <w:p>
      <w:pPr>
        <w:pStyle w:val="Heading1"/>
        <w:pageBreakBefore/>
      </w:pPr>
      <w:r>
        <w:t>3 CÔNG VIỆC CẦN HOÀN THIỆN TỪ KIỂM KÊ</w:t>
      </w:r>
    </w:p>
    <w:tbl>
      <w:tblPr>
        <w:tblW w:type="auto" w:w="0"/>
        <w:jc w:val="center"/>
        <w:tblLayout w:type="fixed"/>
        <w:tblLook w:firstColumn="1" w:firstRow="1" w:lastColumn="0" w:lastRow="0" w:noHBand="0" w:noVBand="1" w:val="04A0"/>
      </w:tblPr>
      <w:tblGrid>
        <w:gridCol w:w="1620"/>
        <w:gridCol w:w="3564"/>
        <w:gridCol w:w="3888"/>
      </w:tblGrid>
      <w:tr>
        <w:trPr>
          <w:cantSplit/>
          <w:tblHeader/>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và đầu mối</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Ghi nhận</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Hành động</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KK01</w:t>
              <w:br/>
              <w:t>Hạ tầng / IDC</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EV-001 có site chính và VM ngoài site; chưa có rack/U, chủ tài sản từng dòng, hợp đồng và địa chỉ đặt VM mfa-02.</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nhận site, rack/U, nguồn A/B, người quản lý và hợp đồng; bổ sung tài sản phụ trợ.</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KK02</w:t>
              <w:br/>
              <w:t>Storage / Platform</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Chưa đọc PERC trực tiếp trên Proxmox-02/03 và Compute-01/02/03. SSD-480GB trên Proxmox-01 là một ổ RAID0, chứa ubuntu-93 và mfa-01.</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cấu hình RAID/ổ vật lý năm host; đánh giá bản sao và phục hồi hai VM trên ổ đơn, không suy RAID từ tên pool.</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KK03</w:t>
              <w:br/>
              <w:t>Platform</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controller-01/02/03 là VM trên ba Proxmox, mỗi VM 24 vCPU, 48 GiB RAM, local-lvm 300G. Các storage Proxmox được liệt kê là không shared.</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Xác minh quorum DB/queue, HA VM, bản sao local disk, cold start và thử mất host; chưa xác nhận N+1.</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KK04</w:t>
              <w:br/>
              <w:t>Network / SOC</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VLAN 235 trunk 40; controller-03 có nhiều NIC cùng VLAN; wazuh-01 kết nối nhiều VLAN và một NIC untagged.</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chiếu bridge, trunk, route, forwarding, ACL và sơ đồ cổng; kiểm thử cách ly, không kết luận vi phạm chỉ từ nhiều NIC.</w:t>
            </w:r>
          </w:p>
        </w:tc>
      </w:tr>
    </w:tbl>
    <w:p>
      <w:pPr>
        <w:spacing w:line="240" w:lineRule="auto" w:after="20" w:before="0"/>
        <w:ind w:firstLine="0"/>
      </w:pPr>
      <w:r>
        <w:rPr>
          <w:b w:val="0"/>
        </w:rPr>
      </w:r>
    </w:p>
    <w:p>
      <w:pPr>
        <w:pStyle w:val="Heading1"/>
        <w:pageBreakBefore/>
      </w:pPr>
      <w:r>
        <w:t>4 CÔNG VIỆC LƯU TRỮ PHỤC HỒI VÀ AN NINH</w:t>
      </w:r>
    </w:p>
    <w:tbl>
      <w:tblPr>
        <w:tblW w:type="auto" w:w="0"/>
        <w:jc w:val="center"/>
        <w:tblLayout w:type="fixed"/>
        <w:tblLook w:firstColumn="1" w:firstRow="1" w:lastColumn="0" w:lastRow="0" w:noHBand="0" w:noVBand="1" w:val="04A0"/>
      </w:tblPr>
      <w:tblGrid>
        <w:gridCol w:w="1620"/>
        <w:gridCol w:w="3564"/>
        <w:gridCol w:w="3888"/>
      </w:tblGrid>
      <w:tr>
        <w:trPr>
          <w:cantSplit/>
          <w:tblHeader/>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Mã và đầu mối</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Ghi nhận</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center"/>
            </w:pPr>
            <w:r>
              <w:rPr>
                <w:rFonts w:ascii="Times New Roman" w:hAnsi="Times New Roman"/>
                <w:b/>
                <w:color w:val="000000"/>
                <w:sz w:val="21"/>
              </w:rPr>
              <w:t>Hành động</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KK05</w:t>
              <w:br/>
              <w:t>Storage / Backup</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Ceph 10 OSD, 19,20 TB raw, size 3/min_size 2; pool backups ghi 0,00 GB logic tại thời điểm đọc. SAN FC và S3 ngoài site chưa được kiểm kê đầy đủ.</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CRUSH, ngưỡng đầy, job backup, kho độc lập, mã hóa và restore; replica nội cụm không chứng minh sao lưu độc lập.</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KK06</w:t>
              <w:br/>
              <w:t>SRE / IDC</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Báo cáo xác nhận một VM mfa-02 ngoài site; chưa xác nhận compute/storage/control plane tại DR.</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Chốt năng lực DR, endpoint S3, tuyến và mã hóa liên site, hợp đồng, BIA và diễn tập chuyển đổi/chuyển về.</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KK07</w:t>
              <w:br/>
              <w:t>IAM / SOC</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Có VM mang tên pam-01, mfa-01/02, wazuh-01, prowler-01, network-detection-01 và các VM CyRadar.</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Thu phiên bản, chính sách, nguồn log, độ phủ, quyền và phép thử từng chức năng; tên VM không chứng minh chức năng đã hoạt động.</w:t>
            </w:r>
          </w:p>
        </w:tc>
      </w:tr>
      <w:tr>
        <w:trPr>
          <w:cantSplit/>
        </w:trPr>
        <w:tc>
          <w:tcPr>
            <w:tcW w:type="dxa" w:w="1620"/>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KK08</w:t>
              <w:br/>
              <w:t>Platform / Capacity</w:t>
            </w:r>
          </w:p>
        </w:tc>
        <w:tc>
          <w:tcPr>
            <w:tcW w:type="dxa" w:w="3564"/>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Compute-02 không có VM; VM compute phân bố 10/0/14. Chưa có tải thực, headroom, EOL/EOS hoặc bản dựng đầy đủ.</w:t>
            </w:r>
          </w:p>
        </w:tc>
        <w:tc>
          <w:tcPr>
            <w:tcW w:type="dxa" w:w="3888"/>
            <w:vAlign w:val="center"/>
            <w:tcMar>
              <w:top w:w="85" w:type="dxa"/>
              <w:left w:w="85" w:type="dxa"/>
              <w:bottom w:w="85" w:type="dxa"/>
              <w:right w:w="85" w:type="dxa"/>
            </w:tcMar>
            <w:tcBorders>
              <w:top w:val="single" w:sz="4" w:color="000000"/>
              <w:bottom w:val="single" w:sz="4" w:color="000000"/>
              <w:left w:val="single" w:sz="4" w:color="000000"/>
              <w:right w:val="single" w:sz="4" w:color="000000"/>
            </w:tcBorders>
            <w:shd w:fill="FFFFFF"/>
          </w:tcPr>
          <w:p>
            <w:pPr>
              <w:spacing w:before="20" w:after="40" w:line="240" w:lineRule="auto"/>
              <w:ind w:firstLine="0"/>
              <w:jc w:val="left"/>
            </w:pPr>
            <w:r>
              <w:rPr>
                <w:rFonts w:ascii="Times New Roman" w:hAnsi="Times New Roman"/>
                <w:b w:val="0"/>
                <w:color w:val="000000"/>
                <w:sz w:val="21"/>
              </w:rPr>
              <w:t>Đối chiếu scheduler, tài nguyên dự phòng, tải thực và phép thử bảo trì; bổ sung SBOM, phiên bản, giấy phép và hạn hỗ trợ.</w:t>
            </w:r>
          </w:p>
        </w:tc>
      </w:tr>
    </w:tbl>
    <w:p>
      <w:pPr>
        <w:spacing w:line="240" w:lineRule="auto" w:after="20" w:before="0"/>
        <w:ind w:firstLine="0"/>
      </w:pPr>
      <w:r>
        <w:rPr>
          <w:b w:val="0"/>
        </w:rPr>
      </w:r>
    </w:p>
    <w:p>
      <w:r>
        <w:rPr>
          <w:b w:val="0"/>
        </w:rPr>
        <w:t>Người phụ trách, hạn hoàn thành và kết quả: nhập tại checklist. Không điền ngày hoặc người xác minh khi mới nhận báo cáo; đây chưa phải biên bản nghiệm thu.</w:t>
      </w:r>
    </w:p>
    <w:p>
      <w:pPr>
        <w:pStyle w:val="Heading1"/>
        <w:pageBreakBefore/>
      </w:pPr>
      <w:r>
        <w:t>5 BÀN GIAO VÀ TRUY VẾT</w:t>
      </w:r>
    </w:p>
    <w:p>
      <w:r>
        <w:rPr>
          <w:b w:val="0"/>
        </w:rPr>
        <w:t>Danh mục Tai san có 59 bản ghi: 13 thiết bị chính và 46 VM. Mã KK là mã hồ sơ kiểm kê; UUID VM nền tảng, chủ sở hữu và thuộc tính còn thiếu tiếp tục được đối soát. Bộ điều khiển iDRAC và 03 controller VM không được cộng thành server vật lý.</w:t>
      </w:r>
    </w:p>
    <w:p>
      <w:r>
        <w:rPr>
          <w:b w:val="0"/>
        </w:rPr>
        <w:t>21 VM Proxmox có 166 vCPU và 340 GiB RAM cấu hình; 24 VM compute có 113 vCPU và 215,5 GiB RAM. Đây là tài nguyên cấp phát, không phải tải tiêu thụ. Mức RAM 3,82 GiB của mfa-02 là Linux đọc được, không cộng như RAM DIMM.</w:t>
      </w:r>
    </w:p>
    <w:p>
      <w:r>
        <w:rPr>
          <w:b w:val="0"/>
        </w:rPr>
        <w:t>Ba sơ đồ được lưu kèm: sơ đồ 01–02 là phương án mục tiêu; sơ đồ 03 là cấu trúc tài sản theo kiểm kê. Sơ đồ 03 không thay thế bản vẽ cáp hoặc chứng minh đồng bộ DC–DR.</w:t>
      </w:r>
    </w:p>
    <w:p>
      <w:r>
        <w:rPr>
          <w:b w:val="0"/>
        </w:rPr>
        <w:t>Số liệu được chuyển sang thuyết minh, phụ lục 10 và các trường hiện trạng có liên quan. Chuyên trách an ninh mạng xác nhận kết quả sau khi thu cấu hình và thực hiện phép thử theo phạm vi đã duyệt. Các phát hiện cũ về khóa trong image, registry và bản vá vẫn cần kiểm tra riêng; báo cáo kiểm kê không đóng các mục đó.</w:t>
      </w:r>
    </w:p>
    <w:sectPr w:rsidR="00FC693F" w:rsidRPr="0006063C" w:rsidSect="00034616">
      <w:headerReference w:type="default" r:id="rId11"/>
      <w:footerReference w:type="default" r:id="rId12"/>
      <w:pgSz w:w="11906" w:h="16838"/>
      <w:pgMar w:top="1134" w:right="1134" w:bottom="1134" w:left="1701" w:header="39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Đối soát hiện trạng kiểm kê và tồn tại kỹ thuật</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