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XOR SECURE CLOUD</w:t>
      </w:r>
    </w:p>
    <w:p>
      <w:pPr>
        <w:pStyle w:val="Title"/>
        <w:jc w:val="center"/>
      </w:pPr>
      <w:r>
        <w:rPr>
          <w:b/>
        </w:rPr>
        <w:t>Mẫu ý kiến chuyên môn và báo cáo tự rà soát</w:t>
      </w:r>
    </w:p>
    <w:p>
      <w:pPr>
        <w:jc w:val="center"/>
      </w:pPr>
      <w:r>
        <w:rPr>
          <w:b w:val="0"/>
        </w:rPr>
        <w:t>Mẫu nội bộ để đơn vị có trách nhiệm ghi nhận kết quả thực tế</w:t>
      </w:r>
    </w:p>
    <w:p>
      <w:pPr>
        <w:jc w:val="center"/>
      </w:pPr>
      <w:r>
        <w:rPr>
          <w:b w:val="0"/>
        </w:rPr>
        <w:t>Nền tảng XOR STACK CLOUD dựa trên OpenStack</w:t>
      </w:r>
    </w:p>
    <w:p>
      <w:pPr>
        <w:jc w:val="center"/>
      </w:pPr>
      <w:r>
        <w:rPr>
          <w:b w:val="0"/>
        </w:rPr>
        <w:t>DC tại Trung tâm Hạ tầng IDC Cầu Giấy</w:t>
        <w:br/>
        <w:t>DR tại Trung tâm Hạ tầng IDC Nam Thăng Long</w:t>
      </w:r>
    </w:p>
    <w:p>
      <w:pPr>
        <w:jc w:val="center"/>
      </w:pPr>
      <w:r>
        <w:rPr>
          <w:b w:val="0"/>
        </w:rPr>
        <w:t>Bản dự thảo 2.0 ngày 17 tháng 10 năm 2026</w:t>
      </w:r>
    </w:p>
    <w:p>
      <w:r>
        <w:rPr>
          <w:b w:val="0"/>
        </w:rPr>
        <w:t>Phần A do đơn vị chuyên trách về an ninh mạng của chủ quản thực hiện để cho ý kiến theo Điều 21 khoản 5. Phần B do đơn vị vận hành lập, được các đầu mối kiểm tra xác nhận. Đây không phải Mẫu 04 ý kiến thẩm định của cơ quan nhà nước và không được sử dụng thay văn bản đó.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350"/>
      </w:tblGrid>
      <w:tr>
        <w:trPr>
          <w:cantSplit/>
          <w:tblHeader/>
        </w:trPr>
        <w:tc>
          <w:tcPr>
            <w:tcW w:type="dxa" w:w="272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Thông tin đợt đánh giá</w:t>
            </w:r>
          </w:p>
        </w:tc>
        <w:tc>
          <w:tcPr>
            <w:tcW w:type="dxa" w:w="6350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Nội dung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Phạm vi</w:t>
            </w:r>
          </w:p>
        </w:tc>
        <w:tc>
          <w:tcPr>
            <w:tcW w:type="dxa" w:w="635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 site, dịch vụ, bản dựng, thời gian]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Người thực hiện và độc lập chuyên môn</w:t>
            </w:r>
          </w:p>
        </w:tc>
        <w:tc>
          <w:tcPr>
            <w:tcW w:type="dxa" w:w="635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 quyết định/phân công và cơ chế độc lập]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Căn cứ</w:t>
            </w:r>
          </w:p>
        </w:tc>
        <w:tc>
          <w:tcPr>
            <w:tcW w:type="dxa" w:w="635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Nghị định 331/2026/NĐ-CP; TCVN 14423:2026; hồ sơ và yêu cầu đã chốt.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Nguồn bằng chứng</w:t>
            </w:r>
          </w:p>
        </w:tc>
        <w:tc>
          <w:tcPr>
            <w:tcW w:type="dxa" w:w="635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 danh mục EV, báo cáo và cấu hình]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Giới hạn</w:t>
            </w:r>
          </w:p>
        </w:tc>
        <w:tc>
          <w:tcPr>
            <w:tcW w:type="dxa" w:w="635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 phần không thử, phương pháp lấy mẫu, dữ liệu chưa được cung cấp]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Phần A Ý kiến chuyên môn về hồ sơ đề xuất cấp độ</w:t>
      </w:r>
    </w:p>
    <w:p>
      <w:r>
        <w:rPr>
          <w:b w:val="0"/>
        </w:rPr>
        <w:t>Đơn vị chuyên trách: [CẦN ĐIỀN]. Căn cứ công văn xin ý kiến số [  ] ngày [  ] của [CẦN ĐIỀN TÊN ĐƠN VỊ VẬN HÀNH], đơn vị chuyên trách đã xem xét hồ sơ phiên bản [  ] trên phạm vi [  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4"/>
        <w:gridCol w:w="6637"/>
      </w:tblGrid>
      <w:tr>
        <w:trPr>
          <w:cantSplit/>
          <w:tblHeader/>
        </w:trPr>
        <w:tc>
          <w:tcPr>
            <w:tcW w:type="dxa" w:w="2434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Nội dung xem xét</w:t>
            </w:r>
          </w:p>
        </w:tc>
        <w:tc>
          <w:tcPr>
            <w:tcW w:type="dxa" w:w="6637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Ý kiến và căn cứ cần điền</w:t>
            </w:r>
          </w:p>
        </w:tc>
      </w:tr>
      <w:tr>
        <w:trPr>
          <w:cantSplit/>
        </w:trPr>
        <w:tc>
          <w:tcPr>
            <w:tcW w:type="dxa" w:w="243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Sự phù hợp của phạm vi và tiêu chí cấp độ</w:t>
            </w:r>
          </w:p>
        </w:tc>
        <w:tc>
          <w:tcPr>
            <w:tcW w:type="dxa" w:w="6637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[Chọn Phù hợp/Chưa phù hợp/Chưa đủ cơ sở; nêu khoản Điều 14 và bằng chứng].</w:t>
            </w:r>
          </w:p>
        </w:tc>
      </w:tr>
      <w:tr>
        <w:trPr>
          <w:cantSplit/>
        </w:trPr>
        <w:tc>
          <w:tcPr>
            <w:tcW w:type="dxa" w:w="243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Tính đầy đủ của tổng quan và thiết kế</w:t>
            </w:r>
          </w:p>
        </w:tc>
        <w:tc>
          <w:tcPr>
            <w:tcW w:type="dxa" w:w="663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[Đối chiếu Điều 21–22, as-built, tài sản, dịch vụ, IP và phê duyệt].</w:t>
            </w:r>
          </w:p>
        </w:tc>
      </w:tr>
      <w:tr>
        <w:trPr>
          <w:cantSplit/>
        </w:trPr>
        <w:tc>
          <w:tcPr>
            <w:tcW w:type="dxa" w:w="243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Đánh giá rủi ro chi tiết</w:t>
            </w:r>
          </w:p>
        </w:tc>
        <w:tc>
          <w:tcPr>
            <w:tcW w:type="dxa" w:w="6637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[Nêu BIA, phụ thuộc, ảnh hưởng công cộng/xã hội/an ninh và căn cứ 24/7 khi áp dụng].</w:t>
            </w:r>
          </w:p>
        </w:tc>
      </w:tr>
      <w:tr>
        <w:trPr>
          <w:cantSplit/>
        </w:trPr>
        <w:tc>
          <w:tcPr>
            <w:tcW w:type="dxa" w:w="243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Biện pháp quản lý và kỹ thuật</w:t>
            </w:r>
          </w:p>
        </w:tc>
        <w:tc>
          <w:tcPr>
            <w:tcW w:type="dxa" w:w="663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[Đối chiếu tài liệu 02; chỉ rõ mã yêu cầu đủ/thiếu và hiện trạng].</w:t>
            </w:r>
          </w:p>
        </w:tc>
      </w:tr>
      <w:tr>
        <w:trPr>
          <w:cantSplit/>
        </w:trPr>
        <w:tc>
          <w:tcPr>
            <w:tcW w:type="dxa" w:w="243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Bằng chứng thử và vận hành</w:t>
            </w:r>
          </w:p>
        </w:tc>
        <w:tc>
          <w:tcPr>
            <w:tcW w:type="dxa" w:w="6637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[Nêu phạm vi, ngày, phiên bản, kết quả và giới hạn].</w:t>
            </w:r>
          </w:p>
        </w:tc>
      </w:tr>
      <w:tr>
        <w:trPr>
          <w:cantSplit/>
        </w:trPr>
        <w:tc>
          <w:tcPr>
            <w:tcW w:type="dxa" w:w="243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Nội dung cần bổ sung</w:t>
            </w:r>
          </w:p>
        </w:tc>
        <w:tc>
          <w:tcPr>
            <w:tcW w:type="dxa" w:w="663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[Mã yêu cầu; tài liệu cần sửa; đầu mối; thời hạn].</w:t>
            </w:r>
          </w:p>
        </w:tc>
      </w:tr>
    </w:tbl>
    <w:p>
      <w:pPr>
        <w:keepNext/>
        <w:spacing w:after="20"/>
      </w:pPr>
      <w:r>
        <w:rPr>
          <w:b w:val="0"/>
        </w:rPr>
      </w:r>
    </w:p>
    <w:p>
      <w:pPr>
        <w:keepNext/>
      </w:pPr>
      <w:r>
        <w:rPr>
          <w:b w:val="0"/>
        </w:rPr>
        <w:t>Kết luận: [CẦN DO ĐƠN VỊ CHUYÊN TRÁCH GHI KẾT LUẬN THẬT]. Kiến nghị: [Hoàn thiện/gửi thẩm định hoặc nội dung khác phù hợp kết quả].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ĐẠI DIỆN ĐƠN VỊ CHUYÊN TRÁCH VỀ AN NINH MẠNG</w:t>
              <w:br/>
              <w:t>(Ký, ghi rõ họ tên và đóng dấu theo thẩm quyền)</w:t>
              <w:br/>
              <w:br/>
              <w:br/>
              <w:t>[CẦN ĐIỀN HỌ TÊN NGƯỜI KÝ]</w:t>
            </w:r>
          </w:p>
        </w:tc>
      </w:tr>
    </w:tbl>
    <w:p>
      <w:pPr>
        <w:pStyle w:val="Heading1"/>
        <w:pageBreakBefore/>
      </w:pPr>
      <w:r>
        <w:t>Phần B Báo cáo kết quả tự rà soát của đơn vị vận hành</w:t>
      </w:r>
    </w:p>
    <w:p>
      <w:r>
        <w:rPr>
          <w:b w:val="0"/>
        </w:rPr>
        <w:t>Thời gian: [  ]; phạm vi: [  ]; người chủ trì: [  ]; người kiểm tra: [  ]; phiên bản workbook/hồ sơ: [  ]. Mục đích rà soát là xác định mức đáp ứng và các nội dung cần hoàn thiện trước trình, không tự thay kết luận thẩm định.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2"/>
        <w:gridCol w:w="1062"/>
        <w:gridCol w:w="981"/>
        <w:gridCol w:w="1144"/>
        <w:gridCol w:w="1308"/>
        <w:gridCol w:w="1634"/>
      </w:tblGrid>
      <w:tr>
        <w:trPr>
          <w:cantSplit/>
          <w:tblHeader/>
        </w:trPr>
        <w:tc>
          <w:tcPr>
            <w:tcW w:type="dxa" w:w="294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Nhóm</w:t>
            </w:r>
          </w:p>
        </w:tc>
        <w:tc>
          <w:tcPr>
            <w:tcW w:type="dxa" w:w="106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Áp dụng</w:t>
            </w:r>
          </w:p>
        </w:tc>
        <w:tc>
          <w:tcPr>
            <w:tcW w:type="dxa" w:w="98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Đạt</w:t>
            </w:r>
          </w:p>
        </w:tc>
        <w:tc>
          <w:tcPr>
            <w:tcW w:type="dxa" w:w="1144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Không đạt</w:t>
            </w:r>
          </w:p>
        </w:tc>
        <w:tc>
          <w:tcPr>
            <w:tcW w:type="dxa" w:w="1308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Chưa đủ BC</w:t>
            </w:r>
          </w:p>
        </w:tc>
        <w:tc>
          <w:tcPr>
            <w:tcW w:type="dxa" w:w="1634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Không áp dụng có căn cứ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Quản lý rủi ro/tài sản</w:t>
            </w:r>
          </w:p>
        </w:tc>
        <w:tc>
          <w:tcPr>
            <w:tcW w:type="dxa" w:w="106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Dữ liệu/cấu hình/quyền</w:t>
            </w:r>
          </w:p>
        </w:tc>
        <w:tc>
          <w:tcPr>
            <w:tcW w:type="dxa" w:w="106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Mạng/nền tảng</w:t>
            </w:r>
          </w:p>
        </w:tc>
        <w:tc>
          <w:tcPr>
            <w:tcW w:type="dxa" w:w="106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Log/SOC/mã độc</w:t>
            </w:r>
          </w:p>
        </w:tc>
        <w:tc>
          <w:tcPr>
            <w:tcW w:type="dxa" w:w="106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Backup/DR</w:t>
            </w:r>
          </w:p>
        </w:tc>
        <w:tc>
          <w:tcPr>
            <w:tcW w:type="dxa" w:w="106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Nhân sự/nhà cung cấp</w:t>
            </w:r>
          </w:p>
        </w:tc>
        <w:tc>
          <w:tcPr>
            <w:tcW w:type="dxa" w:w="106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Phát triển/sự cố/kiểm tra</w:t>
            </w:r>
          </w:p>
        </w:tc>
        <w:tc>
          <w:tcPr>
            <w:tcW w:type="dxa" w:w="106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Vật lý DC</w:t>
            </w:r>
          </w:p>
        </w:tc>
        <w:tc>
          <w:tcPr>
            <w:tcW w:type="dxa" w:w="106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Vật lý DR</w:t>
            </w:r>
          </w:p>
        </w:tc>
        <w:tc>
          <w:tcPr>
            <w:tcW w:type="dxa" w:w="106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Kết quả kỹ thuật trọng yếu: [CẦN ĐIỀN T01–T12, RPO/RTO đo được, tình trạng cách ly tenant, PAM/MFA, log, backup và các phát hiện].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024"/>
        <w:gridCol w:w="1890"/>
        <w:gridCol w:w="1890"/>
      </w:tblGrid>
      <w:tr>
        <w:trPr>
          <w:cantSplit/>
          <w:tblHeader/>
        </w:trPr>
        <w:tc>
          <w:tcPr>
            <w:tcW w:type="dxa" w:w="2268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Phát hiện</w:t>
            </w:r>
          </w:p>
        </w:tc>
        <w:tc>
          <w:tcPr>
            <w:tcW w:type="dxa" w:w="3024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Hành động</w:t>
            </w:r>
          </w:p>
        </w:tc>
        <w:tc>
          <w:tcPr>
            <w:tcW w:type="dxa" w:w="1890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Người và hạn</w:t>
            </w:r>
          </w:p>
        </w:tc>
        <w:tc>
          <w:tcPr>
            <w:tcW w:type="dxa" w:w="1890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Bằng chứng retest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[Mã, mô tả, ảnh hưởng]</w:t>
            </w:r>
          </w:p>
        </w:tc>
        <w:tc>
          <w:tcPr>
            <w:tcW w:type="dxa" w:w="302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  <w:tc>
          <w:tcPr>
            <w:tcW w:type="dxa" w:w="189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  <w:tc>
          <w:tcPr>
            <w:tcW w:type="dxa" w:w="189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[EV và kết quả]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[Mã, mô tả, ảnh hưởng]</w:t>
            </w:r>
          </w:p>
        </w:tc>
        <w:tc>
          <w:tcPr>
            <w:tcW w:type="dxa" w:w="30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  <w:tc>
          <w:tcPr>
            <w:tcW w:type="dxa" w:w="189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  <w:tc>
          <w:tcPr>
            <w:tcW w:type="dxa" w:w="189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[EV và kết quả]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[Mã, mô tả, ảnh hưởng]</w:t>
            </w:r>
          </w:p>
        </w:tc>
        <w:tc>
          <w:tcPr>
            <w:tcW w:type="dxa" w:w="302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  <w:tc>
          <w:tcPr>
            <w:tcW w:type="dxa" w:w="189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  <w:tc>
          <w:tcPr>
            <w:tcW w:type="dxa" w:w="189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[EV và kết quả]</w:t>
            </w:r>
          </w:p>
        </w:tc>
      </w:tr>
    </w:tbl>
    <w:p>
      <w:pPr>
        <w:keepNext/>
        <w:spacing w:after="20"/>
      </w:pPr>
      <w:r>
        <w:rPr>
          <w:b w:val="0"/>
        </w:rPr>
      </w:r>
    </w:p>
    <w:p>
      <w:pPr>
        <w:keepNext/>
      </w:pPr>
      <w:r>
        <w:rPr>
          <w:b w:val="0"/>
        </w:rPr>
        <w:t>Kết luận và đề nghị: [CẦN ĐIỀN kết quả thực tế, phần còn thiếu, rủi ro và điều kiện trước khi trình].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ĐẠI DIỆN ĐƠN VỊ VẬN HÀNH</w:t>
              <w:br/>
              <w:t>(Ký, ghi rõ họ tên và đóng dấu theo thẩm quyền)</w:t>
              <w:br/>
              <w:br/>
              <w:br/>
              <w:t>[CẦN ĐIỀN HỌ TÊN NGƯỜI KÝ]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XOR SECURE CLOUD  •  Bản dự thảo 2.0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color w:val="666666"/>
        <w:sz w:val="16"/>
      </w:rPr>
      <w:t>DỰ THẢO ĐỂ RÀ SOÁT VÀ HOÀN THIỆN   •   CHƯA KÝ BAN HÀNH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4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4" w:lineRule="auto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20"/>
    </w:pPr>
    <w:rPr>
      <w:rFonts w:ascii="Times New Roman" w:hAnsi="Times New Roman" w:eastAsia="Times New Roman" w:cs="Times New Roman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ý kiến chuyên môn và báo cáo tự rà soát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