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CRE Valuation Prior Review</w:t>
      </w:r>
    </w:p>
    <w:p>
      <w:pPr>
        <w:pStyle w:val="Heading1"/>
      </w:pPr>
      <w:r>
        <w:t>1. Executive Summary</w:t>
      </w:r>
    </w:p>
    <w:p>
      <w:r>
        <w:t>The Commercial Real Estate Valuation Model underwent rigorous assessment. Overall model performance remains within accepted risk tolerances across all tested regional portfolios.</w:t>
      </w:r>
    </w:p>
    <w:p>
      <w:pPr>
        <w:pStyle w:val="Heading2"/>
      </w:pPr>
      <w:r>
        <w:t>1.1 Review Scope</w:t>
      </w:r>
    </w:p>
    <w:p>
      <w:r>
        <w:t>The evaluation scope encompassed historical loan-level loss datasets spanning 2018 through 2025, covering credit default transitions and commercial property collateral revaluations.</w:t>
      </w:r>
    </w:p>
    <w:p>
      <w:pPr>
        <w:pStyle w:val="Heading1"/>
      </w:pPr>
      <w:r>
        <w:t>3. Governance &amp; Controls</w:t>
      </w:r>
    </w:p>
    <w:p>
      <w:pPr>
        <w:pStyle w:val="Heading2"/>
      </w:pPr>
      <w:r>
        <w:t>3.1 Model Controls</w:t>
      </w:r>
    </w:p>
    <w:p>
      <w:r>
        <w:t>Updated reference note: Production pipelines require multi-party cryptographic sign-off before weights can be loaded into the serving cluster.</w:t>
      </w:r>
    </w:p>
  </w:body>
</w:document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Title">
    <w:name w:val="Titl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