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Commercial Real Estate Valuation Model</w:t>
      </w:r>
    </w:p>
    <w:p>
      <w:r>
        <w:t>Model ID: MRMV-2026-004 | Date: September 2026</w:t>
      </w:r>
    </w:p>
    <w:p>
      <w:pPr>
        <w:pStyle w:val="Heading1"/>
      </w:pPr>
      <w:r>
        <w:t>1. Executive Summary</w:t>
      </w:r>
    </w:p>
    <w:p>
      <w:r>
        <w:rPr>
          <w:i/>
          <w:color w:val="FF0000"/>
        </w:rPr>
        <w:t>[Instruction: Provide a concise executive overview of the model findings here. (Delete when complete)]</w:t>
      </w:r>
    </w:p>
    <w:p>
      <w:r>
        <w:t>[Template placeholder text for executive summary]</w:t>
      </w:r>
    </w:p>
    <w:p>
      <w:pPr>
        <w:pStyle w:val="Heading2"/>
      </w:pPr>
      <w:r>
        <w:t>1.1 Review Scope</w:t>
      </w:r>
    </w:p>
    <w:p>
      <w:r>
        <w:rPr>
          <w:i/>
          <w:color w:val="C00000"/>
        </w:rPr>
        <w:t>[Instruction: Detail the scope and depth of this review.]</w:t>
      </w:r>
    </w:p>
    <w:p>
      <w:r>
        <w:t>[Placeholder scope details]</w:t>
      </w:r>
    </w:p>
    <w:p>
      <w:pPr>
        <w:pStyle w:val="Heading1"/>
      </w:pPr>
      <w:r>
        <w:t>2. Additional Analysis since prior review</w:t>
      </w:r>
    </w:p>
    <w:p>
      <w:r>
        <w:t>This section covers additional analysis performed since the last validation cycle.</w:t>
      </w:r>
    </w:p>
    <w:p>
      <w:pPr>
        <w:pStyle w:val="Heading2"/>
      </w:pPr>
      <w:r>
        <w:t>2.1 Benchmark Testing</w:t>
      </w:r>
    </w:p>
    <w:p>
      <w:r>
        <w:t>Benchmark testing was conducted using external peer data.</w:t>
      </w:r>
    </w:p>
    <w:p>
      <w:pPr>
        <w:pStyle w:val="Heading1"/>
      </w:pPr>
      <w:r>
        <w:t>3. Governance &amp; Controls</w:t>
      </w:r>
    </w:p>
    <w:p>
      <w:pPr>
        <w:pStyle w:val="Heading2"/>
      </w:pPr>
      <w:r>
        <w:t>3.1 Model Controls</w:t>
      </w:r>
    </w:p>
    <w:p>
      <w:r>
        <w:t>Access to production weights is strictly monitored under IAM role-based controls.</w:t>
      </w:r>
    </w:p>
    <w:p>
      <w:pPr>
        <w:pStyle w:val="Heading2"/>
      </w:pPr>
      <w:r>
        <w:t>3.2 Performance Monitoring &amp; Reporting</w:t>
      </w:r>
    </w:p>
    <w:p>
      <w:r>
        <w:t>Monthly tracking triggers are submitted to the Model Risk Committee quarterly.</w:t>
      </w:r>
    </w:p>
  </w:body>
</w:document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Title">
    <w:name w:val="Tit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