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858585"/>
          <w:sz w:val="21"/>
          <w:szCs w:val="21"/>
          <w:highlight w:val="white"/>
          <w:rtl w:val="0"/>
        </w:rPr>
        <w:t xml:space="preserve">Тема: </w:t>
      </w:r>
      <w:r w:rsidDel="00000000" w:rsidR="00000000" w:rsidRPr="00000000">
        <w:rPr>
          <w:rtl w:val="0"/>
        </w:rPr>
        <w:t xml:space="preserve">Анализ логических ошибок контроля доступа и разработка сценариев тестирования в условиях соревнований Attack-Defense CTF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Рабочий план-график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935"/>
        <w:gridCol w:w="1305"/>
        <w:gridCol w:w="4905"/>
        <w:tblGridChange w:id="0">
          <w:tblGrid>
            <w:gridCol w:w="870"/>
            <w:gridCol w:w="1935"/>
            <w:gridCol w:w="1305"/>
            <w:gridCol w:w="49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Постановка задачи и критериев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Определить цель, объект (сервис), критерии успеха (OK/MUMBLE/CORRUPT/DOWN, SLA), перечень данных для фиксации (логи/скриншоты).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формата A/D и модели угроз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Кратко описать роль чекера, флагов и типовые риски утечек из-за ошибок доступа.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Развертывание и проверка сервиса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Развернуть сервис в Docker, проверить основные функции, подготовить команды диагностики и сбор логов.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Анализ логики контроля доступа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Разобрать эндпоинты, сессии/куки, проверки владельца/ролей; выявить потенциальные логические ошибки (IDOR, неправильные условия).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Формирование тест-матрицы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Составить сценарии тестирования (positive/negative/edge), определить входные данные и ожидаемые результаты.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Проведение тестов и фиксация результатов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Выполнить тестирование на стенде, собрать ответы, логи, оформить таблицу “ожидание/факт”.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Рекомендации и повторная проверка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Подготовить рекомендации по исправлению/защите, повторно прогнать ключевые тесты.</w:t>
            </w:r>
          </w:p>
        </w:tc>
      </w:tr>
      <w:tr>
        <w:trPr>
          <w:cantSplit w:val="0"/>
          <w:trHeight w:val="1112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Подготовка отчёта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Оформить отчёт, приложения (карта эндпоинтов, тест-матрица, фрагменты логов).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