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Лабораторная работа № 2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Безопасность канального уровня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line="276" w:lineRule="auto"/>
        <w:rPr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u w:val="single"/>
          <w:rtl w:val="0"/>
        </w:rPr>
        <w:t xml:space="preserve">Цель работы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Получить представление об основных угрозах сетевой безопасности на канальном уровне. Изучить базовые инструменты безопасности, используемые на коммутаторах. </w:t>
      </w:r>
    </w:p>
    <w:p w:rsidR="00000000" w:rsidDel="00000000" w:rsidP="00000000" w:rsidRDefault="00000000" w:rsidRPr="00000000" w14:paraId="00000005">
      <w:pPr>
        <w:pStyle w:val="Heading3"/>
        <w:spacing w:line="276" w:lineRule="auto"/>
        <w:rPr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u w:val="single"/>
          <w:rtl w:val="0"/>
        </w:rPr>
        <w:t xml:space="preserve">Задачи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Настроить лабораторный стенд в среде GNS3 согласно сетевой схеме;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На коммутаторах создать необходимые VLAN (по схеме, выданной преподавателем).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На каждом коммутаторе необходимо выставить режимы портов и задать VLAN (access и trunk) порты в соответствии с заданной схемой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000000" w:space="3" w:sz="0" w:val="none"/>
        </w:pBdr>
        <w:shd w:fill="ffffff" w:val="clear"/>
        <w:spacing w:after="0" w:lineRule="auto"/>
        <w:ind w:left="72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Между коммутатором и роутером настроить порты и переключить их в режим транка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000000" w:space="3" w:sz="0" w:val="none"/>
        </w:pBdr>
        <w:shd w:fill="ffffff" w:val="clear"/>
        <w:spacing w:after="0" w:lineRule="auto"/>
        <w:ind w:left="72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На роутере, на интерфейсе, подключенном к коммутатору - создать сабинтерфейсы, соответствующие созданным VLAN, назначить адрес для каждого сабинтерфейса в виде 192.168.х.254, где х-номер VLAN.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Настроить DHCP сервер для каждого VLAN c диапазоном адресов с 10 по 100 в соответствии с IP адресацией каждого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Настроить Port security c политикой реагирования (по заданию преподавателя)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Настроить DHCP snooping на каждом коммутаторе, протестировать подключение DHCP сервера к недоверенному порту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VLAN-ы 110, 120, 130. Адресация по типу 10.1.130.0/25 (где 130 номер VLAN). Port security - на 3 коммутаторе, режим restrict </w:t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ind w:left="0" w:firstLine="0"/>
        <w:rPr>
          <w:rFonts w:ascii="Roboto" w:cs="Roboto" w:eastAsia="Roboto" w:hAnsi="Roboto"/>
          <w:color w:val="333333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u w:val="single"/>
          <w:rtl w:val="0"/>
        </w:rPr>
        <w:t xml:space="preserve">Дополнительно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ind w:left="0" w:firstLine="0"/>
        <w:rPr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Настроить и протестировать Dynamic ARP Inspection (либо IP Source 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color w:val="434343"/>
          <w:sz w:val="28"/>
          <w:szCs w:val="28"/>
          <w:u w:val="single"/>
          <w:rtl w:val="0"/>
        </w:rPr>
        <w:t xml:space="preserve">Сетевая схема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План сегментации сети (перечень сегментов и нумерацию VLAN задает преподаватель)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476190476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8.5714285714284"/>
        <w:gridCol w:w="1881.9047619047617"/>
        <w:gridCol w:w="1890"/>
        <w:gridCol w:w="2085"/>
        <w:gridCol w:w="1275"/>
        <w:tblGridChange w:id="0">
          <w:tblGrid>
            <w:gridCol w:w="2228.5714285714284"/>
            <w:gridCol w:w="1881.9047619047617"/>
            <w:gridCol w:w="1890"/>
            <w:gridCol w:w="208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Назначение сегмента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VLAN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Адресация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Коммутаторы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Число портов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10.10.0.0/16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IOU1/IOU2/IOU3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VOIP (можно совмещать с PC полностью или частично)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Схема назначения портов 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3030"/>
        <w:tblGridChange w:id="0">
          <w:tblGrid>
            <w:gridCol w:w="2235"/>
            <w:gridCol w:w="2235"/>
            <w:gridCol w:w="2235"/>
            <w:gridCol w:w="3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IOU1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IOU2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IOU3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Trunk to 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Trunk to IOU1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Trunk to IOU1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Trunk to IOU2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(101)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e0/2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Trunk to IOU3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(101+102 AUX)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sectPr>
      <w:pgSz w:h="16834" w:w="11909" w:orient="portrait"/>
      <w:pgMar w:bottom="824.6456692913421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NG+bQBoxxbDhE7vnbj51jp0mFA==">CgMxLjAyCGguZ2pkZ3hzMgloLjMwajB6bGwyCWguMWZvYjl0ZTIJaC4zem55c2g3OAByITFXcWV1X1hoR09PVjhoTU9hWlppYnM3VWNNLWU1N2dOSw==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