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Требования к первой работе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1. Посылать по адресу на Яндексе: cpshenichny@yandex.ru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2. Тема: «Математическая логика, 2024, поток …, работа 1»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3. «Уважаемый Кирилл Анатольевич…»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4. Текст сопроводительного письма НА РУССКОМ ЯЗЫКЕ!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5. «С уважением, …»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6. Вложенный файл в любом общепринятом формате, имя файла – фамилия студента русскими буквами; если задание занимает несколько файлов, тогда – «Иванов1.pdf», «Иванов2.pdf», …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7. Аккуратное исполнение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8. Фамилия автора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9. Классифицировать надо ОДНО (естественно, не единичное, но можно пустое) понятие.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10. Обязательно должны быть и дихотомическое деление, и деление по видоизменению признака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11. Шагов в классификации должно быть не меньше трёх хотя бы по одной ветке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12. Две схемы: круговая и древовидная, каждый шаг деления – своим цветом; цвета на схемах должны совпадать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13. На древовидной схеме: подписать либо пронумеровать все понятия и подписать все основания деления (на всех шагах); там, где деление надвое – указать, дихотомическое это деление или деление по видоизменению признака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84.00000000000006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14. Если понятия на древовидной схеме пронумерованы – дать их список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