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er+xml" PartName="/word/footer5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firstLine="0"/>
        <w:jc w:val="left"/>
        <w:rPr/>
      </w:pPr>
      <w:bookmarkStart w:colFirst="0" w:colLast="0" w:name="_heading=h.q6cz0cxxl23c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rtl w:val="0"/>
        </w:rPr>
        <w:t xml:space="preserve">Министерство науки и высшего образования Российской Федерации</w:t>
        <w:br w:type="textWrapping"/>
      </w:r>
      <w:r w:rsidDel="00000000" w:rsidR="00000000" w:rsidRPr="00000000">
        <w:rPr>
          <w:rtl w:val="0"/>
        </w:rPr>
        <w:t xml:space="preserve">ФЕДЕРАЛЬНОЕ ГОСУДАРСТВЕННОЕ АВТОНОМНОЕ ОБРАЗОВАТЕЛЬНОЕ УЧРЕЖДЕНИЕ ВЫСШЕГО ОБРАЗОВАНИЯ</w:t>
        <w:br w:type="textWrapping"/>
      </w:r>
      <w:r w:rsidDel="00000000" w:rsidR="00000000" w:rsidRPr="00000000">
        <w:rPr>
          <w:b w:val="1"/>
          <w:color w:val="000000"/>
          <w:rtl w:val="0"/>
        </w:rPr>
        <w:t xml:space="preserve">НАЦИОНАЛЬНЫЙ ИССЛЕДОВАТЕЛЬСКИЙ УНИВЕРСИТЕТ ИТМО</w:t>
      </w:r>
    </w:p>
    <w:p w:rsidR="00000000" w:rsidDel="00000000" w:rsidP="00000000" w:rsidRDefault="00000000" w:rsidRPr="00000000" w14:paraId="00000005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Факультет безопасности информационных технологий</w:t>
      </w:r>
    </w:p>
    <w:p w:rsidR="00000000" w:rsidDel="00000000" w:rsidP="00000000" w:rsidRDefault="00000000" w:rsidRPr="00000000" w14:paraId="00000008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Дисциплина:</w:t>
      </w:r>
    </w:p>
    <w:p w:rsidR="00000000" w:rsidDel="00000000" w:rsidP="00000000" w:rsidRDefault="00000000" w:rsidRPr="00000000" w14:paraId="0000000A">
      <w:pPr>
        <w:ind w:firstLine="0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«Проектирование комплексных систем защиты информации»</w:t>
      </w:r>
    </w:p>
    <w:p w:rsidR="00000000" w:rsidDel="00000000" w:rsidP="00000000" w:rsidRDefault="00000000" w:rsidRPr="00000000" w14:paraId="0000000B">
      <w:pPr>
        <w:ind w:firstLine="0"/>
        <w:jc w:val="left"/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firstLine="0"/>
        <w:jc w:val="center"/>
        <w:rPr>
          <w:b w:val="1"/>
          <w:highlight w:val="yellow"/>
        </w:rPr>
      </w:pPr>
      <w:r w:rsidDel="00000000" w:rsidR="00000000" w:rsidRPr="00000000">
        <w:rPr>
          <w:b w:val="1"/>
          <w:color w:val="000000"/>
          <w:rtl w:val="0"/>
        </w:rPr>
        <w:t xml:space="preserve">ОТЧЕТ ПО ПРАКТИЧЕСКИМ РАБОТАМ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firstLine="0"/>
        <w:jc w:val="center"/>
        <w:rPr>
          <w:b w:val="1"/>
          <w:i w:val="1"/>
          <w:highlight w:val="yellow"/>
        </w:rPr>
      </w:pPr>
      <w:r w:rsidDel="00000000" w:rsidR="00000000" w:rsidRPr="00000000">
        <w:rPr>
          <w:rtl w:val="0"/>
        </w:rPr>
        <w:t xml:space="preserve">«Проект комплексной системы защиты информации предприятия “MedCare”»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firstLine="0"/>
        <w:rPr>
          <w:b w:val="1"/>
          <w:i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i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i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Выполнили:</w:t>
      </w:r>
    </w:p>
    <w:p w:rsidR="00000000" w:rsidDel="00000000" w:rsidP="00000000" w:rsidRDefault="00000000" w:rsidRPr="00000000" w14:paraId="00000013">
      <w:pPr>
        <w:jc w:val="right"/>
        <w:rPr/>
      </w:pPr>
      <w:r w:rsidDel="00000000" w:rsidR="00000000" w:rsidRPr="00000000">
        <w:rPr>
          <w:rtl w:val="0"/>
        </w:rPr>
        <w:t xml:space="preserve">Чу Ван Доан, студент группы N3447</w:t>
      </w:r>
    </w:p>
    <w:p w:rsidR="00000000" w:rsidDel="00000000" w:rsidP="00000000" w:rsidRDefault="00000000" w:rsidRPr="00000000" w14:paraId="00000014">
      <w:pPr>
        <w:spacing w:before="12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5">
      <w:pPr>
        <w:jc w:val="right"/>
        <w:rPr/>
      </w:pPr>
      <w:r w:rsidDel="00000000" w:rsidR="00000000" w:rsidRPr="00000000">
        <w:rPr>
          <w:rtl w:val="0"/>
        </w:rPr>
        <w:t xml:space="preserve">Чан Бао Линь, студентка группы N3446</w:t>
      </w:r>
    </w:p>
    <w:p w:rsidR="00000000" w:rsidDel="00000000" w:rsidP="00000000" w:rsidRDefault="00000000" w:rsidRPr="00000000" w14:paraId="00000016">
      <w:pPr>
        <w:spacing w:before="12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</w:t>
      </w:r>
    </w:p>
    <w:p w:rsidR="00000000" w:rsidDel="00000000" w:rsidP="00000000" w:rsidRDefault="00000000" w:rsidRPr="00000000" w14:paraId="00000017">
      <w:pPr>
        <w:spacing w:before="120" w:line="240" w:lineRule="auto"/>
        <w:jc w:val="right"/>
        <w:rPr/>
      </w:pPr>
      <w:r w:rsidDel="00000000" w:rsidR="00000000" w:rsidRPr="00000000">
        <w:rPr>
          <w:rtl w:val="0"/>
        </w:rPr>
        <w:t xml:space="preserve">Доан Тхи Хоай Тхыонг, студентка группы N3445</w:t>
      </w:r>
    </w:p>
    <w:p w:rsidR="00000000" w:rsidDel="00000000" w:rsidP="00000000" w:rsidRDefault="00000000" w:rsidRPr="00000000" w14:paraId="00000018">
      <w:pPr>
        <w:spacing w:before="120" w:line="240" w:lineRule="auto"/>
        <w:jc w:val="right"/>
        <w:rPr/>
      </w:pPr>
      <w:r w:rsidDel="00000000" w:rsidR="00000000" w:rsidRPr="00000000">
        <w:rPr>
          <w:i w:val="1"/>
          <w:u w:val="single"/>
          <w:rtl w:val="0"/>
        </w:rPr>
        <w:t xml:space="preserve">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Проверил:</w:t>
      </w:r>
    </w:p>
    <w:p w:rsidR="00000000" w:rsidDel="00000000" w:rsidP="00000000" w:rsidRDefault="00000000" w:rsidRPr="00000000" w14:paraId="0000001A">
      <w:pPr>
        <w:jc w:val="right"/>
        <w:rPr/>
      </w:pPr>
      <w:hyperlink r:id="rId7">
        <w:r w:rsidDel="00000000" w:rsidR="00000000" w:rsidRPr="00000000">
          <w:rPr>
            <w:highlight w:val="white"/>
            <w:rtl w:val="0"/>
          </w:rPr>
          <w:t xml:space="preserve">Горбунов Николай Александрович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before="24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C">
      <w:pPr>
        <w:ind w:left="7079" w:firstLine="0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    (отметка о выполнении)</w:t>
      </w:r>
    </w:p>
    <w:p w:rsidR="00000000" w:rsidDel="00000000" w:rsidP="00000000" w:rsidRDefault="00000000" w:rsidRPr="00000000" w14:paraId="0000001D">
      <w:pPr>
        <w:spacing w:before="12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E">
      <w:pPr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F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Санкт-Петербург</w:t>
      </w:r>
    </w:p>
    <w:p w:rsidR="00000000" w:rsidDel="00000000" w:rsidP="00000000" w:rsidRDefault="00000000" w:rsidRPr="00000000" w14:paraId="00000021">
      <w:pPr>
        <w:ind w:firstLine="0"/>
        <w:jc w:val="center"/>
        <w:rPr/>
        <w:sectPr>
          <w:headerReference r:id="rId8" w:type="default"/>
          <w:footerReference r:id="rId9" w:type="default"/>
          <w:pgSz w:h="16838" w:w="11906" w:orient="portrait"/>
          <w:pgMar w:bottom="1134" w:top="1134" w:left="1701" w:right="850" w:header="708" w:footer="708"/>
          <w:pgNumType w:start="2"/>
        </w:sectPr>
      </w:pPr>
      <w:r w:rsidDel="00000000" w:rsidR="00000000" w:rsidRPr="00000000">
        <w:rPr>
          <w:rtl w:val="0"/>
        </w:rPr>
        <w:t xml:space="preserve">2025г.</w:t>
      </w:r>
    </w:p>
    <w:p w:rsidR="00000000" w:rsidDel="00000000" w:rsidP="00000000" w:rsidRDefault="00000000" w:rsidRPr="00000000" w14:paraId="00000022">
      <w:pPr>
        <w:keepNext w:val="1"/>
        <w:keepLines w:val="1"/>
        <w:pageBreakBefore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60" w:before="260" w:lineRule="auto"/>
        <w:ind w:left="567" w:right="567" w:firstLine="142.00000000000003"/>
        <w:jc w:val="center"/>
        <w:rPr>
          <w:b w:val="1"/>
          <w:smallCaps w:val="1"/>
          <w:color w:val="000000"/>
        </w:rPr>
      </w:pPr>
      <w:r w:rsidDel="00000000" w:rsidR="00000000" w:rsidRPr="00000000">
        <w:rPr>
          <w:b w:val="1"/>
          <w:smallCaps w:val="1"/>
          <w:color w:val="000000"/>
          <w:rtl w:val="0"/>
        </w:rPr>
        <w:t xml:space="preserve">Содержание</w:t>
      </w:r>
    </w:p>
    <w:p w:rsidR="00000000" w:rsidDel="00000000" w:rsidP="00000000" w:rsidRDefault="00000000" w:rsidRPr="00000000" w14:paraId="0000002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709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125374640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  <w:tab w:val="left" w:leader="none" w:pos="709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bmk0pg8frq5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hyperlink>
          <w:hyperlink w:anchor="_heading=h.bmk0pg8frq5j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_heading=h.bmk0pg8frq5j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Характеристика угроз безопасности информации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58"/>
              <w:tab w:val="right" w:leader="dot" w:pos="9345"/>
            </w:tabs>
            <w:spacing w:after="0" w:before="0" w:line="360" w:lineRule="auto"/>
            <w:ind w:left="261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w97mvyws18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</w:t>
            </w:r>
          </w:hyperlink>
          <w:hyperlink w:anchor="_heading=h.3w97mvyws18y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_heading=h.3w97mvyws18y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Модель нарушителя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58"/>
              <w:tab w:val="right" w:leader="dot" w:pos="9345"/>
            </w:tabs>
            <w:spacing w:after="0" w:before="0" w:line="360" w:lineRule="auto"/>
            <w:ind w:left="261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qh8ugp3loa1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</w:t>
            </w:r>
          </w:hyperlink>
          <w:hyperlink w:anchor="_heading=h.qh8ugp3loa1b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_heading=h.qh8ugp3loa1b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Модель угроз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58"/>
              <w:tab w:val="right" w:leader="dot" w:pos="9345"/>
            </w:tabs>
            <w:spacing w:after="0" w:before="0" w:line="360" w:lineRule="auto"/>
            <w:ind w:left="261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uepwn8ves0c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</w:t>
            </w:r>
          </w:hyperlink>
          <w:hyperlink w:anchor="_heading=h.uepwn8ves0cl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_heading=h.uepwn8ves0cl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Предварительная оценка рисков</w:t>
            <w:tab/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  <w:tab w:val="left" w:leader="none" w:pos="709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44akoiu2x7a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hyperlink>
          <w:hyperlink w:anchor="_heading=h.44akoiu2x7ah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_heading=h.44akoiu2x7ah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Требования по защите информации в организации</w:t>
            <w:tab/>
            <w:t xml:space="preserve">24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58"/>
              <w:tab w:val="right" w:leader="dot" w:pos="9345"/>
            </w:tabs>
            <w:spacing w:after="0" w:before="0" w:line="360" w:lineRule="auto"/>
            <w:ind w:left="261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6d4j7m65xbx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</w:t>
            </w:r>
          </w:hyperlink>
          <w:hyperlink w:anchor="_heading=h.6d4j7m65xbxt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_heading=h.6d4j7m65xbxt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Требования по защите информации сформулированы на основе следующих документов</w:t>
            <w:tab/>
            <w:t xml:space="preserve">24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58"/>
              <w:tab w:val="right" w:leader="dot" w:pos="9345"/>
            </w:tabs>
            <w:spacing w:after="0" w:before="0" w:line="360" w:lineRule="auto"/>
            <w:ind w:left="261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tbaxk7fu0n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</w:t>
            </w:r>
          </w:hyperlink>
          <w:hyperlink w:anchor="_heading=h.1tbaxk7fu0ne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_heading=h.1tbaxk7fu0ne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Учтенные при разработке требования руководящих документов</w:t>
            <w:tab/>
            <w:t xml:space="preserve">25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  <w:tab w:val="left" w:leader="none" w:pos="709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hygei36rwh6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hyperlink>
          <w:hyperlink w:anchor="_heading=h.hygei36rwh64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_heading=h.hygei36rwh64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Техническое задание на разработку КСЗИ (часть)</w:t>
            <w:tab/>
            <w:t xml:space="preserve">26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  <w:tab w:val="left" w:leader="none" w:pos="1440"/>
            </w:tabs>
            <w:spacing w:after="0" w:before="0" w:line="360" w:lineRule="auto"/>
            <w:ind w:left="709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xyx0mj71yt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3.1.1</w:t>
            </w:r>
          </w:hyperlink>
          <w:hyperlink w:anchor="_heading=h.3xyx0mj71yta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_heading=h.3xyx0mj71yta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Этап создания СЗПДн</w:t>
            <w:tab/>
            <w:t xml:space="preserve">28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  <w:tab w:val="left" w:leader="none" w:pos="1440"/>
            </w:tabs>
            <w:spacing w:after="0" w:before="0" w:line="360" w:lineRule="auto"/>
            <w:ind w:left="709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bluuq6l54z2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3.1.2</w:t>
            </w:r>
          </w:hyperlink>
          <w:hyperlink w:anchor="_heading=h.bluuq6l54z2l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_heading=h.bluuq6l54z2l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Требования к трежимам функционирования системы</w:t>
            <w:tab/>
            <w:t xml:space="preserve">28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  <w:tab w:val="left" w:leader="none" w:pos="1440"/>
            </w:tabs>
            <w:spacing w:after="0" w:before="0" w:line="360" w:lineRule="auto"/>
            <w:ind w:left="709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exbehb609mi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3.1.3</w:t>
            </w:r>
          </w:hyperlink>
          <w:hyperlink w:anchor="_heading=h.exbehb609mie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_heading=h.exbehb609mie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Требования к надежности</w:t>
            <w:tab/>
            <w:t xml:space="preserve">29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  <w:tab w:val="left" w:leader="none" w:pos="1440"/>
            </w:tabs>
            <w:spacing w:after="0" w:before="0" w:line="360" w:lineRule="auto"/>
            <w:ind w:left="709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qrbk5871x85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3.1.4</w:t>
            </w:r>
          </w:hyperlink>
          <w:hyperlink w:anchor="_heading=h.qrbk5871x854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_heading=h.qrbk5871x854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Требования безопасности</w:t>
            <w:tab/>
            <w:t xml:space="preserve">29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  <w:tab w:val="left" w:leader="none" w:pos="1440"/>
            </w:tabs>
            <w:spacing w:after="0" w:before="0" w:line="360" w:lineRule="auto"/>
            <w:ind w:left="709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ebatvr990nn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3.1.5</w:t>
            </w:r>
          </w:hyperlink>
          <w:hyperlink w:anchor="_heading=h.ebatvr990nn5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_heading=h.ebatvr990nn5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Требования к квалификации исполнителя</w:t>
            <w:tab/>
            <w:t xml:space="preserve">30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1"/>
        <w:keepLines w:val="1"/>
        <w:pageBreakBefore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60" w:before="260" w:lineRule="auto"/>
        <w:ind w:left="567" w:right="567" w:firstLine="142.00000000000003"/>
        <w:jc w:val="center"/>
        <w:rPr>
          <w:b w:val="1"/>
          <w:smallCaps w:val="1"/>
          <w:color w:val="000000"/>
          <w:sz w:val="28"/>
          <w:szCs w:val="28"/>
        </w:rPr>
      </w:pPr>
      <w:r w:rsidDel="00000000" w:rsidR="00000000" w:rsidRPr="00000000">
        <w:rPr>
          <w:b w:val="1"/>
          <w:smallCaps w:val="1"/>
          <w:color w:val="000000"/>
          <w:sz w:val="28"/>
          <w:szCs w:val="28"/>
          <w:rtl w:val="0"/>
        </w:rPr>
        <w:t xml:space="preserve">Сокращения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АРМ</w:t>
        <w:tab/>
        <w:tab/>
        <w:t xml:space="preserve">–</w:t>
        <w:tab/>
        <w:t xml:space="preserve">автоматизированное рабочее место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ГОСТ </w:t>
        <w:tab/>
        <w:tab/>
        <w:t xml:space="preserve">– </w:t>
        <w:tab/>
        <w:t xml:space="preserve">государственный стандарт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АСО</w:t>
        <w:tab/>
        <w:tab/>
        <w:t xml:space="preserve">–</w:t>
        <w:tab/>
        <w:t xml:space="preserve">активное сетевое оборудование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АСУ</w:t>
        <w:tab/>
        <w:tab/>
        <w:t xml:space="preserve">–</w:t>
        <w:tab/>
        <w:t xml:space="preserve">автоматизированная система управления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ИБ</w:t>
        <w:tab/>
        <w:tab/>
        <w:t xml:space="preserve">–</w:t>
        <w:tab/>
        <w:t xml:space="preserve">информационная безопасность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ИБП</w:t>
        <w:tab/>
        <w:tab/>
        <w:t xml:space="preserve">–</w:t>
        <w:tab/>
        <w:t xml:space="preserve">источник бесперебойного питания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ИС</w:t>
        <w:tab/>
        <w:tab/>
        <w:t xml:space="preserve">–</w:t>
        <w:tab/>
        <w:t xml:space="preserve">информационная система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ЛВС</w:t>
        <w:tab/>
        <w:tab/>
        <w:t xml:space="preserve">–</w:t>
        <w:tab/>
        <w:t xml:space="preserve">локальная вычислительная сеть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ТП</w:t>
        <w:tab/>
        <w:tab/>
        <w:t xml:space="preserve">–</w:t>
        <w:tab/>
        <w:t xml:space="preserve">технологический процесс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ТС</w:t>
        <w:tab/>
        <w:tab/>
        <w:t xml:space="preserve">–</w:t>
        <w:tab/>
        <w:t xml:space="preserve">техническое средство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УБИ</w:t>
        <w:tab/>
        <w:tab/>
        <w:t xml:space="preserve">–</w:t>
        <w:tab/>
        <w:t xml:space="preserve">угрозы безопасности информации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ИСПДн </w:t>
        <w:tab/>
        <w:t xml:space="preserve">– </w:t>
        <w:tab/>
        <w:t xml:space="preserve">информационная система персональных данных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ПДн </w:t>
        <w:tab/>
        <w:tab/>
        <w:t xml:space="preserve">– </w:t>
        <w:tab/>
        <w:t xml:space="preserve">персональные данные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СЗИ </w:t>
        <w:tab/>
        <w:tab/>
        <w:t xml:space="preserve">- </w:t>
        <w:tab/>
        <w:t xml:space="preserve">средства защиты информации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СЗПДн </w:t>
        <w:tab/>
        <w:t xml:space="preserve">- </w:t>
        <w:tab/>
        <w:t xml:space="preserve">система защиты персональных данных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T3 </w:t>
        <w:tab/>
        <w:tab/>
        <w:t xml:space="preserve">- </w:t>
        <w:tab/>
        <w:t xml:space="preserve">техническое задание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ФСБ </w:t>
        <w:tab/>
        <w:tab/>
        <w:t xml:space="preserve">- </w:t>
        <w:tab/>
        <w:t xml:space="preserve">федеральная служба безопасности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ФСТЭК </w:t>
        <w:tab/>
        <w:t xml:space="preserve">- </w:t>
        <w:tab/>
        <w:t xml:space="preserve">федеральная служба технического и экспортного контроля</w:t>
      </w:r>
    </w:p>
    <w:p w:rsidR="00000000" w:rsidDel="00000000" w:rsidP="00000000" w:rsidRDefault="00000000" w:rsidRPr="00000000" w14:paraId="00000048">
      <w:pPr>
        <w:rPr/>
        <w:sectPr>
          <w:headerReference r:id="rId10" w:type="default"/>
          <w:footerReference r:id="rId11" w:type="default"/>
          <w:type w:val="nextPage"/>
          <w:pgSz w:h="16838" w:w="11906" w:orient="portrait"/>
          <w:pgMar w:bottom="1134" w:top="1134" w:left="1701" w:right="850" w:header="708" w:footer="422"/>
          <w:pgNumType w:start="2"/>
        </w:sectPr>
      </w:pPr>
      <w:r w:rsidDel="00000000" w:rsidR="00000000" w:rsidRPr="00000000">
        <w:rPr>
          <w:rtl w:val="0"/>
        </w:rPr>
        <w:t xml:space="preserve">ОРД </w:t>
        <w:tab/>
        <w:tab/>
        <w:t xml:space="preserve">- </w:t>
        <w:tab/>
        <w:t xml:space="preserve">организационно-распорядительной документации</w:t>
      </w:r>
    </w:p>
    <w:p w:rsidR="00000000" w:rsidDel="00000000" w:rsidP="00000000" w:rsidRDefault="00000000" w:rsidRPr="00000000" w14:paraId="00000049">
      <w:pPr>
        <w:pStyle w:val="Heading1"/>
        <w:numPr>
          <w:ilvl w:val="0"/>
          <w:numId w:val="1"/>
        </w:numPr>
        <w:ind w:left="709" w:firstLine="0"/>
        <w:rPr/>
      </w:pPr>
      <w:bookmarkStart w:colFirst="0" w:colLast="0" w:name="_heading=h.bmk0pg8frq5j" w:id="1"/>
      <w:bookmarkEnd w:id="1"/>
      <w:r w:rsidDel="00000000" w:rsidR="00000000" w:rsidRPr="00000000">
        <w:rPr>
          <w:rtl w:val="0"/>
        </w:rPr>
        <w:t xml:space="preserve">Характеристика угроз безопасности информации</w:t>
      </w:r>
    </w:p>
    <w:p w:rsidR="00000000" w:rsidDel="00000000" w:rsidP="00000000" w:rsidRDefault="00000000" w:rsidRPr="00000000" w14:paraId="0000004A">
      <w:pPr>
        <w:pStyle w:val="Heading2"/>
        <w:numPr>
          <w:ilvl w:val="1"/>
          <w:numId w:val="1"/>
        </w:numPr>
        <w:ind w:left="709" w:firstLine="0"/>
        <w:rPr/>
      </w:pPr>
      <w:bookmarkStart w:colFirst="0" w:colLast="0" w:name="_heading=h.3w97mvyws18y" w:id="2"/>
      <w:bookmarkEnd w:id="2"/>
      <w:r w:rsidDel="00000000" w:rsidR="00000000" w:rsidRPr="00000000">
        <w:rPr>
          <w:rtl w:val="0"/>
        </w:rPr>
        <w:t xml:space="preserve">Модель нарушителя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Результат определения возможных способов реализации угроз безопасности на основе вида и категории нарушителя представлен в таблице 2.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Актуальные способы реализации УБИ</w:t>
      </w:r>
    </w:p>
    <w:tbl>
      <w:tblPr>
        <w:tblStyle w:val="Table1"/>
        <w:tblW w:w="145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94"/>
        <w:gridCol w:w="1470"/>
        <w:gridCol w:w="2710"/>
        <w:gridCol w:w="3402"/>
        <w:gridCol w:w="4820"/>
        <w:tblGridChange w:id="0">
          <w:tblGrid>
            <w:gridCol w:w="2194"/>
            <w:gridCol w:w="1470"/>
            <w:gridCol w:w="2710"/>
            <w:gridCol w:w="3402"/>
            <w:gridCol w:w="482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Вид нарушителя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Категория</w:t>
            </w:r>
          </w:p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нарушителя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Объект воздействия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Доступные интерфейсы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Способы реализации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Авторизованные пользователи систем и сетей</w:t>
            </w:r>
          </w:p>
        </w:tc>
        <w:tc>
          <w:tcPr/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Внутренний</w:t>
            </w:r>
          </w:p>
        </w:tc>
        <w:tc>
          <w:tcPr/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Облачные</w:t>
            </w:r>
          </w:p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сервера,</w:t>
            </w:r>
          </w:p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сетевое</w:t>
            </w:r>
          </w:p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оборудование, AРM (рабочие станции)</w:t>
            </w:r>
          </w:p>
        </w:tc>
        <w:tc>
          <w:tcPr/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Интерфейсы для съемочных носителей, интерфейсы для пользователей, внутренние сетевые интерфейсы</w:t>
            </w:r>
          </w:p>
        </w:tc>
        <w:tc>
          <w:tcPr/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Ошибочные действия в ходе работы пользователя в системе. Поломка по</w:t>
            </w:r>
          </w:p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неосторожности технического средства. Уничтожение или кража технического средства</w:t>
            </w:r>
          </w:p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Предоставление несанкционированного доступа к конфиденциальной информации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Лица, обеспечивающие функционирование систем и сетей или обеспечивающие системы оператора (администрация, охрана, уборщики и т.д.)</w:t>
            </w:r>
          </w:p>
        </w:tc>
        <w:tc>
          <w:tcPr/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Внутренний</w:t>
            </w:r>
          </w:p>
        </w:tc>
        <w:tc>
          <w:tcPr/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Сетевое</w:t>
            </w:r>
          </w:p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оборудование, AРM (рабочие станции)</w:t>
            </w:r>
          </w:p>
        </w:tc>
        <w:tc>
          <w:tcPr/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Внутренние сетевые интерфейсы, интерфейсы для пользователей, интерфейсы для использования съемных носителей</w:t>
            </w:r>
          </w:p>
        </w:tc>
        <w:tc>
          <w:tcPr/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Внедрение вредоносного ПО</w:t>
            </w:r>
          </w:p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Ошибочные действия при эксплуатации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Системные администраторы и администраторы безопасности</w:t>
            </w:r>
          </w:p>
        </w:tc>
        <w:tc>
          <w:tcPr/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Внутренний</w:t>
            </w:r>
          </w:p>
        </w:tc>
        <w:tc>
          <w:tcPr/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Облачные</w:t>
            </w:r>
          </w:p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сервера,</w:t>
            </w:r>
          </w:p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сетевое</w:t>
            </w:r>
          </w:p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оборудование, AРM (рабочие станции)</w:t>
            </w:r>
          </w:p>
        </w:tc>
        <w:tc>
          <w:tcPr/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Внутренние сетевые интерфейсы, интерфейсы для пользователей, интерфейсы для использования съемных носителей</w:t>
            </w:r>
          </w:p>
        </w:tc>
        <w:tc>
          <w:tcPr/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Ошибочные действия в ходе работы администратора в системе, предоставление несанкционированного доступа к конфиденциальной информации, внедрение вредоносного программного обеспечения, создание уязвимостей конфигурации системы управления доступом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Конкурирующие организации</w:t>
            </w:r>
          </w:p>
        </w:tc>
        <w:tc>
          <w:tcPr/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Внешний</w:t>
            </w:r>
          </w:p>
        </w:tc>
        <w:tc>
          <w:tcPr/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Облачные сервера</w:t>
            </w:r>
          </w:p>
        </w:tc>
        <w:tc>
          <w:tcPr/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Внешние сетевые интерфейсы коммутаторы, маршрутизаторы</w:t>
            </w:r>
          </w:p>
        </w:tc>
        <w:tc>
          <w:tcPr/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Внедрение вредоносного ПО</w:t>
            </w:r>
          </w:p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Использование уязвимостей конфигурации системы управления доступом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Бывшие работники (пользователи)</w:t>
            </w:r>
          </w:p>
        </w:tc>
        <w:tc>
          <w:tcPr/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Внешний</w:t>
            </w:r>
          </w:p>
        </w:tc>
        <w:tc>
          <w:tcPr/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Облачные</w:t>
            </w:r>
          </w:p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сервера,</w:t>
            </w:r>
          </w:p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сетевое</w:t>
            </w:r>
          </w:p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оборудование, AРM (рабочие станции)</w:t>
            </w:r>
          </w:p>
        </w:tc>
        <w:tc>
          <w:tcPr/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Внутренние сетевые интерфейсы, интерфейсы для пользователей, интерфейсы для использования съемных носителей</w:t>
            </w:r>
          </w:p>
        </w:tc>
        <w:tc>
          <w:tcPr/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Использование уязвимостей конфигурации системы управления доступом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Отдельные физические лица(хакеры)</w:t>
            </w:r>
          </w:p>
        </w:tc>
        <w:tc>
          <w:tcPr/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Внешний</w:t>
            </w:r>
          </w:p>
        </w:tc>
        <w:tc>
          <w:tcPr/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Облачные</w:t>
            </w:r>
          </w:p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сервера,</w:t>
            </w:r>
          </w:p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сетевое</w:t>
            </w:r>
          </w:p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оборудование, AРM (рабочие станции)</w:t>
            </w:r>
          </w:p>
        </w:tc>
        <w:tc>
          <w:tcPr/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Внешние сетевые интерфейсы коммутаторы, маршрутизаторы</w:t>
            </w:r>
          </w:p>
        </w:tc>
        <w:tc>
          <w:tcPr/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Внедрение вредоносного ПО</w:t>
            </w:r>
          </w:p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Использование уязвимостей конфигурации системы управления доступом</w:t>
            </w:r>
          </w:p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Фишинг</w:t>
            </w:r>
          </w:p>
        </w:tc>
      </w:tr>
    </w:tbl>
    <w:p w:rsidR="00000000" w:rsidDel="00000000" w:rsidP="00000000" w:rsidRDefault="00000000" w:rsidRPr="00000000" w14:paraId="00000084">
      <w:pPr>
        <w:pStyle w:val="Heading2"/>
        <w:numPr>
          <w:ilvl w:val="1"/>
          <w:numId w:val="1"/>
        </w:numPr>
        <w:ind w:left="709" w:firstLine="0"/>
        <w:rPr/>
      </w:pPr>
      <w:bookmarkStart w:colFirst="0" w:colLast="0" w:name="_heading=h.qh8ugp3loa1b" w:id="3"/>
      <w:bookmarkEnd w:id="3"/>
      <w:r w:rsidDel="00000000" w:rsidR="00000000" w:rsidRPr="00000000">
        <w:rPr>
          <w:rtl w:val="0"/>
        </w:rPr>
        <w:t xml:space="preserve">Модель угроз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УБИ характеризуется источниками угроз, уязвимостями (ошибками), которые могут быть использованы для реализации (способствовать возникновению) УБИ, способами (сценариями) реализации и возможными последствиями от реализации УБИ.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Перечень актуальных УБИ организации приведен в таблице 3.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Перечень актуальных УБИ организации</w:t>
      </w:r>
    </w:p>
    <w:tbl>
      <w:tblPr>
        <w:tblStyle w:val="Table2"/>
        <w:tblW w:w="14459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1129"/>
        <w:gridCol w:w="2268"/>
        <w:gridCol w:w="1843"/>
        <w:gridCol w:w="4111"/>
        <w:gridCol w:w="3118"/>
        <w:gridCol w:w="1990"/>
        <w:tblGridChange w:id="0">
          <w:tblGrid>
            <w:gridCol w:w="1129"/>
            <w:gridCol w:w="2268"/>
            <w:gridCol w:w="1843"/>
            <w:gridCol w:w="4111"/>
            <w:gridCol w:w="3118"/>
            <w:gridCol w:w="1990"/>
          </w:tblGrid>
        </w:tblGridChange>
      </w:tblGrid>
      <w:tr>
        <w:trPr>
          <w:cantSplit w:val="0"/>
          <w:trHeight w:val="166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Иденти-фикатор УБИ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Наименование УБИ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Источник УБИ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Уязвимости (ошибки), которые могут быть использованы для реализации (способствовать возникновению) УБИ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Возможные способы (сценарии) реализации УБИ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Возможные последствия от реализации (возникновения) УБИ</w:t>
            </w:r>
          </w:p>
        </w:tc>
      </w:tr>
      <w:tr>
        <w:trPr>
          <w:cantSplit w:val="0"/>
          <w:trHeight w:val="3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УБИ.003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Угроза использования слабостей криптографических алгоритмов и уязвимостей в программном обеспечении их реализации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Внешний нарушитель со средним потенциалом</w:t>
            </w:r>
          </w:p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Внутренний нарушитель со средним потенциалом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Данная угроза обусловлена слабостями криптографических алгоритмов, а также ошибками в программном коде криптографических средств, их сопряжении с системой или параметрах их настройки.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Реализация угрозы возможна в случае наличия у нарушителя сведений об применяемых в системе средствах шифрования, реализованных в них алгоритмах шифрования и параметрах их настройки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Нарушение конфиденциальности</w:t>
            </w:r>
          </w:p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Нарушение целостности</w:t>
            </w:r>
          </w:p>
        </w:tc>
      </w:tr>
      <w:tr>
        <w:trPr>
          <w:cantSplit w:val="0"/>
          <w:trHeight w:val="379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УБИ.014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Угроза длительного удержания вычислительных ресурсов пользователями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Внешний нарушитель с низким потенциалом</w:t>
            </w:r>
          </w:p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Внутренний нарушитель с низким потенциалом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Данная угроза обусловлена слабостями механизмов балансировки нагрузки и распределения вычислительных ресурсов.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Реализация угрозы возможна в случае, если у нарушителя имеется возможность делать запросы, которые в совокупности требуют больше времени на выполнение, чем запросы пользователя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Нарушение доступности</w:t>
            </w:r>
          </w:p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9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УБИ.019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Угроза заражения DNS-кеша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Внешний нарушитель с низким потенциалом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Данная угроза обусловлена слабостями механизмов проверки подлинности субъектов сетевого взаимодействия, а также уязвимостями DNS-сервера, позволяющими напрямую заменить DNS-кеш DNS-сервера.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Реализация данной угрозы возможна в случае наличия у нарушителя привилегий, достаточных для отправки сетевых запросов к DNS-серверу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Нарушение конфиденциальности</w:t>
            </w:r>
          </w:p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9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УБИ.027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Угроза искажения вводимой и выводимой на периферийные устройства информации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Внешний нарушитель с высоким потенциалом</w:t>
            </w:r>
          </w:p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Внутренний нарушитель с низким потенциалом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Данная угроза обусловлена слабостями мер антивирусной защиты и контроля достоверности входных и выходных данных, а также ошибками, допущенными в ходе проведения специальных проверок аппаратных средств вычислительной техники.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Реализация данной угрозы возможна при условии наличия в дискредитируемой информационной системе вредоносного программного обеспечения (например, виртуальных драйверов устройств) или аппаратных закладок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Нарушение целостности</w:t>
            </w:r>
          </w:p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УБИ.031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Угроза использования механизмов авторизации для повышения привилегий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Внешний нарушитель с низким потенциалом</w:t>
            </w:r>
          </w:p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Внутренний нарушитель с низким потенциалом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Данная угроза обусловлена слабостями мер разграничения доступа к программам и файлам.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Реализация данной угрозы возможна в случае наличия у нарушителя каких-либо привилегий в системе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Нарушение конфиденциальности</w:t>
            </w:r>
          </w:p>
        </w:tc>
      </w:tr>
      <w:tr>
        <w:trPr>
          <w:cantSplit w:val="0"/>
          <w:trHeight w:val="379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УБИ.033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Угроза использования слабостей кодирования входных данных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Внешний нарушитель со средним потенциалом</w:t>
            </w:r>
          </w:p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Внутренний нарушитель со средним потенциалом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Данная угроза обусловлена слабостями механизма контроля входных данных.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Реализация данной угрозы возможна при условиях:</w:t>
            </w:r>
          </w:p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дискредитируемая система принимает входные данные от нарушителя;</w:t>
            </w:r>
          </w:p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нарушитель обладает возможностью управления одним или несколькими параметрами входных данных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Нарушение целостности</w:t>
            </w:r>
          </w:p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Нарушение доступности</w:t>
            </w:r>
          </w:p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УБИ.067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Угроза неправомерного ознакомления с защищаемой информацией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Внутренний нарушитель с низким потенциалом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Данная угроза обусловлена уязвимостями средств контроля доступа, ошибками в параметрах конфигурации данных средств или отсутствием указанных средств.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Реализация данной угрозы не подразумевает установку и использование нарушителем специального вредоносного программного обеспечения. При этом ознакомление может быть проведено путём просмотра информации с экранов мониторов других пользователей, с отпечатанных документов, путём подслушивания разговоров и др.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Нарушение конфиденциальности</w:t>
            </w:r>
          </w:p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УБИ.069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Угроза неправомерных действий в каналах связи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Внешний нарушитель с низким потенциалом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Данная угроза обусловлена слабостями сетевых протоколов, заключающимися в отсутствии проверки целостности и подлинности получаемых данных.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Реализация данной угрозы возможна при условии осуществления нарушителем несанкционированного доступа к сетевому трафику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Нарушение конфиденциальности</w:t>
            </w:r>
          </w:p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Нарушение целостности</w:t>
            </w:r>
          </w:p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9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УБИ.073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Угроза несанкционированного доступа к активному и (или) пассивному виртуальному и (или) физическому сетевому оборудованию из физической и (или) виртуальной сети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Внешний нарушитель со средним потенциалом</w:t>
            </w:r>
          </w:p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Внутренний нарушитель со средним потенциалом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Данная угроза обусловлена ограниченностью функциональных возможностей (наличием слабостей) активного и (или) пассивного виртуального и (или) физического сетевого оборудования, входящего в состав виртуальной инфраструктуры, наличием у данного оборудования фиксированного сетевого адреса.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Реализация данной угрозы возможна при условии наличия уязвимостей в программном и (или) микропрограммном обеспечении сетевого оборудования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Нарушение конфиденциальности</w:t>
            </w:r>
          </w:p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Нарушение целостности</w:t>
            </w:r>
          </w:p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Нарушение доступности</w:t>
            </w:r>
          </w:p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УБИ.104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Угроза определения топологии вычислительной сети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Внешний нарушитель с низким потенциалом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Данная угроза связана со слабостями механизмов сетевого взаимодействия, предоставляющих клиентам сети открытую техническую информацию о сетевых узлах, а также с уязвимостями средств межсетевого экранирования (алгоритма работы и конфигурации правил фильтрации сетевого трафика).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Реализация данной угрозы возможна в случае наличия у нарушителя возможности подключения к исследуемой вычислительной сети и наличием специализированного программного обеспечения, реализующего функцию анализа сетевого трафика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Нарушение конфиденциальности</w:t>
            </w:r>
          </w:p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9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УБИ.156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Угроза утраты носителей информации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Внутренний нарушитель с низким потенциалом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Данная угроза обусловлена слабостями мер регистрации и учёта носителей информации, а также мер резервирования защищаемых данных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Реализация данной угрозы возможна вследствие халатности сотрудников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Нарушение конфиденциальности</w:t>
            </w:r>
          </w:p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Нарушение доступности</w:t>
            </w:r>
          </w:p>
        </w:tc>
      </w:tr>
      <w:tr>
        <w:trPr>
          <w:cantSplit w:val="0"/>
          <w:trHeight w:val="379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УБИ.006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Угроза внедрения кода или данных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Внешний нарушитель с низким потенциалом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Данная угроза обусловлена:</w:t>
            </w:r>
          </w:p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наличием уязвимостей программного обеспечения;</w:t>
            </w:r>
          </w:p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слабостями мер антивирусной защиты и разграничения доступа;</w:t>
            </w:r>
          </w:p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наличием открытого Telnet-порта на IoT-устройстве (только для IoT-устройств).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Реализация данной угрозы возможна:</w:t>
            </w:r>
          </w:p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в случае работы дискредитируемого пользователя с файлами, поступающими из недоверенных источников;</w:t>
            </w:r>
          </w:p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при наличии у него привилегий установки программного обеспечения;</w:t>
            </w:r>
          </w:p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в случае неизмененных владельцем учетных данных IoT-устройства (заводских пароля и логина)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Нарушение конфиденциальности</w:t>
            </w:r>
          </w:p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Нарушение целостности</w:t>
            </w:r>
          </w:p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Нарушение доступности</w:t>
            </w:r>
          </w:p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9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УБИ.083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Угроза несанкционированного доступа к системе по беспроводным каналам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Внешний нарушитель с низким потенциалом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Данная угроза обусловлена слабостями протоколов идентификации/аутентификации (таких как WEP, WPA и WPA2, AES), используемых для доступа к беспроводному оборудованию.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Реализация данной угрозы возможна при условии наличия у нарушителя специализированного программного обеспечения, реализующего функции эксплуатации уязвимостей протоколов идентификации/аутентификации беспроводных сетей, а также нахождения в точке приема сигналов дискредитируемой беспроводной сети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Нарушение конфиденциальности</w:t>
            </w:r>
          </w:p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Нарушение целостности</w:t>
            </w:r>
          </w:p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Нарушение доступности</w:t>
            </w:r>
          </w:p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9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УБИ.139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Угроза преодоления физической защиты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Внешний нарушитель со средним потенциалом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Данная угроза обусловлена уязвимостями в системе контроля физического доступа (отсутствием замков в помещении, ошибками персонала и т.п.).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Реализация данной угрозы возможна при условии успешного применения нарушителем любого из методов проникновения на объект (обман персонала, взлом замков и др.)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Нарушение конфиденциальности</w:t>
            </w:r>
          </w:p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Нарушение целостности</w:t>
            </w:r>
          </w:p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Нарушение доступности</w:t>
            </w:r>
          </w:p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УБИ.175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Угроза «фишинга»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Внешний нарушитель с низким потенциалом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Данная угроза обусловлена недостаточностью знаний пользователей о методах и средствах «фишинга».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Реализация данной угрозы возможна при условии наличия у нарушителя:</w:t>
            </w:r>
          </w:p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сведений о конкретных сайтах, посещаемых пользователем, на которых требуется ввод защищаемой информации;</w:t>
            </w:r>
          </w:p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средств создания и запуска поддельного сайта;</w:t>
            </w:r>
          </w:p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сведений о контактах пользователя с доверенной организацией (номер телефона, адрес электронной почты и др.).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Нарушение конфиденциальности</w:t>
            </w:r>
          </w:p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9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УБИ.189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Угроза маскирования действий вредоносного кода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Внешний нарушитель со средним потенциалом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Данная угроза обусловлена наличием способов маскирования программного кода, не учтенных сигнатурными базами средств защиты информации, а также механизмов операционной системы, позволяющих осуществить поиск модулей средств защиты информации.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Реализация данной угрозы возможна при условии использования в системе устаревших версий средств защиты информации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Нарушение целостности</w:t>
            </w:r>
          </w:p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Нарушение доступности</w:t>
            </w:r>
          </w:p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9">
      <w:pPr>
        <w:pStyle w:val="Heading2"/>
        <w:ind w:left="568" w:firstLine="0"/>
        <w:rPr/>
        <w:sectPr>
          <w:footerReference r:id="rId12" w:type="default"/>
          <w:type w:val="nextPage"/>
          <w:pgSz w:h="11906" w:w="16838" w:orient="landscape"/>
          <w:pgMar w:bottom="1701" w:top="850" w:left="1134" w:right="1134" w:header="708" w:footer="42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numPr>
          <w:ilvl w:val="1"/>
          <w:numId w:val="1"/>
        </w:numPr>
        <w:ind w:left="709" w:firstLine="0"/>
        <w:rPr/>
      </w:pPr>
      <w:bookmarkStart w:colFirst="0" w:colLast="0" w:name="_heading=h.uepwn8ves0cl" w:id="4"/>
      <w:bookmarkEnd w:id="4"/>
      <w:r w:rsidDel="00000000" w:rsidR="00000000" w:rsidRPr="00000000">
        <w:rPr>
          <w:rtl w:val="0"/>
        </w:rPr>
        <w:t xml:space="preserve">Предварительная оценка рисков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Анализ и оценка рисков организации осуществлялась в количественном виде на основе ГОСТ Р ИСО/МЭК 27005-2010. Было выделено 16 наиболее актуальных угроз, для которых была проведена углубленная оценка рисков на основе формулы 1.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firstLine="0"/>
        <w:jc w:val="center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Риск = Вероятность (%) * Ущерб </w:t>
        <w:tab/>
        <w:tab/>
        <w:tab/>
        <w:tab/>
        <w:tab/>
        <w:tab/>
        <w:t xml:space="preserve">(1)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Вероятность реализации УБИ была рассчитана на основе экспертной оценки с помощью формулы 2 (выбрать метод экспертной оценки, привести табличку с мнениями 5 экспертов, с помощью коэффициента вариации или конкордации оценить согласованность).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firstLine="0"/>
        <w:jc w:val="center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Вероятность (%) = Сумма вероятностей / Количество экспертов</w:t>
        <w:tab/>
        <w:t xml:space="preserve">(2)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Согласованность экспертов оценена на основе значений коэффициента вариации, вычисляемого по формуле 3: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firstLine="0"/>
        <w:jc w:val="center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CV = σ / X * 100%</w:t>
        <w:tab/>
        <w:tab/>
        <w:tab/>
        <w:tab/>
        <w:tab/>
        <w:tab/>
        <w:tab/>
        <w:tab/>
        <w:tab/>
        <w:t xml:space="preserve">(3),</w:t>
      </w:r>
    </w:p>
    <w:p w:rsidR="00000000" w:rsidDel="00000000" w:rsidP="00000000" w:rsidRDefault="00000000" w:rsidRPr="00000000" w14:paraId="000001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firstLine="2694"/>
        <w:jc w:val="left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где</w:t>
      </w:r>
    </w:p>
    <w:p w:rsidR="00000000" w:rsidDel="00000000" w:rsidP="00000000" w:rsidRDefault="00000000" w:rsidRPr="00000000" w14:paraId="000001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firstLine="2694"/>
        <w:jc w:val="left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σ - стандартное отклонение,</w:t>
      </w:r>
    </w:p>
    <w:p w:rsidR="00000000" w:rsidDel="00000000" w:rsidP="00000000" w:rsidRDefault="00000000" w:rsidRPr="00000000" w14:paraId="000001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firstLine="2694"/>
        <w:jc w:val="left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X - среднее значение.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Расчеты вероятности реализации угроз представлена в таблице 4.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Оценка экспертов</w:t>
      </w:r>
    </w:p>
    <w:tbl>
      <w:tblPr>
        <w:tblStyle w:val="Table3"/>
        <w:tblW w:w="14560.0" w:type="dxa"/>
        <w:jc w:val="left"/>
        <w:tblLayout w:type="fixed"/>
        <w:tblLook w:val="0400"/>
      </w:tblPr>
      <w:tblGrid>
        <w:gridCol w:w="2263"/>
        <w:gridCol w:w="771"/>
        <w:gridCol w:w="804"/>
        <w:gridCol w:w="803"/>
        <w:gridCol w:w="804"/>
        <w:gridCol w:w="803"/>
        <w:gridCol w:w="804"/>
        <w:gridCol w:w="803"/>
        <w:gridCol w:w="804"/>
        <w:gridCol w:w="803"/>
        <w:gridCol w:w="672"/>
        <w:gridCol w:w="672"/>
        <w:gridCol w:w="672"/>
        <w:gridCol w:w="803"/>
        <w:gridCol w:w="672"/>
        <w:gridCol w:w="803"/>
        <w:gridCol w:w="804"/>
        <w:tblGridChange w:id="0">
          <w:tblGrid>
            <w:gridCol w:w="2263"/>
            <w:gridCol w:w="771"/>
            <w:gridCol w:w="804"/>
            <w:gridCol w:w="803"/>
            <w:gridCol w:w="804"/>
            <w:gridCol w:w="803"/>
            <w:gridCol w:w="804"/>
            <w:gridCol w:w="803"/>
            <w:gridCol w:w="804"/>
            <w:gridCol w:w="803"/>
            <w:gridCol w:w="672"/>
            <w:gridCol w:w="672"/>
            <w:gridCol w:w="672"/>
            <w:gridCol w:w="803"/>
            <w:gridCol w:w="672"/>
            <w:gridCol w:w="803"/>
            <w:gridCol w:w="804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6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Идентификатор УБИ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Эксперт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003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014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019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027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031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033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067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069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073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104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156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006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083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139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175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189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Среднее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10,8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11,4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13,2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15,6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9,4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16,4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17,6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19,8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29,8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22,8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22,6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31,2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17,8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29,5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11,6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40,2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18,7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21,8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23,5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16,4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16,6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8,3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11,5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12,6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5,7</w:t>
            </w:r>
          </w:p>
        </w:tc>
      </w:tr>
    </w:tbl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Оценка ущерба от реализации УБИ производилась на основе данных, представленных бухгалтерией организации, и включает в себя активы, штрафы, амортизацию, затраты на восстановлени (таблица 4).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Оценка ущерба от реализации</w:t>
      </w:r>
    </w:p>
    <w:tbl>
      <w:tblPr>
        <w:tblStyle w:val="Table4"/>
        <w:tblW w:w="14426.000000000002" w:type="dxa"/>
        <w:jc w:val="left"/>
        <w:tblInd w:w="2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1668"/>
        <w:gridCol w:w="2835"/>
        <w:gridCol w:w="3402"/>
        <w:gridCol w:w="2127"/>
        <w:gridCol w:w="2976"/>
        <w:gridCol w:w="1418"/>
        <w:tblGridChange w:id="0">
          <w:tblGrid>
            <w:gridCol w:w="1668"/>
            <w:gridCol w:w="2835"/>
            <w:gridCol w:w="3402"/>
            <w:gridCol w:w="2127"/>
            <w:gridCol w:w="2976"/>
            <w:gridCol w:w="1418"/>
          </w:tblGrid>
        </w:tblGridChange>
      </w:tblGrid>
      <w:tr>
        <w:trPr>
          <w:cantSplit w:val="0"/>
          <w:trHeight w:val="9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Идентифиатор УБИ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Наименование УБИ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Источник УБИ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Вероятность реализации УБИ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Ущерб от реализации УБИ (руб.)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Риск (руб.)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УБИ.003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Угроза использования слабостей криптографических алгоритмов и уязвимостей в программном обеспечении их реализации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Внешний нарушитель со средним потенциалом</w:t>
            </w:r>
          </w:p>
          <w:p w:rsidR="00000000" w:rsidDel="00000000" w:rsidP="00000000" w:rsidRDefault="00000000" w:rsidRPr="00000000" w14:paraId="000001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Внутренний нарушитель со средним потенциалом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10,8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1 0</w:t>
            </w:r>
            <w:r w:rsidDel="00000000" w:rsidR="00000000" w:rsidRPr="00000000">
              <w:rPr>
                <w:color w:val="000000"/>
                <w:rtl w:val="0"/>
              </w:rPr>
              <w:t xml:space="preserve">00 000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108</w:t>
            </w:r>
            <w:r w:rsidDel="00000000" w:rsidR="00000000" w:rsidRPr="00000000">
              <w:rPr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color w:val="000000"/>
                <w:rtl w:val="0"/>
              </w:rPr>
              <w:t xml:space="preserve">00</w:t>
            </w:r>
          </w:p>
        </w:tc>
      </w:tr>
      <w:tr>
        <w:trPr>
          <w:cantSplit w:val="0"/>
          <w:trHeight w:val="175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УБИ.014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Угроза длительного удержания вычислительных ресурсов пользователями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Внешний нарушитель с низким потенциалом</w:t>
            </w:r>
          </w:p>
          <w:p w:rsidR="00000000" w:rsidDel="00000000" w:rsidP="00000000" w:rsidRDefault="00000000" w:rsidRPr="00000000" w14:paraId="000001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Внутренний нарушитель с низким потенциалом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11,4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color w:val="000000"/>
                <w:rtl w:val="0"/>
              </w:rPr>
              <w:t xml:space="preserve">0 000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62</w:t>
            </w:r>
            <w:r w:rsidDel="00000000" w:rsidR="00000000" w:rsidRPr="00000000">
              <w:rPr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7</w:t>
            </w:r>
            <w:r w:rsidDel="00000000" w:rsidR="00000000" w:rsidRPr="00000000">
              <w:rPr>
                <w:color w:val="000000"/>
                <w:rtl w:val="0"/>
              </w:rPr>
              <w:t xml:space="preserve">00</w:t>
            </w:r>
          </w:p>
        </w:tc>
      </w:tr>
      <w:tr>
        <w:trPr>
          <w:cantSplit w:val="0"/>
          <w:trHeight w:val="104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УБИ.019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Угроза заражения DNS-кеша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Внешний нарушитель с низким потенциалом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13,2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color w:val="000000"/>
                <w:rtl w:val="0"/>
              </w:rPr>
              <w:t xml:space="preserve">0 000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  <w:t xml:space="preserve">9</w:t>
            </w:r>
            <w:r w:rsidDel="00000000" w:rsidR="00000000" w:rsidRPr="00000000">
              <w:rPr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color w:val="000000"/>
                <w:rtl w:val="0"/>
              </w:rPr>
              <w:t xml:space="preserve">00</w:t>
            </w:r>
          </w:p>
        </w:tc>
      </w:tr>
      <w:tr>
        <w:trPr>
          <w:cantSplit w:val="0"/>
          <w:trHeight w:val="180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УБИ.027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Угроза искажения вводимой и выводимой на периферийные устройства информации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Внешний нарушитель с высоким потенциалом</w:t>
            </w:r>
          </w:p>
          <w:p w:rsidR="00000000" w:rsidDel="00000000" w:rsidP="00000000" w:rsidRDefault="00000000" w:rsidRPr="00000000" w14:paraId="000001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Внутренний нарушитель с низким потенциалом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15,6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500 000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  <w:t xml:space="preserve">8</w:t>
            </w:r>
            <w:r w:rsidDel="00000000" w:rsidR="00000000" w:rsidRPr="00000000">
              <w:rPr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color w:val="000000"/>
                <w:rtl w:val="0"/>
              </w:rPr>
              <w:t xml:space="preserve">00</w:t>
            </w:r>
          </w:p>
        </w:tc>
      </w:tr>
      <w:tr>
        <w:trPr>
          <w:cantSplit w:val="0"/>
          <w:trHeight w:val="175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УБИ.031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Угроза использования механизмов авторизации для повышения привилегий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Внешний нарушитель с низким потенциалом</w:t>
            </w:r>
          </w:p>
          <w:p w:rsidR="00000000" w:rsidDel="00000000" w:rsidP="00000000" w:rsidRDefault="00000000" w:rsidRPr="00000000" w14:paraId="000001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Внутренний нарушитель с низким потенциалом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9,4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 </w:t>
            </w: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color w:val="000000"/>
                <w:rtl w:val="0"/>
              </w:rPr>
              <w:t xml:space="preserve">00 000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103</w:t>
            </w:r>
            <w:r w:rsidDel="00000000" w:rsidR="00000000" w:rsidRPr="00000000">
              <w:rPr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color w:val="000000"/>
                <w:rtl w:val="0"/>
              </w:rPr>
              <w:t xml:space="preserve">00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УБИ.033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Угроза использования слабостей кодирования входных данных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Внешний нарушитель со средним потенциалом</w:t>
            </w:r>
          </w:p>
          <w:p w:rsidR="00000000" w:rsidDel="00000000" w:rsidP="00000000" w:rsidRDefault="00000000" w:rsidRPr="00000000" w14:paraId="000001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Внутренний нарушитель со средним потенциалом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1 0</w:t>
            </w:r>
            <w:r w:rsidDel="00000000" w:rsidR="00000000" w:rsidRPr="00000000">
              <w:rPr>
                <w:color w:val="000000"/>
                <w:rtl w:val="0"/>
              </w:rPr>
              <w:t xml:space="preserve">00 000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20</w:t>
            </w:r>
            <w:r w:rsidDel="00000000" w:rsidR="00000000" w:rsidRPr="00000000">
              <w:rPr>
                <w:color w:val="000000"/>
                <w:rtl w:val="0"/>
              </w:rPr>
              <w:t xml:space="preserve">0 000</w:t>
            </w:r>
          </w:p>
        </w:tc>
      </w:tr>
      <w:tr>
        <w:trPr>
          <w:cantSplit w:val="0"/>
          <w:trHeight w:val="16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УБИ.067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Угроза неправомерного ознакомления с защищаемой информацией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Внутренний нарушитель с низким потенциалом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16,4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1 </w:t>
            </w: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color w:val="000000"/>
                <w:rtl w:val="0"/>
              </w:rPr>
              <w:t xml:space="preserve">00 000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  <w:t xml:space="preserve">80</w:t>
            </w:r>
            <w:r w:rsidDel="00000000" w:rsidR="00000000" w:rsidRPr="00000000">
              <w:rPr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color w:val="000000"/>
                <w:rtl w:val="0"/>
              </w:rPr>
              <w:t xml:space="preserve">00</w:t>
            </w:r>
          </w:p>
        </w:tc>
      </w:tr>
      <w:tr>
        <w:trPr>
          <w:cantSplit w:val="0"/>
          <w:trHeight w:val="89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УБИ.069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Угроза неправомерных действий в каналах связи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Внешний нарушитель с низким потенциалом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1 </w:t>
            </w: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color w:val="000000"/>
                <w:rtl w:val="0"/>
              </w:rPr>
              <w:t xml:space="preserve">00 000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color w:val="000000"/>
                <w:rtl w:val="0"/>
              </w:rPr>
              <w:t xml:space="preserve">0 000</w:t>
            </w:r>
          </w:p>
        </w:tc>
      </w:tr>
      <w:tr>
        <w:trPr>
          <w:cantSplit w:val="0"/>
          <w:trHeight w:val="237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УБИ.073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Угроза несанкционированного доступа к активному и (или) пассивному виртуальному и (или) физическому сетевому оборудованию из физической и (или) виртуальной сети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Внешний нарушитель со средним потенциалом</w:t>
            </w:r>
          </w:p>
          <w:p w:rsidR="00000000" w:rsidDel="00000000" w:rsidP="00000000" w:rsidRDefault="00000000" w:rsidRPr="00000000" w14:paraId="000002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Внутренний нарушитель со средним потенциалом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17,6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1 0</w:t>
            </w:r>
            <w:r w:rsidDel="00000000" w:rsidR="00000000" w:rsidRPr="00000000">
              <w:rPr>
                <w:color w:val="000000"/>
                <w:rtl w:val="0"/>
              </w:rPr>
              <w:t xml:space="preserve">00 000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  <w:t xml:space="preserve">76</w:t>
            </w:r>
            <w:r w:rsidDel="00000000" w:rsidR="00000000" w:rsidRPr="00000000">
              <w:rPr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color w:val="000000"/>
                <w:rtl w:val="0"/>
              </w:rPr>
              <w:t xml:space="preserve">00</w:t>
            </w:r>
          </w:p>
        </w:tc>
      </w:tr>
      <w:tr>
        <w:trPr>
          <w:cantSplit w:val="0"/>
          <w:trHeight w:val="127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УБИ.104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Угроза определения топологии вычислительной сети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Внешний нарушитель с низким потенциалом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2 </w:t>
            </w: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color w:val="000000"/>
                <w:rtl w:val="0"/>
              </w:rPr>
              <w:t xml:space="preserve">00 000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  <w:t xml:space="preserve">74</w:t>
            </w:r>
            <w:r w:rsidDel="00000000" w:rsidR="00000000" w:rsidRPr="00000000">
              <w:rPr>
                <w:color w:val="000000"/>
                <w:rtl w:val="0"/>
              </w:rPr>
              <w:t xml:space="preserve"> 000</w:t>
            </w:r>
          </w:p>
        </w:tc>
      </w:tr>
      <w:tr>
        <w:trPr>
          <w:cantSplit w:val="0"/>
          <w:trHeight w:val="104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УБИ.156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Угроза утраты носителей информации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Внутренний нарушитель с низким потенциалом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1 </w:t>
            </w: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color w:val="000000"/>
                <w:rtl w:val="0"/>
              </w:rPr>
              <w:t xml:space="preserve">00 000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  <w:t xml:space="preserve">68</w:t>
            </w:r>
            <w:r w:rsidDel="00000000" w:rsidR="00000000" w:rsidRPr="00000000">
              <w:rPr>
                <w:color w:val="000000"/>
                <w:rtl w:val="0"/>
              </w:rPr>
              <w:t xml:space="preserve"> 000</w:t>
            </w:r>
          </w:p>
        </w:tc>
      </w:tr>
      <w:tr>
        <w:trPr>
          <w:cantSplit w:val="0"/>
          <w:trHeight w:val="104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УБИ.006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Угроза внедрения кода или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Внешний нарушитель с низким потенциалом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19,8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1 </w:t>
            </w:r>
            <w:r w:rsidDel="00000000" w:rsidR="00000000" w:rsidRPr="00000000">
              <w:rPr>
                <w:rtl w:val="0"/>
              </w:rPr>
              <w:t xml:space="preserve">65</w:t>
            </w:r>
            <w:r w:rsidDel="00000000" w:rsidR="00000000" w:rsidRPr="00000000">
              <w:rPr>
                <w:color w:val="000000"/>
                <w:rtl w:val="0"/>
              </w:rPr>
              <w:t xml:space="preserve">0 000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326</w:t>
            </w:r>
            <w:r w:rsidDel="00000000" w:rsidR="00000000" w:rsidRPr="00000000">
              <w:rPr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7</w:t>
            </w:r>
            <w:r w:rsidDel="00000000" w:rsidR="00000000" w:rsidRPr="00000000">
              <w:rPr>
                <w:color w:val="000000"/>
                <w:rtl w:val="0"/>
              </w:rPr>
              <w:t xml:space="preserve">00</w:t>
            </w:r>
          </w:p>
        </w:tc>
      </w:tr>
      <w:tr>
        <w:trPr>
          <w:cantSplit w:val="0"/>
          <w:trHeight w:val="166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УБИ.083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Угроза несанкционированного доступа к системе по беспроводным каналам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Внешний нарушитель с низким потенциалом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29,8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1 0</w:t>
            </w:r>
            <w:r w:rsidDel="00000000" w:rsidR="00000000" w:rsidRPr="00000000">
              <w:rPr>
                <w:color w:val="000000"/>
                <w:rtl w:val="0"/>
              </w:rPr>
              <w:t xml:space="preserve">00 000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98</w:t>
            </w:r>
            <w:r w:rsidDel="00000000" w:rsidR="00000000" w:rsidRPr="00000000">
              <w:rPr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color w:val="000000"/>
                <w:rtl w:val="0"/>
              </w:rPr>
              <w:t xml:space="preserve">00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УБИ.139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Угроза преодоления физической защиты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Внешний нарушитель со средним потенциалом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22,8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1 </w:t>
            </w: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color w:val="000000"/>
                <w:rtl w:val="0"/>
              </w:rPr>
              <w:t xml:space="preserve">00 000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50</w:t>
            </w:r>
            <w:r w:rsidDel="00000000" w:rsidR="00000000" w:rsidRPr="00000000">
              <w:rPr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8</w:t>
            </w:r>
            <w:r w:rsidDel="00000000" w:rsidR="00000000" w:rsidRPr="00000000">
              <w:rPr>
                <w:color w:val="000000"/>
                <w:rtl w:val="0"/>
              </w:rPr>
              <w:t xml:space="preserve">00</w:t>
            </w:r>
          </w:p>
        </w:tc>
      </w:tr>
      <w:tr>
        <w:trPr>
          <w:cantSplit w:val="0"/>
          <w:trHeight w:val="9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УБИ.175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Угроза «фишинга»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Внешний нарушитель с низким потенциалом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22,6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1 0</w:t>
            </w:r>
            <w:r w:rsidDel="00000000" w:rsidR="00000000" w:rsidRPr="00000000">
              <w:rPr>
                <w:color w:val="000000"/>
                <w:rtl w:val="0"/>
              </w:rPr>
              <w:t xml:space="preserve">00 000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26</w:t>
            </w:r>
            <w:r w:rsidDel="00000000" w:rsidR="00000000" w:rsidRPr="00000000">
              <w:rPr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color w:val="000000"/>
                <w:rtl w:val="0"/>
              </w:rPr>
              <w:t xml:space="preserve">00</w:t>
            </w:r>
          </w:p>
        </w:tc>
      </w:tr>
      <w:tr>
        <w:trPr>
          <w:cantSplit w:val="0"/>
          <w:trHeight w:val="13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УБИ.189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Угроза маскирования действий вредоносного кода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Внешний нарушитель со средним потенциалом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31,2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1 </w:t>
            </w:r>
            <w:r w:rsidDel="00000000" w:rsidR="00000000" w:rsidRPr="00000000">
              <w:rPr>
                <w:rtl w:val="0"/>
              </w:rPr>
              <w:t xml:space="preserve">65</w:t>
            </w:r>
            <w:r w:rsidDel="00000000" w:rsidR="00000000" w:rsidRPr="00000000">
              <w:rPr>
                <w:color w:val="000000"/>
                <w:rtl w:val="0"/>
              </w:rPr>
              <w:t xml:space="preserve">0 000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514</w:t>
            </w:r>
            <w:r w:rsidDel="00000000" w:rsidR="00000000" w:rsidRPr="00000000">
              <w:rPr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8</w:t>
            </w:r>
            <w:r w:rsidDel="00000000" w:rsidR="00000000" w:rsidRPr="00000000">
              <w:rPr>
                <w:color w:val="000000"/>
                <w:rtl w:val="0"/>
              </w:rPr>
              <w:t xml:space="preserve">00</w:t>
            </w:r>
          </w:p>
        </w:tc>
      </w:tr>
      <w:tr>
        <w:trPr>
          <w:cantSplit w:val="0"/>
          <w:trHeight w:val="241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Итого риск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3 </w:t>
            </w:r>
            <w:r w:rsidDel="00000000" w:rsidR="00000000" w:rsidRPr="00000000">
              <w:rPr>
                <w:rtl w:val="0"/>
              </w:rPr>
              <w:t xml:space="preserve">346</w:t>
            </w:r>
            <w:r w:rsidDel="00000000" w:rsidR="00000000" w:rsidRPr="00000000">
              <w:rPr>
                <w:color w:val="000000"/>
                <w:rtl w:val="0"/>
              </w:rPr>
              <w:t xml:space="preserve"> 200</w:t>
            </w:r>
          </w:p>
        </w:tc>
      </w:tr>
    </w:tbl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На основе представленной таблицы было принято решение о следующей обработке рисков: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Обработка рисков</w:t>
      </w:r>
    </w:p>
    <w:tbl>
      <w:tblPr>
        <w:tblStyle w:val="Table5"/>
        <w:tblW w:w="14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3"/>
        <w:gridCol w:w="9072"/>
        <w:gridCol w:w="3225"/>
        <w:tblGridChange w:id="0">
          <w:tblGrid>
            <w:gridCol w:w="2263"/>
            <w:gridCol w:w="9072"/>
            <w:gridCol w:w="322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Идентифиатор УБИ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Наименование УБИ</w:t>
            </w:r>
          </w:p>
        </w:tc>
        <w:tc>
          <w:tcPr/>
          <w:p w:rsidR="00000000" w:rsidDel="00000000" w:rsidP="00000000" w:rsidRDefault="00000000" w:rsidRPr="00000000" w14:paraId="0000024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Решение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УБИ.003</w:t>
            </w:r>
          </w:p>
        </w:tc>
        <w:tc>
          <w:tcPr/>
          <w:p w:rsidR="00000000" w:rsidDel="00000000" w:rsidP="00000000" w:rsidRDefault="00000000" w:rsidRPr="00000000" w14:paraId="0000024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Угроза использования слабостей криптографических алгоритмов и уязвимостей в программном обеспечении их реализации</w:t>
            </w:r>
          </w:p>
        </w:tc>
        <w:tc>
          <w:tcPr/>
          <w:p w:rsidR="00000000" w:rsidDel="00000000" w:rsidP="00000000" w:rsidRDefault="00000000" w:rsidRPr="00000000" w14:paraId="0000024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Снижение риска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УБИ.014</w:t>
            </w:r>
          </w:p>
        </w:tc>
        <w:tc>
          <w:tcPr/>
          <w:p w:rsidR="00000000" w:rsidDel="00000000" w:rsidP="00000000" w:rsidRDefault="00000000" w:rsidRPr="00000000" w14:paraId="0000024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Угроза длительного удержания вычислительных ресурсов пользователями</w:t>
            </w:r>
          </w:p>
        </w:tc>
        <w:tc>
          <w:tcPr/>
          <w:p w:rsidR="00000000" w:rsidDel="00000000" w:rsidP="00000000" w:rsidRDefault="00000000" w:rsidRPr="00000000" w14:paraId="0000025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Снижение риска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УБИ.019</w:t>
            </w:r>
          </w:p>
        </w:tc>
        <w:tc>
          <w:tcPr/>
          <w:p w:rsidR="00000000" w:rsidDel="00000000" w:rsidP="00000000" w:rsidRDefault="00000000" w:rsidRPr="00000000" w14:paraId="0000025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Угроза заражения DNS-кеша</w:t>
            </w:r>
          </w:p>
        </w:tc>
        <w:tc>
          <w:tcPr/>
          <w:p w:rsidR="00000000" w:rsidDel="00000000" w:rsidP="00000000" w:rsidRDefault="00000000" w:rsidRPr="00000000" w14:paraId="0000025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Снижение риска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УБИ.027</w:t>
            </w:r>
          </w:p>
        </w:tc>
        <w:tc>
          <w:tcPr/>
          <w:p w:rsidR="00000000" w:rsidDel="00000000" w:rsidP="00000000" w:rsidRDefault="00000000" w:rsidRPr="00000000" w14:paraId="0000025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Угроза искажения вводимой и выводимой на периферийные устройства информации</w:t>
            </w:r>
          </w:p>
        </w:tc>
        <w:tc>
          <w:tcPr/>
          <w:p w:rsidR="00000000" w:rsidDel="00000000" w:rsidP="00000000" w:rsidRDefault="00000000" w:rsidRPr="00000000" w14:paraId="0000025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Снижение риска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УБИ.031</w:t>
            </w:r>
          </w:p>
        </w:tc>
        <w:tc>
          <w:tcPr/>
          <w:p w:rsidR="00000000" w:rsidDel="00000000" w:rsidP="00000000" w:rsidRDefault="00000000" w:rsidRPr="00000000" w14:paraId="0000025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Угроза использования механизмов авторизации для повышения привилегий</w:t>
            </w:r>
          </w:p>
        </w:tc>
        <w:tc>
          <w:tcPr/>
          <w:p w:rsidR="00000000" w:rsidDel="00000000" w:rsidP="00000000" w:rsidRDefault="00000000" w:rsidRPr="00000000" w14:paraId="0000025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Снижение риска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УБИ.033</w:t>
            </w:r>
          </w:p>
        </w:tc>
        <w:tc>
          <w:tcPr/>
          <w:p w:rsidR="00000000" w:rsidDel="00000000" w:rsidP="00000000" w:rsidRDefault="00000000" w:rsidRPr="00000000" w14:paraId="0000025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Угроза использования слабостей кодирования входных данных</w:t>
            </w:r>
          </w:p>
        </w:tc>
        <w:tc>
          <w:tcPr/>
          <w:p w:rsidR="00000000" w:rsidDel="00000000" w:rsidP="00000000" w:rsidRDefault="00000000" w:rsidRPr="00000000" w14:paraId="0000025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Снижение риска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УБИ.067</w:t>
            </w:r>
          </w:p>
        </w:tc>
        <w:tc>
          <w:tcPr/>
          <w:p w:rsidR="00000000" w:rsidDel="00000000" w:rsidP="00000000" w:rsidRDefault="00000000" w:rsidRPr="00000000" w14:paraId="0000025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Угроза неправомерного ознакомления с защищаемой информацией</w:t>
            </w:r>
          </w:p>
        </w:tc>
        <w:tc>
          <w:tcPr/>
          <w:p w:rsidR="00000000" w:rsidDel="00000000" w:rsidP="00000000" w:rsidRDefault="00000000" w:rsidRPr="00000000" w14:paraId="0000025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Снижение риска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УБИ.069</w:t>
            </w:r>
          </w:p>
        </w:tc>
        <w:tc>
          <w:tcPr/>
          <w:p w:rsidR="00000000" w:rsidDel="00000000" w:rsidP="00000000" w:rsidRDefault="00000000" w:rsidRPr="00000000" w14:paraId="0000026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Угроза неправомерных действий в каналах связи</w:t>
            </w:r>
          </w:p>
        </w:tc>
        <w:tc>
          <w:tcPr/>
          <w:p w:rsidR="00000000" w:rsidDel="00000000" w:rsidP="00000000" w:rsidRDefault="00000000" w:rsidRPr="00000000" w14:paraId="0000026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Снижение риска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УБИ.073</w:t>
            </w:r>
          </w:p>
        </w:tc>
        <w:tc>
          <w:tcPr/>
          <w:p w:rsidR="00000000" w:rsidDel="00000000" w:rsidP="00000000" w:rsidRDefault="00000000" w:rsidRPr="00000000" w14:paraId="0000026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Угроза несанкционированного доступа к активному и (или) пассивному виртуальному и (или) физическому сетевому оборудованию из физической и (или) виртуальной сети</w:t>
            </w:r>
          </w:p>
        </w:tc>
        <w:tc>
          <w:tcPr/>
          <w:p w:rsidR="00000000" w:rsidDel="00000000" w:rsidP="00000000" w:rsidRDefault="00000000" w:rsidRPr="00000000" w14:paraId="0000026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Снижение риска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УБИ.104</w:t>
            </w:r>
          </w:p>
        </w:tc>
        <w:tc>
          <w:tcPr/>
          <w:p w:rsidR="00000000" w:rsidDel="00000000" w:rsidP="00000000" w:rsidRDefault="00000000" w:rsidRPr="00000000" w14:paraId="0000026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Угроза определения топологии вычислительной сети</w:t>
            </w:r>
          </w:p>
        </w:tc>
        <w:tc>
          <w:tcPr/>
          <w:p w:rsidR="00000000" w:rsidDel="00000000" w:rsidP="00000000" w:rsidRDefault="00000000" w:rsidRPr="00000000" w14:paraId="0000026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Снижение риска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УБИ.156</w:t>
            </w:r>
          </w:p>
        </w:tc>
        <w:tc>
          <w:tcPr/>
          <w:p w:rsidR="00000000" w:rsidDel="00000000" w:rsidP="00000000" w:rsidRDefault="00000000" w:rsidRPr="00000000" w14:paraId="0000026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Угроза утраты носителей информации</w:t>
            </w:r>
          </w:p>
        </w:tc>
        <w:tc>
          <w:tcPr/>
          <w:p w:rsidR="00000000" w:rsidDel="00000000" w:rsidP="00000000" w:rsidRDefault="00000000" w:rsidRPr="00000000" w14:paraId="0000026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Снижение риска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УБИ.006</w:t>
            </w:r>
          </w:p>
        </w:tc>
        <w:tc>
          <w:tcPr/>
          <w:p w:rsidR="00000000" w:rsidDel="00000000" w:rsidP="00000000" w:rsidRDefault="00000000" w:rsidRPr="00000000" w14:paraId="0000026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Угроза внедрения кода или данных</w:t>
            </w:r>
          </w:p>
        </w:tc>
        <w:tc>
          <w:tcPr/>
          <w:p w:rsidR="00000000" w:rsidDel="00000000" w:rsidP="00000000" w:rsidRDefault="00000000" w:rsidRPr="00000000" w14:paraId="0000026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Снижение риска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УБИ.083</w:t>
            </w:r>
          </w:p>
        </w:tc>
        <w:tc>
          <w:tcPr/>
          <w:p w:rsidR="00000000" w:rsidDel="00000000" w:rsidP="00000000" w:rsidRDefault="00000000" w:rsidRPr="00000000" w14:paraId="0000027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Угроза несанкционированного доступа к системе по беспроводным каналам</w:t>
            </w:r>
          </w:p>
        </w:tc>
        <w:tc>
          <w:tcPr/>
          <w:p w:rsidR="00000000" w:rsidDel="00000000" w:rsidP="00000000" w:rsidRDefault="00000000" w:rsidRPr="00000000" w14:paraId="0000027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Снижение риска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УБИ.139</w:t>
            </w:r>
          </w:p>
        </w:tc>
        <w:tc>
          <w:tcPr/>
          <w:p w:rsidR="00000000" w:rsidDel="00000000" w:rsidP="00000000" w:rsidRDefault="00000000" w:rsidRPr="00000000" w14:paraId="0000027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Угроза преодоления физической защиты</w:t>
            </w:r>
          </w:p>
        </w:tc>
        <w:tc>
          <w:tcPr/>
          <w:p w:rsidR="00000000" w:rsidDel="00000000" w:rsidP="00000000" w:rsidRDefault="00000000" w:rsidRPr="00000000" w14:paraId="0000027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Снижение риска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УБИ.175</w:t>
            </w:r>
          </w:p>
        </w:tc>
        <w:tc>
          <w:tcPr/>
          <w:p w:rsidR="00000000" w:rsidDel="00000000" w:rsidP="00000000" w:rsidRDefault="00000000" w:rsidRPr="00000000" w14:paraId="0000027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Угроза «фишинга»</w:t>
            </w:r>
          </w:p>
        </w:tc>
        <w:tc>
          <w:tcPr/>
          <w:p w:rsidR="00000000" w:rsidDel="00000000" w:rsidP="00000000" w:rsidRDefault="00000000" w:rsidRPr="00000000" w14:paraId="0000027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Снижение риска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УБИ.189</w:t>
            </w:r>
          </w:p>
        </w:tc>
        <w:tc>
          <w:tcPr/>
          <w:p w:rsidR="00000000" w:rsidDel="00000000" w:rsidP="00000000" w:rsidRDefault="00000000" w:rsidRPr="00000000" w14:paraId="0000027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Угроза маскирования действий вредоносного кода</w:t>
            </w:r>
          </w:p>
        </w:tc>
        <w:tc>
          <w:tcPr/>
          <w:p w:rsidR="00000000" w:rsidDel="00000000" w:rsidP="00000000" w:rsidRDefault="00000000" w:rsidRPr="00000000" w14:paraId="0000027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Снижение риска</w:t>
            </w:r>
          </w:p>
        </w:tc>
      </w:tr>
    </w:tbl>
    <w:p w:rsidR="00000000" w:rsidDel="00000000" w:rsidP="00000000" w:rsidRDefault="00000000" w:rsidRPr="00000000" w14:paraId="000002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0"/>
        <w:jc w:val="left"/>
        <w:rPr>
          <w:color w:val="000000"/>
        </w:rPr>
        <w:sectPr>
          <w:type w:val="nextPage"/>
          <w:pgSz w:h="11906" w:w="16838" w:orient="landscape"/>
          <w:pgMar w:bottom="850" w:top="1701" w:left="1134" w:right="1134" w:header="708" w:footer="42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1"/>
        <w:numPr>
          <w:ilvl w:val="0"/>
          <w:numId w:val="1"/>
        </w:numPr>
        <w:ind w:left="709" w:firstLine="0"/>
        <w:rPr/>
      </w:pPr>
      <w:bookmarkStart w:colFirst="0" w:colLast="0" w:name="_heading=h.44akoiu2x7ah" w:id="5"/>
      <w:bookmarkEnd w:id="5"/>
      <w:r w:rsidDel="00000000" w:rsidR="00000000" w:rsidRPr="00000000">
        <w:rPr>
          <w:rtl w:val="0"/>
        </w:rPr>
        <w:t xml:space="preserve">Требования по защите информации в организации</w:t>
      </w:r>
    </w:p>
    <w:p w:rsidR="00000000" w:rsidDel="00000000" w:rsidP="00000000" w:rsidRDefault="00000000" w:rsidRPr="00000000" w14:paraId="0000027D">
      <w:pPr>
        <w:pStyle w:val="Heading2"/>
        <w:numPr>
          <w:ilvl w:val="1"/>
          <w:numId w:val="1"/>
        </w:numPr>
        <w:ind w:left="709" w:firstLine="0"/>
        <w:rPr/>
      </w:pPr>
      <w:bookmarkStart w:colFirst="0" w:colLast="0" w:name="_heading=h.6d4j7m65xbxt" w:id="6"/>
      <w:bookmarkEnd w:id="6"/>
      <w:r w:rsidDel="00000000" w:rsidR="00000000" w:rsidRPr="00000000">
        <w:rPr>
          <w:rtl w:val="0"/>
        </w:rPr>
        <w:t xml:space="preserve">Требования по защите информации сформулированы на основе следующих документов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26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ГОСТ Р ИСО/МЭК 27004-2021 “Методы и средства обеспечения безопасности. Системы менеджмента информационной безопасности. Требования”;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26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ГОСТ Р 51583-2014 «Порядок создания автоматизированных систем в защищенном исполнении»;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26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Федеральный закон от 27 июля 2006 г. N 149-ФЗ “Об информации, информационных технологиях и о защите информации”;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26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Приказ от 11 февраля 2013 г. N 17 об утверждении требований о защите информации, не составляющей государственную тайну, содержащейся в государственных информационных системах;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26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Федеральный закон от 29.07.2004 N 98-ФЗ (ред. от 09.03.2021) "О коммерческой тайне";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26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Федеральный закон от 21.12.1994 N 69-ФЗ (ред. от 11.06.2021) "О пожарной безопасности" (с изм. и доп., вступ. в силу с 09.12.2021);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26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Федеральный закон от 30.04.2021 N 117-ФЗ (ред. от 11.06.2021) “Технический регламент о требованиях пожарной безопасности”;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26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Приказ ФАПСИ от 13 июля 2020 г. N 658/20 "Об обращении со средствами криптографической защиты информации";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26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Руководящий документ. Решение председателя Гостехкомиссии России от 30 марта 1992 г. «Средства вычислительной техники. Защита от несанкционированного доступа к информации. Показатели защищенности от несанкционированного доступа к информации»;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26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Руководящий документ. Решение председателя Гостехкомиссии России от 30 марта 1992 г. «Автоматизированные системы. Защита от несанкционированного доступа к информации. Классификация автоматизированных систем и требования по защите информации»;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26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Руководящий документ. Средства вычислительной техники. Межсетевые экраны. Защита от несанкционированного доступа к информации. Показатели защищенности от несанкционированного доступа к информации. Утверждено решением председателя Государственной технической комиссии при Президенте Российской Федерации от 25 июля 1997 г.</w:t>
      </w:r>
    </w:p>
    <w:p w:rsidR="00000000" w:rsidDel="00000000" w:rsidP="00000000" w:rsidRDefault="00000000" w:rsidRPr="00000000" w14:paraId="00000289">
      <w:pPr>
        <w:pStyle w:val="Heading2"/>
        <w:numPr>
          <w:ilvl w:val="1"/>
          <w:numId w:val="1"/>
        </w:numPr>
        <w:ind w:left="709" w:firstLine="0"/>
        <w:rPr/>
      </w:pPr>
      <w:bookmarkStart w:colFirst="0" w:colLast="0" w:name="_heading=h.1tbaxk7fu0ne" w:id="7"/>
      <w:bookmarkEnd w:id="7"/>
      <w:r w:rsidDel="00000000" w:rsidR="00000000" w:rsidRPr="00000000">
        <w:rPr>
          <w:rtl w:val="0"/>
        </w:rPr>
        <w:t xml:space="preserve">Учтенные при разработке требования руководящих документов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“Разработать план обработки рисков, определяющий соответствующие действия руководства, ресурсы, обязанности и приоритеты в отношении менеджмента рисков ИБ” [1];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“Реализовать план обработки рисков для достижения намеченных целей управления, включающий в себя вопросы финансирования, а также распределение функций и обязанностей” [1];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“Определить способ измерения результативности выбранных мер управления или их групп и использования этих измерений для оценки результативности управления с целью получить сравнимые и воспроизводимые данные” [1];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“Силовые и телекоммуникационные кабельные сети, по которым передаются данные или поддерживаются информационные услуги, необходимо защищать от перехвата информации или повреждения” [1];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“Должны быть реализованы меры по обнаружению, предотвращению проникновения и восстановлению после проникновения вредоносного кода, а также должны быть установлены процедуры обеспечения соответствующего оповещения пользователей” [1];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“Разработку организационно-распорядительных документов, определяющих мероприятия по ЗИ в ходе эксплуатации АСЗИ” [2];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Статья 16. Защита информации [3];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Статья 17. Ответственность за правонарушения в сфере информации, информационных технологий и защиты информации [3];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“Ограничение доступа к информации, составляющей коммерческую тайну, путем установления порядка обращения с этой информацией и контроля за соблюдением такого порядка” [5];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“Исключается доступ к информации, составляющей коммерческую тайну, любых лиц без согласия ее обладателя” [5];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Статья 37. Права и обязанности организаций в области пожарной безопасности [6];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Статья 103. Требования к автоматическим установкам пожарной сигнализации [7];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“Состав и содержание организационных и технических мер, необходимых для выполнения установленных Правительством Российской Федерации требований к защите персональных данных для 3 уровня защищенности” [8].</w:t>
      </w:r>
    </w:p>
    <w:p w:rsidR="00000000" w:rsidDel="00000000" w:rsidP="00000000" w:rsidRDefault="00000000" w:rsidRPr="00000000" w14:paraId="00000297">
      <w:pPr>
        <w:pStyle w:val="Heading1"/>
        <w:numPr>
          <w:ilvl w:val="0"/>
          <w:numId w:val="1"/>
        </w:numPr>
        <w:ind w:left="709" w:firstLine="0"/>
        <w:rPr/>
      </w:pPr>
      <w:bookmarkStart w:colFirst="0" w:colLast="0" w:name="_heading=h.hygei36rwh64" w:id="8"/>
      <w:bookmarkEnd w:id="8"/>
      <w:r w:rsidDel="00000000" w:rsidR="00000000" w:rsidRPr="00000000">
        <w:rPr>
          <w:rtl w:val="0"/>
        </w:rPr>
        <w:t xml:space="preserve">Техническое задание на разработку КСЗИ (часть)</w:t>
      </w:r>
    </w:p>
    <w:p w:rsidR="00000000" w:rsidDel="00000000" w:rsidP="00000000" w:rsidRDefault="00000000" w:rsidRPr="00000000" w14:paraId="0000029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Требования к системе защиты информации:</w:t>
      </w:r>
    </w:p>
    <w:p w:rsidR="00000000" w:rsidDel="00000000" w:rsidP="00000000" w:rsidRDefault="00000000" w:rsidRPr="00000000" w14:paraId="0000029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Общие сведения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Настоящее техническое задание (ТЗ) разработано для информационной системы персональных данных </w:t>
      </w:r>
      <w:r w:rsidDel="00000000" w:rsidR="00000000" w:rsidRPr="00000000">
        <w:rPr>
          <w:b w:val="1"/>
          <w:rtl w:val="0"/>
        </w:rPr>
        <w:t xml:space="preserve">ООО «MedCare»</w:t>
      </w:r>
      <w:r w:rsidDel="00000000" w:rsidR="00000000" w:rsidRPr="00000000">
        <w:rPr>
          <w:rtl w:val="0"/>
        </w:rPr>
        <w:t xml:space="preserve"> (ИСПДн) и описывает требования, предъявляемые к построению системы защиты, внедрению системы защиты и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передаче прав на использование программного обеспечения с целью создания системы защиты информации в ИСПДн.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Полное наименование и обозначение системы: «Система защиты информации, обрабатываемой в информационной системе персональных данных </w:t>
      </w:r>
      <w:r w:rsidDel="00000000" w:rsidR="00000000" w:rsidRPr="00000000">
        <w:rPr>
          <w:b w:val="1"/>
          <w:rtl w:val="0"/>
        </w:rPr>
        <w:t xml:space="preserve">ООО «MedCare»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Сокращенное наименование системы: СЗПДн.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Работы по поставке и пуско-наладке оборудования СЗПДн проводятся на основании данного Т3.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Финансирование работ осуществляется из средств бюджета </w:t>
      </w:r>
      <w:r w:rsidDel="00000000" w:rsidR="00000000" w:rsidRPr="00000000">
        <w:rPr>
          <w:b w:val="1"/>
          <w:rtl w:val="0"/>
        </w:rPr>
        <w:t xml:space="preserve">ООО «MedCare»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По завершении этапов работ Исполнитель выдасту Аттестат соответствия требованиям по безопасности информации ИСПДн.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Порядок оформления и предъявления Заказчику результатов работ определяется на основании действующих стандартов и договорных документов между Заказчиком и Исполнителем.</w:t>
      </w:r>
    </w:p>
    <w:p w:rsidR="00000000" w:rsidDel="00000000" w:rsidP="00000000" w:rsidRDefault="00000000" w:rsidRPr="00000000" w14:paraId="000002A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Цели создания СЗПДи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Целями создания СЗПДн являются:</w:t>
      </w:r>
    </w:p>
    <w:p w:rsidR="00000000" w:rsidDel="00000000" w:rsidP="00000000" w:rsidRDefault="00000000" w:rsidRPr="00000000" w14:paraId="000002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29" w:hanging="360"/>
        <w:rPr/>
      </w:pPr>
      <w:r w:rsidDel="00000000" w:rsidR="00000000" w:rsidRPr="00000000">
        <w:rPr>
          <w:color w:val="000000"/>
          <w:rtl w:val="0"/>
        </w:rPr>
        <w:t xml:space="preserve">обеспечение защищенности ИСПДн в процессе обработки и хранения ПДн, обеспечение конфиденциальности ПДн при их обработке, а также других необходимых характеристик защищенности информации (целостности, доступности);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29" w:hanging="360"/>
        <w:rPr/>
      </w:pPr>
      <w:r w:rsidDel="00000000" w:rsidR="00000000" w:rsidRPr="00000000">
        <w:rPr>
          <w:color w:val="000000"/>
          <w:rtl w:val="0"/>
        </w:rPr>
        <w:t xml:space="preserve">соответствие требованиям обеспечения ИБ при обработке ПДн в ИСПДн, регламентируемых РД ФСТЭК России и ФСБ России.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Характеристика объекта защиты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Объекты защиты больниц в рамках информационных систем персональных данных (ИСПДн) включают в себя следующие элементы: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база данных клиентов: это база данных, содержащая личные данные клиентов, такие как имя, адрес, паспортные данные, медицинская информация клиента,...;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больничная система: это информационная система, используемая для обработки и хранения данных, связанных с планами лечения каждого клиента, информацией об источниках лекарств и медицинского оборудования, а также информацией о фонде планирования больницы и т. д.;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серверы функционируют под управлением Microsoft Windows Server 2019;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сетевое оборудование: построено на основе коммуникационного оборудования: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коммутатор Eltex MES2124MB (1 шт.);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комутатор Siemens OSM (1 шт.);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коммутатор Siemens Scalance X202 21RT (4 шт.).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сети связи расположены в пределах контролируемой зоны;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обработка ПДн в ИСПДн осуществляется с использованием средств автоматизации;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программное обеспечение: ПО больниц, ОС WeUp ERP For Healthcare (Программное обеспечение для поддержки ведения пациентов), ОС MS Windows 10 64-Bit, ОС 3.1С Бухгалтерия;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физическая инфраструктура: (40 автоматизированных рабочих мест (АРМ), 5 серверов и 15 мобильных АРМ).</w:t>
      </w:r>
    </w:p>
    <w:p w:rsidR="00000000" w:rsidDel="00000000" w:rsidP="00000000" w:rsidRDefault="00000000" w:rsidRPr="00000000" w14:paraId="000002B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Расположение обьекта информатизации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ИСПДн располагается в офисе </w:t>
      </w:r>
      <w:r w:rsidDel="00000000" w:rsidR="00000000" w:rsidRPr="00000000">
        <w:rPr>
          <w:b w:val="1"/>
          <w:rtl w:val="0"/>
        </w:rPr>
        <w:t xml:space="preserve">ООО «MedCare»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Офис </w:t>
      </w:r>
      <w:r w:rsidDel="00000000" w:rsidR="00000000" w:rsidRPr="00000000">
        <w:rPr>
          <w:b w:val="1"/>
          <w:rtl w:val="0"/>
        </w:rPr>
        <w:t xml:space="preserve">ООО «MedCare» </w:t>
      </w:r>
      <w:r w:rsidDel="00000000" w:rsidR="00000000" w:rsidRPr="00000000">
        <w:rPr>
          <w:rtl w:val="0"/>
        </w:rPr>
        <w:t xml:space="preserve"> располагается в здании по адресу: г. Санкт – Петербург, пер. Вяземский, д. 5-7.</w:t>
      </w:r>
    </w:p>
    <w:p w:rsidR="00000000" w:rsidDel="00000000" w:rsidP="00000000" w:rsidRDefault="00000000" w:rsidRPr="00000000" w14:paraId="000002B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Техническое решение по созданию СЗПДн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Архитектура СЗПДн должна обеспечивать реализацию функций безопасности на всех технологических этапах эксплуатации ИСПДн, в том числе при проведении технического обслуживания и ремонта.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B СЗПДн должны использоваться только средства защиты информации, сертифицированные в установленном порядке на соответствие функциональным требованиям информационной безопасности в системе сертификации ФСТЭК России и ФСБ России.</w:t>
      </w:r>
    </w:p>
    <w:p w:rsidR="00000000" w:rsidDel="00000000" w:rsidP="00000000" w:rsidRDefault="00000000" w:rsidRPr="00000000" w14:paraId="000002B9">
      <w:pPr>
        <w:pStyle w:val="Heading3"/>
        <w:numPr>
          <w:ilvl w:val="2"/>
          <w:numId w:val="1"/>
        </w:numPr>
        <w:ind w:left="709" w:firstLine="0"/>
        <w:rPr/>
      </w:pPr>
      <w:bookmarkStart w:colFirst="0" w:colLast="0" w:name="_heading=h.3xyx0mj71yta" w:id="9"/>
      <w:bookmarkEnd w:id="9"/>
      <w:r w:rsidDel="00000000" w:rsidR="00000000" w:rsidRPr="00000000">
        <w:rPr>
          <w:rtl w:val="0"/>
        </w:rPr>
        <w:t xml:space="preserve">Этап создания СЗПДн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Работы включают в себя следующие этапы: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этап 1: Предпроектное обследование;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этап 2: Разработка и согласование Технического Задания на создание СЗПДн;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этап 3: Разработка организационно-распорядительной документации;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этап 4: Тех-рабочее проектирование.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Каждый этап выполняется Исполнителем в соответствии с договором, заключенным с Заказчиком.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Перед выполнением каждого этапа Исполнитель заключает с Заказчиком отдельный договор.</w:t>
      </w:r>
    </w:p>
    <w:p w:rsidR="00000000" w:rsidDel="00000000" w:rsidP="00000000" w:rsidRDefault="00000000" w:rsidRPr="00000000" w14:paraId="000002C1">
      <w:pPr>
        <w:pStyle w:val="Heading3"/>
        <w:numPr>
          <w:ilvl w:val="2"/>
          <w:numId w:val="1"/>
        </w:numPr>
        <w:ind w:left="709" w:firstLine="0"/>
        <w:rPr/>
      </w:pPr>
      <w:bookmarkStart w:colFirst="0" w:colLast="0" w:name="_heading=h.bluuq6l54z2l" w:id="10"/>
      <w:bookmarkEnd w:id="10"/>
      <w:r w:rsidDel="00000000" w:rsidR="00000000" w:rsidRPr="00000000">
        <w:rPr>
          <w:rtl w:val="0"/>
        </w:rPr>
        <w:t xml:space="preserve">Требования к трежимам функционирования системы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При проектировании СЗПДн, установке СЗПДн и выполнении пусконаладочных работ СЗИ должны быть реализованы следующие режимы функционирования: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режим установки и конфигурирования;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режим отладки;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рабочий режим. 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Режим конфигурирования используется для начальной настройки системы защиты информации (СЗИ) и выполняется на этапе пусконаладочных работ. В этом режиме осуществляется настройка СЗИ путем создания, редактирования и применения политик, шаблонов и настроек, необходимых для определенных типов доступа.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Режим установки и конфигурирования предполагает установку и начальную настройку программного обеспечения. Режим отладки предназначен для отладки системы защиты информации (СЗИ) и выполняется после завершения режима конфигурирования. В этом режиме ведется журнал работы компонентов СЗИ, а также происходит настройка методов и реакции компонентов на воздействия.</w:t>
      </w:r>
    </w:p>
    <w:p w:rsidR="00000000" w:rsidDel="00000000" w:rsidP="00000000" w:rsidRDefault="00000000" w:rsidRPr="00000000" w14:paraId="000002C8">
      <w:pPr>
        <w:pStyle w:val="Heading3"/>
        <w:numPr>
          <w:ilvl w:val="2"/>
          <w:numId w:val="1"/>
        </w:numPr>
        <w:ind w:left="709" w:firstLine="0"/>
        <w:rPr/>
      </w:pPr>
      <w:bookmarkStart w:colFirst="0" w:colLast="0" w:name="_heading=h.exbehb609mie" w:id="11"/>
      <w:bookmarkEnd w:id="11"/>
      <w:r w:rsidDel="00000000" w:rsidR="00000000" w:rsidRPr="00000000">
        <w:rPr>
          <w:rtl w:val="0"/>
        </w:rPr>
        <w:t xml:space="preserve">Требования к надежности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Аппаратно-программные компоненты СЗПДн должны быть надежными, доступными и способными обеспечивать непрерывное функционирование СЗПДн и позволять осуществлять процедур резервирования и восстановления для обеспечения непрерывности работы системы в случае возникновения сбоев.</w:t>
      </w:r>
    </w:p>
    <w:p w:rsidR="00000000" w:rsidDel="00000000" w:rsidP="00000000" w:rsidRDefault="00000000" w:rsidRPr="00000000" w14:paraId="000002CA">
      <w:pPr>
        <w:pStyle w:val="Heading3"/>
        <w:numPr>
          <w:ilvl w:val="2"/>
          <w:numId w:val="1"/>
        </w:numPr>
        <w:ind w:left="709" w:firstLine="0"/>
        <w:rPr/>
      </w:pPr>
      <w:bookmarkStart w:colFirst="0" w:colLast="0" w:name="_heading=h.qrbk5871x854" w:id="12"/>
      <w:bookmarkEnd w:id="12"/>
      <w:r w:rsidDel="00000000" w:rsidR="00000000" w:rsidRPr="00000000">
        <w:rPr>
          <w:rtl w:val="0"/>
        </w:rPr>
        <w:t xml:space="preserve">Требования безопасности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СЗПДн должна обеспечивать конфиденциальность данных, контроль доступа, защиту от угроз и атак, шифрование, физическую безопасность, соблюдение стандартов, обучение персонала, аудиты и реакцию на инциденты.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Комплекс технических решений по созданию СЗПДн, выбранный по результатам этапа, должен представлять собой набор программно-аппаратных средств защиты информации, позволяющий выполнить следующие требования к СЗПДн: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составе СЗПДн должны использоваться средства защиты информации, прошедшие в установленном порядке процедуру оценки соответствия (сертификацию) требованиям законодательства Российской Федерации в области обеспечения безопасности информации, обеспечивающие установленный в ИСПДн уровень защищенности персональных данных и обеспечивающие выполнение, в том числе, следующих функций: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50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защиту от несанкционированного доступа к ресурсам ИСПДн, включая идентификацию, аутентификацию, управление доступом;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50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обеспечение антивирусной защиты;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50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обеспечение межсетевого экранирования и защиты от сетевых атак;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50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обнаружение вторжений;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50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криптографическую защиту информации, в том числе информации передаваемой между площадками ИСПДн и информации передаваемой между ИСПД и пользователями ИСПДн по протоколу HTTPS;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50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анализ защищенности и выявление уязвимостей ИСПДн и СЗПДн.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–</w:t>
        <w:tab/>
        <w:t xml:space="preserve">СЗПДн должна обеспечивать масштабируемость, т. е. при развитии информационной инфраструктуры ИСПДн и при развитии СЗПДн должна также допускаться возможность развития СЗПДн с сохранением требуемого уровня обеспечения безопасности информации.</w:t>
      </w:r>
    </w:p>
    <w:p w:rsidR="00000000" w:rsidDel="00000000" w:rsidP="00000000" w:rsidRDefault="00000000" w:rsidRPr="00000000" w14:paraId="000002D5">
      <w:pPr>
        <w:pStyle w:val="Heading3"/>
        <w:numPr>
          <w:ilvl w:val="2"/>
          <w:numId w:val="1"/>
        </w:numPr>
        <w:ind w:left="709" w:firstLine="0"/>
        <w:rPr/>
      </w:pPr>
      <w:bookmarkStart w:colFirst="0" w:colLast="0" w:name="_heading=h.ebatvr990nn5" w:id="13"/>
      <w:bookmarkEnd w:id="13"/>
      <w:r w:rsidDel="00000000" w:rsidR="00000000" w:rsidRPr="00000000">
        <w:rPr>
          <w:rtl w:val="0"/>
        </w:rPr>
        <w:t xml:space="preserve">Требования к квалификации исполнителя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Исполнитель должен иметь в штате больницы не менее 3 (трех) специалистов, имеющих базовое образование и специализацию в области защиты информации.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Исполнитель должен иметь опыт работы с информационными системами персональных данных в  сфере здравоохранения не менее 3 лет.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Исполнитель должен иметь Аттестаты аккредитации: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органа по аттестации ФСТЭК России;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испытательной лаборатории ФСТЭК России.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Исполнитель должен обладать практическим опытом работы по следующим направлениям: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понимание специфических для больницы процессов и требований, таких как управление информацией о пациентах, планы лечения и т. д.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внедрение и сопровождение средств защиты информации в ИСПДн;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разработка, внедрение и сопровождение программных средств защиты информации;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проведение сертификационных испытаний программных и программно-технических средств защиты информации;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оказание услуг по внедрению (применению) криптографических средств защиты информации, электронной цифровой подписи;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оказание услуг удостоверяющего центра.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При выполнении работ Исполнитель должен руководствоваться следующей нормативной базой: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федеральный Закон от 27.07.2006 г. № 152-ФЗ «О персональных данных»;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постановление правительства РФ от 1.11.2012 г. № 1119 «Об утверждении требований к защите персональных данных при их обработке в информационных системах персональных данных»;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приказ ФСТЭК России от 18.02.2013 № 21 «Об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данных»;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приказ ФСБ России от 10.07.2014 № 378 «Об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 с использованием средств криптографической защиты информации, необходимых для выполнения установленных Правительством Российской Федерации требований к защите персональных данных для каждого из уровней защищенности»;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постановление Правительства Российской Федерации от 15.09.2008 г. №687 «Об утверждении Положения об особенностях обработки персональных данных, осуществляемой без использования средств автоматизации»;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ГОСТ РО 0043-003-2012 «Защита информации. Аттестация объектов информатизации. Общие положения».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</w:t>
      </w:r>
    </w:p>
    <w:sectPr>
      <w:footerReference r:id="rId13" w:type="default"/>
      <w:footerReference r:id="rId14" w:type="first"/>
      <w:type w:val="nextPage"/>
      <w:pgSz w:h="11906" w:w="16838" w:orient="landscape"/>
      <w:pgMar w:bottom="1134" w:top="1701" w:left="1134" w:right="1134" w:header="720" w:footer="72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Times New Roman"/>
  <w:font w:name="Courier New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E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spacing w:line="240" w:lineRule="auto"/>
      <w:ind w:firstLine="0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EF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spacing w:line="240" w:lineRule="auto"/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F1">
    <w:pPr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spacing w:line="240" w:lineRule="auto"/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F3">
    <w:pPr>
      <w:jc w:val="center"/>
      <w:rPr/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F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center"/>
      <w:rPr/>
    </w:pPr>
    <w:r w:rsidDel="00000000" w:rsidR="00000000" w:rsidRPr="00000000">
      <w:rPr>
        <w:rtl w:val="0"/>
      </w:rPr>
      <w:t xml:space="preserve">23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E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EB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E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E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709" w:firstLine="0"/>
      </w:pPr>
      <w:rPr/>
    </w:lvl>
    <w:lvl w:ilvl="1">
      <w:start w:val="1"/>
      <w:numFmt w:val="decimal"/>
      <w:lvlText w:val="%1.%2"/>
      <w:lvlJc w:val="left"/>
      <w:pPr>
        <w:ind w:left="709" w:firstLine="0"/>
      </w:pPr>
      <w:rPr/>
    </w:lvl>
    <w:lvl w:ilvl="2">
      <w:start w:val="1"/>
      <w:numFmt w:val="decimal"/>
      <w:lvlText w:val="%1.%2.%3"/>
      <w:lvlJc w:val="left"/>
      <w:pPr>
        <w:ind w:left="709" w:firstLine="0"/>
      </w:pPr>
      <w:rPr/>
    </w:lvl>
    <w:lvl w:ilvl="3">
      <w:start w:val="1"/>
      <w:numFmt w:val="decimal"/>
      <w:lvlText w:val="%1.%2.%3.%4"/>
      <w:lvlJc w:val="left"/>
      <w:pPr>
        <w:ind w:left="709" w:firstLine="0"/>
      </w:pPr>
      <w:rPr/>
    </w:lvl>
    <w:lvl w:ilvl="4">
      <w:start w:val="1"/>
      <w:numFmt w:val="decimal"/>
      <w:lvlText w:val="%1.%2.%3.%4.%5."/>
      <w:lvlJc w:val="left"/>
      <w:pPr>
        <w:ind w:left="709" w:firstLine="0"/>
      </w:pPr>
      <w:rPr/>
    </w:lvl>
    <w:lvl w:ilvl="5">
      <w:start w:val="1"/>
      <w:numFmt w:val="decimal"/>
      <w:lvlText w:val="%1.%2.%3.%4.%5.%6."/>
      <w:lvlJc w:val="left"/>
      <w:pPr>
        <w:ind w:left="709" w:firstLine="0"/>
      </w:pPr>
      <w:rPr/>
    </w:lvl>
    <w:lvl w:ilvl="6">
      <w:start w:val="1"/>
      <w:numFmt w:val="decimal"/>
      <w:lvlText w:val="%1.%2.%3.%4.%5.%6.%7."/>
      <w:lvlJc w:val="left"/>
      <w:pPr>
        <w:ind w:left="709" w:firstLine="0"/>
      </w:pPr>
      <w:rPr/>
    </w:lvl>
    <w:lvl w:ilvl="7">
      <w:start w:val="1"/>
      <w:numFmt w:val="decimal"/>
      <w:lvlText w:val="%1.%2.%3.%4.%5.%6.%7.%8."/>
      <w:lvlJc w:val="left"/>
      <w:pPr>
        <w:ind w:left="709" w:firstLine="0"/>
      </w:pPr>
      <w:rPr/>
    </w:lvl>
    <w:lvl w:ilvl="8">
      <w:start w:val="1"/>
      <w:numFmt w:val="decimal"/>
      <w:lvlText w:val="%1.%2.%3.%4.%5.%6.%7.%8.%9."/>
      <w:lvlJc w:val="left"/>
      <w:pPr>
        <w:ind w:left="709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426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146" w:hanging="360"/>
      </w:pPr>
      <w:rPr/>
    </w:lvl>
    <w:lvl w:ilvl="2">
      <w:start w:val="1"/>
      <w:numFmt w:val="lowerRoman"/>
      <w:lvlText w:val="%3."/>
      <w:lvlJc w:val="right"/>
      <w:pPr>
        <w:ind w:left="1866" w:hanging="180"/>
      </w:pPr>
      <w:rPr/>
    </w:lvl>
    <w:lvl w:ilvl="3">
      <w:start w:val="1"/>
      <w:numFmt w:val="decimal"/>
      <w:lvlText w:val="%4."/>
      <w:lvlJc w:val="left"/>
      <w:pPr>
        <w:ind w:left="2586" w:hanging="360"/>
      </w:pPr>
      <w:rPr/>
    </w:lvl>
    <w:lvl w:ilvl="4">
      <w:start w:val="1"/>
      <w:numFmt w:val="lowerLetter"/>
      <w:lvlText w:val="%5."/>
      <w:lvlJc w:val="left"/>
      <w:pPr>
        <w:ind w:left="3306" w:hanging="360"/>
      </w:pPr>
      <w:rPr/>
    </w:lvl>
    <w:lvl w:ilvl="5">
      <w:start w:val="1"/>
      <w:numFmt w:val="lowerRoman"/>
      <w:lvlText w:val="%6."/>
      <w:lvlJc w:val="right"/>
      <w:pPr>
        <w:ind w:left="4026" w:hanging="180"/>
      </w:pPr>
      <w:rPr/>
    </w:lvl>
    <w:lvl w:ilvl="6">
      <w:start w:val="1"/>
      <w:numFmt w:val="decimal"/>
      <w:lvlText w:val="%7."/>
      <w:lvlJc w:val="left"/>
      <w:pPr>
        <w:ind w:left="4746" w:hanging="360"/>
      </w:pPr>
      <w:rPr/>
    </w:lvl>
    <w:lvl w:ilvl="7">
      <w:start w:val="1"/>
      <w:numFmt w:val="lowerLetter"/>
      <w:lvlText w:val="%8."/>
      <w:lvlJc w:val="left"/>
      <w:pPr>
        <w:ind w:left="5466" w:hanging="360"/>
      </w:pPr>
      <w:rPr/>
    </w:lvl>
    <w:lvl w:ilvl="8">
      <w:start w:val="1"/>
      <w:numFmt w:val="lowerRoman"/>
      <w:lvlText w:val="%9."/>
      <w:lvlJc w:val="right"/>
      <w:pPr>
        <w:ind w:left="6186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1069" w:hanging="360"/>
      </w:pPr>
      <w:rPr/>
    </w:lvl>
    <w:lvl w:ilvl="1">
      <w:start w:val="1"/>
      <w:numFmt w:val="lowerLetter"/>
      <w:lvlText w:val="%2."/>
      <w:lvlJc w:val="left"/>
      <w:pPr>
        <w:ind w:left="1789" w:hanging="360"/>
      </w:pPr>
      <w:rPr/>
    </w:lvl>
    <w:lvl w:ilvl="2">
      <w:start w:val="1"/>
      <w:numFmt w:val="lowerRoman"/>
      <w:lvlText w:val="%3."/>
      <w:lvlJc w:val="right"/>
      <w:pPr>
        <w:ind w:left="2509" w:hanging="180"/>
      </w:pPr>
      <w:rPr/>
    </w:lvl>
    <w:lvl w:ilvl="3">
      <w:start w:val="1"/>
      <w:numFmt w:val="decimal"/>
      <w:lvlText w:val="%4."/>
      <w:lvlJc w:val="left"/>
      <w:pPr>
        <w:ind w:left="3229" w:hanging="360"/>
      </w:pPr>
      <w:rPr/>
    </w:lvl>
    <w:lvl w:ilvl="4">
      <w:start w:val="1"/>
      <w:numFmt w:val="lowerLetter"/>
      <w:lvlText w:val="%5."/>
      <w:lvlJc w:val="left"/>
      <w:pPr>
        <w:ind w:left="3949" w:hanging="360"/>
      </w:pPr>
      <w:rPr/>
    </w:lvl>
    <w:lvl w:ilvl="5">
      <w:start w:val="1"/>
      <w:numFmt w:val="lowerRoman"/>
      <w:lvlText w:val="%6."/>
      <w:lvlJc w:val="right"/>
      <w:pPr>
        <w:ind w:left="4669" w:hanging="180"/>
      </w:pPr>
      <w:rPr/>
    </w:lvl>
    <w:lvl w:ilvl="6">
      <w:start w:val="1"/>
      <w:numFmt w:val="decimal"/>
      <w:lvlText w:val="%7."/>
      <w:lvlJc w:val="left"/>
      <w:pPr>
        <w:ind w:left="5389" w:hanging="360"/>
      </w:pPr>
      <w:rPr/>
    </w:lvl>
    <w:lvl w:ilvl="7">
      <w:start w:val="1"/>
      <w:numFmt w:val="lowerLetter"/>
      <w:lvlText w:val="%8."/>
      <w:lvlJc w:val="left"/>
      <w:pPr>
        <w:ind w:left="6109" w:hanging="360"/>
      </w:pPr>
      <w:rPr/>
    </w:lvl>
    <w:lvl w:ilvl="8">
      <w:start w:val="1"/>
      <w:numFmt w:val="lowerRoman"/>
      <w:lvlText w:val="%9."/>
      <w:lvlJc w:val="right"/>
      <w:pPr>
        <w:ind w:left="6829" w:hanging="180"/>
      </w:pPr>
      <w:rPr/>
    </w:lvl>
  </w:abstractNum>
  <w:abstractNum w:abstractNumId="4">
    <w:lvl w:ilvl="0">
      <w:start w:val="1"/>
      <w:numFmt w:val="bullet"/>
      <w:lvlText w:val="o"/>
      <w:lvlJc w:val="left"/>
      <w:pPr>
        <w:ind w:left="1429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o"/>
      <w:lvlJc w:val="left"/>
      <w:pPr>
        <w:ind w:left="2509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322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94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66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38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610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82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54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8269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decimal"/>
      <w:lvlText w:val="Таблица %1 –"/>
      <w:lvlJc w:val="left"/>
      <w:pPr>
        <w:ind w:left="0" w:firstLine="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spacing w:line="360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09" w:right="567" w:firstLine="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09" w:right="567" w:firstLine="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a7" w:customStyle="1">
    <w:name w:val="ВЗИ"/>
    <w:basedOn w:val="Heading1"/>
    <w:next w:val="Normal"/>
    <w:link w:val="a8"/>
    <w:uiPriority w:val="9"/>
    <w:qFormat w:val="1"/>
    <w:rsid w:val="00923407"/>
    <w:pPr>
      <w:numPr>
        <w:numId w:val="0"/>
      </w:numPr>
      <w:ind w:left="567"/>
      <w:jc w:val="center"/>
    </w:pPr>
  </w:style>
  <w:style w:type="character" w:styleId="a8" w:customStyle="1">
    <w:name w:val="ВЗИ Знак"/>
    <w:basedOn w:val="Heading1Char"/>
    <w:link w:val="a7"/>
    <w:uiPriority w:val="9"/>
    <w:rsid w:val="00923407"/>
    <w:rPr>
      <w:rFonts w:ascii="Times New Roman" w:hAnsi="Times New Roman" w:cstheme="majorBidi" w:eastAsiaTheme="majorEastAsia"/>
      <w:b w:val="1"/>
      <w:bCs w:val="1"/>
      <w:caps w:val="1"/>
      <w:kern w:val="0"/>
      <w:sz w:val="24"/>
      <w:szCs w:val="28"/>
      <w:lang w:eastAsia="ru-RU" w:val="ru-RU"/>
    </w:rPr>
  </w:style>
  <w:style w:type="character" w:styleId="Heading1Char" w:customStyle="1">
    <w:name w:val="Heading 1 Char"/>
    <w:basedOn w:val="DefaultParagraphFont"/>
    <w:link w:val="Heading1"/>
    <w:uiPriority w:val="9"/>
    <w:rsid w:val="00923407"/>
    <w:rPr>
      <w:rFonts w:ascii="Times New Roman" w:hAnsi="Times New Roman" w:cstheme="majorBidi" w:eastAsiaTheme="majorEastAsia"/>
      <w:b w:val="1"/>
      <w:bCs w:val="1"/>
      <w:caps w:val="1"/>
      <w:kern w:val="0"/>
      <w:sz w:val="24"/>
      <w:szCs w:val="28"/>
      <w:lang w:eastAsia="ru-RU" w:val="ru-RU"/>
    </w:rPr>
  </w:style>
  <w:style w:type="paragraph" w:styleId="a9" w:customStyle="1">
    <w:name w:val="Рисунок"/>
    <w:next w:val="a6"/>
    <w:autoRedefine w:val="1"/>
    <w:uiPriority w:val="2"/>
    <w:qFormat w:val="1"/>
    <w:rsid w:val="00795AF2"/>
    <w:pPr>
      <w:keepNext w:val="1"/>
      <w:suppressAutoHyphens w:val="1"/>
      <w:spacing w:after="60" w:before="120"/>
      <w:ind w:right="-1"/>
      <w:jc w:val="center"/>
    </w:pPr>
    <w:rPr>
      <w:rFonts w:ascii="Times New Roman" w:hAnsi="Times New Roman"/>
      <w:noProof w:val="1"/>
      <w:color w:val="000000" w:themeColor="text1"/>
      <w:kern w:val="0"/>
      <w:sz w:val="24"/>
      <w:lang w:val="vi-VN"/>
    </w:rPr>
  </w:style>
  <w:style w:type="paragraph" w:styleId="a6" w:customStyle="1">
    <w:name w:val="Название рисунка"/>
    <w:basedOn w:val="Normal"/>
    <w:next w:val="Normal"/>
    <w:uiPriority w:val="3"/>
    <w:qFormat w:val="1"/>
    <w:rsid w:val="00923407"/>
    <w:pPr>
      <w:numPr>
        <w:numId w:val="3"/>
      </w:numPr>
      <w:spacing w:after="120"/>
      <w:jc w:val="center"/>
    </w:pPr>
    <w:rPr>
      <w:color w:val="000000" w:themeColor="text1"/>
      <w:szCs w:val="22"/>
      <w:lang w:eastAsia="en-US"/>
    </w:rPr>
  </w:style>
  <w:style w:type="paragraph" w:styleId="aa" w:customStyle="1">
    <w:name w:val="Код"/>
    <w:basedOn w:val="Normal"/>
    <w:uiPriority w:val="7"/>
    <w:qFormat w:val="1"/>
    <w:rsid w:val="00923407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paragraph" w:styleId="1" w:customStyle="1">
    <w:name w:val="#Заголовок 1"/>
    <w:basedOn w:val="Heading1"/>
    <w:link w:val="10"/>
    <w:uiPriority w:val="2"/>
    <w:semiHidden w:val="1"/>
    <w:rsid w:val="00923407"/>
    <w:pPr>
      <w:pageBreakBefore w:val="0"/>
      <w:numPr>
        <w:numId w:val="4"/>
      </w:numPr>
      <w:suppressAutoHyphens w:val="0"/>
    </w:pPr>
    <w:rPr>
      <w:rFonts w:cs="Times New Roman" w:eastAsia="Times New Roman"/>
      <w:b w:val="0"/>
      <w:bCs w:val="0"/>
      <w:caps w:val="0"/>
      <w:smallCaps w:val="1"/>
      <w:szCs w:val="24"/>
    </w:rPr>
  </w:style>
  <w:style w:type="character" w:styleId="10" w:customStyle="1">
    <w:name w:val="#Заголовок 1 Знак"/>
    <w:basedOn w:val="DefaultParagraphFont"/>
    <w:link w:val="1"/>
    <w:uiPriority w:val="2"/>
    <w:semiHidden w:val="1"/>
    <w:rsid w:val="00923407"/>
    <w:rPr>
      <w:rFonts w:ascii="Times New Roman" w:cs="Times New Roman" w:eastAsia="Times New Roman" w:hAnsi="Times New Roman"/>
      <w:smallCaps w:val="1"/>
      <w:kern w:val="0"/>
      <w:sz w:val="24"/>
      <w:szCs w:val="24"/>
      <w:lang w:eastAsia="ru-RU" w:val="ru-RU"/>
    </w:rPr>
  </w:style>
  <w:style w:type="paragraph" w:styleId="ab" w:customStyle="1">
    <w:name w:val="Содержание"/>
    <w:basedOn w:val="a7"/>
    <w:link w:val="ac"/>
    <w:uiPriority w:val="8"/>
    <w:qFormat w:val="1"/>
    <w:rsid w:val="00923407"/>
  </w:style>
  <w:style w:type="character" w:styleId="ac" w:customStyle="1">
    <w:name w:val="Содержание Знак"/>
    <w:basedOn w:val="a8"/>
    <w:link w:val="ab"/>
    <w:uiPriority w:val="8"/>
    <w:rsid w:val="00923407"/>
    <w:rPr>
      <w:rFonts w:ascii="Times New Roman" w:hAnsi="Times New Roman" w:cstheme="majorBidi" w:eastAsiaTheme="majorEastAsia"/>
      <w:b w:val="1"/>
      <w:bCs w:val="1"/>
      <w:caps w:val="1"/>
      <w:kern w:val="0"/>
      <w:sz w:val="24"/>
      <w:szCs w:val="28"/>
      <w:lang w:eastAsia="ru-RU" w:val="ru-RU"/>
    </w:rPr>
  </w:style>
  <w:style w:type="paragraph" w:styleId="a1" w:customStyle="1">
    <w:name w:val="Название таблицы"/>
    <w:next w:val="ad"/>
    <w:link w:val="ae"/>
    <w:uiPriority w:val="4"/>
    <w:qFormat w:val="1"/>
    <w:rsid w:val="00923407"/>
    <w:pPr>
      <w:numPr>
        <w:numId w:val="5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kern w:val="0"/>
      <w:sz w:val="24"/>
      <w:szCs w:val="24"/>
      <w:lang w:eastAsia="ru-RU" w:val="ru-RU"/>
    </w:rPr>
  </w:style>
  <w:style w:type="character" w:styleId="ae" w:customStyle="1">
    <w:name w:val="Название таблицы Знак"/>
    <w:basedOn w:val="DefaultParagraphFont"/>
    <w:link w:val="a1"/>
    <w:uiPriority w:val="4"/>
    <w:rsid w:val="00923407"/>
    <w:rPr>
      <w:rFonts w:ascii="Times New Roman" w:cs="Times New Roman" w:eastAsia="Times New Roman" w:hAnsi="Times New Roman"/>
      <w:color w:val="000000"/>
      <w:kern w:val="0"/>
      <w:sz w:val="24"/>
      <w:szCs w:val="24"/>
      <w:lang w:eastAsia="ru-RU" w:val="ru-RU"/>
    </w:rPr>
  </w:style>
  <w:style w:type="paragraph" w:styleId="Ma" w:customStyle="1">
    <w:name w:val="Maрк. список"/>
    <w:basedOn w:val="Normal"/>
    <w:link w:val="Ma0"/>
    <w:uiPriority w:val="1"/>
    <w:qFormat w:val="1"/>
    <w:rsid w:val="00923407"/>
    <w:pPr>
      <w:numPr>
        <w:numId w:val="6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000000"/>
    </w:rPr>
  </w:style>
  <w:style w:type="character" w:styleId="Ma0" w:customStyle="1">
    <w:name w:val="Maрк. список Знак"/>
    <w:basedOn w:val="DefaultParagraphFont"/>
    <w:link w:val="Ma"/>
    <w:uiPriority w:val="1"/>
    <w:rsid w:val="00923407"/>
    <w:rPr>
      <w:rFonts w:ascii="Times New Roman" w:cs="Times New Roman" w:eastAsia="Times New Roman" w:hAnsi="Times New Roman"/>
      <w:color w:val="000000"/>
      <w:kern w:val="0"/>
      <w:sz w:val="24"/>
      <w:szCs w:val="24"/>
      <w:lang w:eastAsia="ru-RU" w:val="ru-RU"/>
    </w:rPr>
  </w:style>
  <w:style w:type="paragraph" w:styleId="a" w:customStyle="1">
    <w:name w:val="Нум. список"/>
    <w:basedOn w:val="Normal"/>
    <w:link w:val="af"/>
    <w:uiPriority w:val="1"/>
    <w:qFormat w:val="1"/>
    <w:rsid w:val="00923407"/>
    <w:pPr>
      <w:numPr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000000"/>
      <w:lang w:val="en-US"/>
    </w:rPr>
  </w:style>
  <w:style w:type="character" w:styleId="af" w:customStyle="1">
    <w:name w:val="Нум. список Знак"/>
    <w:basedOn w:val="DefaultParagraphFont"/>
    <w:link w:val="a"/>
    <w:uiPriority w:val="1"/>
    <w:rsid w:val="00923407"/>
    <w:rPr>
      <w:rFonts w:ascii="Times New Roman" w:cs="Times New Roman" w:eastAsia="Times New Roman" w:hAnsi="Times New Roman"/>
      <w:color w:val="000000"/>
      <w:kern w:val="0"/>
      <w:sz w:val="24"/>
      <w:szCs w:val="24"/>
      <w:lang w:eastAsia="ru-RU"/>
    </w:rPr>
  </w:style>
  <w:style w:type="paragraph" w:styleId="ad" w:customStyle="1">
    <w:name w:val="Таблица"/>
    <w:basedOn w:val="Normal"/>
    <w:next w:val="Normal"/>
    <w:link w:val="af0"/>
    <w:uiPriority w:val="5"/>
    <w:qFormat w:val="1"/>
    <w:rsid w:val="00923407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firstLine="0"/>
      <w:jc w:val="left"/>
    </w:pPr>
    <w:rPr>
      <w:color w:val="000000"/>
    </w:rPr>
  </w:style>
  <w:style w:type="character" w:styleId="af0" w:customStyle="1">
    <w:name w:val="Таблица Знак"/>
    <w:basedOn w:val="DefaultParagraphFont"/>
    <w:link w:val="ad"/>
    <w:uiPriority w:val="5"/>
    <w:rsid w:val="00923407"/>
    <w:rPr>
      <w:rFonts w:ascii="Times New Roman" w:cs="Times New Roman" w:eastAsia="Times New Roman" w:hAnsi="Times New Roman"/>
      <w:color w:val="000000"/>
      <w:kern w:val="0"/>
      <w:sz w:val="24"/>
      <w:szCs w:val="24"/>
      <w:lang w:eastAsia="ru-RU" w:val="ru-RU"/>
    </w:rPr>
  </w:style>
  <w:style w:type="paragraph" w:styleId="a0" w:customStyle="1">
    <w:name w:val="Название листинга"/>
    <w:next w:val="aa"/>
    <w:link w:val="af1"/>
    <w:uiPriority w:val="6"/>
    <w:qFormat w:val="1"/>
    <w:rsid w:val="00923407"/>
    <w:pPr>
      <w:numPr>
        <w:numId w:val="7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kern w:val="0"/>
      <w:sz w:val="24"/>
      <w:szCs w:val="24"/>
      <w:lang w:eastAsia="ru-RU" w:val="ru-RU"/>
    </w:rPr>
  </w:style>
  <w:style w:type="character" w:styleId="af1" w:customStyle="1">
    <w:name w:val="Название листинга Знак"/>
    <w:basedOn w:val="DefaultParagraphFont"/>
    <w:link w:val="a0"/>
    <w:uiPriority w:val="6"/>
    <w:rsid w:val="00923407"/>
    <w:rPr>
      <w:rFonts w:ascii="Times New Roman" w:cs="Times New Roman" w:eastAsia="Times New Roman" w:hAnsi="Times New Roman"/>
      <w:color w:val="000000"/>
      <w:kern w:val="0"/>
      <w:sz w:val="24"/>
      <w:szCs w:val="24"/>
      <w:lang w:eastAsia="ru-RU" w:val="ru-RU"/>
    </w:rPr>
  </w:style>
  <w:style w:type="paragraph" w:styleId="a2" w:customStyle="1">
    <w:name w:val="Приложение"/>
    <w:basedOn w:val="a7"/>
    <w:next w:val="Normal"/>
    <w:link w:val="af2"/>
    <w:uiPriority w:val="10"/>
    <w:qFormat w:val="1"/>
    <w:rsid w:val="0090352B"/>
    <w:pPr>
      <w:numPr>
        <w:numId w:val="9"/>
      </w:numPr>
    </w:pPr>
    <w:rPr>
      <w:caps w:val="0"/>
    </w:rPr>
  </w:style>
  <w:style w:type="character" w:styleId="af2" w:customStyle="1">
    <w:name w:val="Приложение Знак"/>
    <w:basedOn w:val="DefaultParagraphFont"/>
    <w:link w:val="a2"/>
    <w:uiPriority w:val="10"/>
    <w:rsid w:val="00923407"/>
    <w:rPr>
      <w:rFonts w:ascii="Times New Roman" w:hAnsi="Times New Roman" w:cstheme="majorBidi" w:eastAsiaTheme="majorEastAsia"/>
      <w:b w:val="1"/>
      <w:bCs w:val="1"/>
      <w:kern w:val="0"/>
      <w:sz w:val="24"/>
      <w:szCs w:val="28"/>
      <w:lang w:eastAsia="ru-RU" w:val="ru-RU"/>
    </w:rPr>
  </w:style>
  <w:style w:type="paragraph" w:styleId="a5" w:customStyle="1">
    <w:name w:val="П. Название рисунка"/>
    <w:basedOn w:val="a6"/>
    <w:next w:val="Normal"/>
    <w:link w:val="af3"/>
    <w:uiPriority w:val="11"/>
    <w:qFormat w:val="1"/>
    <w:rsid w:val="0090352B"/>
    <w:pPr>
      <w:numPr>
        <w:ilvl w:val="3"/>
        <w:numId w:val="8"/>
      </w:numPr>
      <w:outlineLvl w:val="1"/>
    </w:pPr>
  </w:style>
  <w:style w:type="character" w:styleId="af3" w:customStyle="1">
    <w:name w:val="П. Название рисунка Знак"/>
    <w:basedOn w:val="DefaultParagraphFont"/>
    <w:link w:val="a5"/>
    <w:uiPriority w:val="11"/>
    <w:rsid w:val="0090352B"/>
    <w:rPr>
      <w:rFonts w:ascii="Times New Roman" w:cs="Times New Roman" w:eastAsia="Times New Roman" w:hAnsi="Times New Roman"/>
      <w:color w:val="000000" w:themeColor="text1"/>
      <w:kern w:val="0"/>
      <w:sz w:val="24"/>
      <w:lang w:val="ru-RU"/>
    </w:rPr>
  </w:style>
  <w:style w:type="paragraph" w:styleId="a3" w:customStyle="1">
    <w:name w:val="П. Название Таблицы"/>
    <w:basedOn w:val="a1"/>
    <w:next w:val="ad"/>
    <w:link w:val="af4"/>
    <w:uiPriority w:val="11"/>
    <w:qFormat w:val="1"/>
    <w:rsid w:val="0090352B"/>
    <w:pPr>
      <w:numPr>
        <w:ilvl w:val="1"/>
        <w:numId w:val="9"/>
      </w:numPr>
    </w:pPr>
  </w:style>
  <w:style w:type="character" w:styleId="af4" w:customStyle="1">
    <w:name w:val="П. Название Таблицы Знак"/>
    <w:basedOn w:val="ae"/>
    <w:link w:val="a3"/>
    <w:uiPriority w:val="11"/>
    <w:rsid w:val="00923407"/>
    <w:rPr>
      <w:rFonts w:ascii="Times New Roman" w:cs="Times New Roman" w:eastAsia="Times New Roman" w:hAnsi="Times New Roman"/>
      <w:color w:val="000000"/>
      <w:kern w:val="0"/>
      <w:sz w:val="24"/>
      <w:szCs w:val="24"/>
      <w:lang w:eastAsia="ru-RU" w:val="ru-RU"/>
    </w:rPr>
  </w:style>
  <w:style w:type="paragraph" w:styleId="a4" w:customStyle="1">
    <w:name w:val="П. Название листинга"/>
    <w:basedOn w:val="a0"/>
    <w:next w:val="aa"/>
    <w:link w:val="af5"/>
    <w:uiPriority w:val="11"/>
    <w:qFormat w:val="1"/>
    <w:rsid w:val="0090352B"/>
    <w:pPr>
      <w:numPr>
        <w:ilvl w:val="2"/>
        <w:numId w:val="9"/>
      </w:numPr>
    </w:pPr>
  </w:style>
  <w:style w:type="character" w:styleId="af5" w:customStyle="1">
    <w:name w:val="П. Название листинга Знак"/>
    <w:basedOn w:val="af4"/>
    <w:link w:val="a4"/>
    <w:uiPriority w:val="11"/>
    <w:rsid w:val="00923407"/>
    <w:rPr>
      <w:rFonts w:ascii="Times New Roman" w:cs="Times New Roman" w:eastAsia="Times New Roman" w:hAnsi="Times New Roman"/>
      <w:color w:val="000000"/>
      <w:kern w:val="0"/>
      <w:sz w:val="24"/>
      <w:szCs w:val="24"/>
      <w:lang w:eastAsia="ru-RU" w:val="ru-RU"/>
    </w:rPr>
  </w:style>
  <w:style w:type="character" w:styleId="Char" w:customStyle="1">
    <w:name w:val="Название таблицы Char"/>
    <w:basedOn w:val="DefaultParagraphFont"/>
    <w:uiPriority w:val="4"/>
    <w:rsid w:val="00923407"/>
    <w:rPr>
      <w:rFonts w:cs="Times New Roman" w:eastAsia="Times New Roman"/>
      <w:color w:val="000000"/>
      <w:kern w:val="0"/>
      <w:sz w:val="24"/>
      <w:szCs w:val="24"/>
      <w:lang w:eastAsia="ru-RU" w:val="ru-RU"/>
    </w:rPr>
  </w:style>
  <w:style w:type="character" w:styleId="Heading2Char" w:customStyle="1">
    <w:name w:val="Heading 2 Char"/>
    <w:basedOn w:val="DefaultParagraphFont"/>
    <w:link w:val="Heading2"/>
    <w:uiPriority w:val="9"/>
    <w:rsid w:val="00923407"/>
    <w:rPr>
      <w:rFonts w:ascii="Times New Roman" w:hAnsi="Times New Roman" w:cstheme="majorBidi" w:eastAsiaTheme="majorEastAsia"/>
      <w:b w:val="1"/>
      <w:kern w:val="0"/>
      <w:sz w:val="24"/>
      <w:szCs w:val="26"/>
      <w:lang w:eastAsia="ru-RU" w:val="ru-RU"/>
    </w:rPr>
  </w:style>
  <w:style w:type="character" w:styleId="Heading3Char" w:customStyle="1">
    <w:name w:val="Heading 3 Char"/>
    <w:basedOn w:val="DefaultParagraphFont"/>
    <w:link w:val="Heading3"/>
    <w:uiPriority w:val="9"/>
    <w:rsid w:val="00923407"/>
    <w:rPr>
      <w:rFonts w:ascii="Times New Roman" w:hAnsi="Times New Roman" w:cstheme="majorBidi" w:eastAsiaTheme="majorEastAsia"/>
      <w:b w:val="1"/>
      <w:bCs w:val="1"/>
      <w:color w:val="000000" w:themeColor="text1"/>
      <w:kern w:val="0"/>
      <w:sz w:val="24"/>
      <w:szCs w:val="24"/>
      <w:lang w:eastAsia="ru-RU" w:val="ru-RU"/>
    </w:rPr>
  </w:style>
  <w:style w:type="character" w:styleId="Heading4Char" w:customStyle="1">
    <w:name w:val="Heading 4 Char"/>
    <w:basedOn w:val="DefaultParagraphFont"/>
    <w:link w:val="Heading4"/>
    <w:uiPriority w:val="9"/>
    <w:rsid w:val="00923407"/>
    <w:rPr>
      <w:rFonts w:ascii="Times New Roman" w:hAnsi="Times New Roman" w:cstheme="majorBidi" w:eastAsiaTheme="majorEastAsia"/>
      <w:b w:val="1"/>
      <w:bCs w:val="1"/>
      <w:color w:val="000000" w:themeColor="text1"/>
      <w:kern w:val="0"/>
      <w:sz w:val="24"/>
      <w:szCs w:val="24"/>
      <w:lang w:eastAsia="ru-RU" w:val="ru-RU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923407"/>
    <w:pPr>
      <w:tabs>
        <w:tab w:val="right" w:leader="dot" w:pos="9345"/>
      </w:tabs>
      <w:ind w:firstLine="0"/>
    </w:pPr>
  </w:style>
  <w:style w:type="paragraph" w:styleId="TOC2">
    <w:name w:val="toc 2"/>
    <w:basedOn w:val="Normal"/>
    <w:next w:val="Normal"/>
    <w:autoRedefine w:val="1"/>
    <w:uiPriority w:val="39"/>
    <w:unhideWhenUsed w:val="1"/>
    <w:rsid w:val="00923407"/>
    <w:pPr>
      <w:ind w:left="261" w:firstLine="0"/>
    </w:pPr>
  </w:style>
  <w:style w:type="paragraph" w:styleId="TOC3">
    <w:name w:val="toc 3"/>
    <w:basedOn w:val="Normal"/>
    <w:next w:val="Normal"/>
    <w:autoRedefine w:val="1"/>
    <w:uiPriority w:val="39"/>
    <w:unhideWhenUsed w:val="1"/>
    <w:rsid w:val="00923407"/>
    <w:pPr>
      <w:tabs>
        <w:tab w:val="right" w:leader="dot" w:pos="9345"/>
      </w:tabs>
      <w:ind w:left="709" w:firstLine="0"/>
    </w:pPr>
  </w:style>
  <w:style w:type="paragraph" w:styleId="TOC4">
    <w:name w:val="toc 4"/>
    <w:basedOn w:val="Normal"/>
    <w:next w:val="Normal"/>
    <w:autoRedefine w:val="1"/>
    <w:uiPriority w:val="39"/>
    <w:semiHidden w:val="1"/>
    <w:unhideWhenUsed w:val="1"/>
    <w:rsid w:val="00923407"/>
    <w:pPr>
      <w:ind w:left="720" w:firstLine="0"/>
    </w:pPr>
  </w:style>
  <w:style w:type="paragraph" w:styleId="TOC5">
    <w:name w:val="toc 5"/>
    <w:basedOn w:val="Normal"/>
    <w:next w:val="Normal"/>
    <w:autoRedefine w:val="1"/>
    <w:uiPriority w:val="39"/>
    <w:semiHidden w:val="1"/>
    <w:unhideWhenUsed w:val="1"/>
    <w:rsid w:val="00923407"/>
    <w:pPr>
      <w:ind w:left="958" w:firstLine="0"/>
    </w:p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923407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923407"/>
    <w:rPr>
      <w:rFonts w:ascii="Times New Roman" w:cs="Times New Roman" w:eastAsia="Times New Roman" w:hAnsi="Times New Roman"/>
      <w:kern w:val="0"/>
      <w:sz w:val="20"/>
      <w:szCs w:val="20"/>
      <w:lang w:eastAsia="ru-RU" w:val="ru-RU"/>
    </w:rPr>
  </w:style>
  <w:style w:type="paragraph" w:styleId="Header">
    <w:name w:val="header"/>
    <w:basedOn w:val="Normal"/>
    <w:link w:val="HeaderChar"/>
    <w:uiPriority w:val="99"/>
    <w:unhideWhenUsed w:val="1"/>
    <w:rsid w:val="00923407"/>
    <w:pPr>
      <w:tabs>
        <w:tab w:val="center" w:pos="4677"/>
        <w:tab w:val="right" w:pos="9355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23407"/>
    <w:rPr>
      <w:rFonts w:ascii="Times New Roman" w:cs="Times New Roman" w:eastAsia="Times New Roman" w:hAnsi="Times New Roman"/>
      <w:kern w:val="0"/>
      <w:sz w:val="24"/>
      <w:szCs w:val="24"/>
      <w:lang w:eastAsia="ru-RU" w:val="ru-RU"/>
    </w:rPr>
  </w:style>
  <w:style w:type="paragraph" w:styleId="Footer">
    <w:name w:val="footer"/>
    <w:basedOn w:val="Normal"/>
    <w:link w:val="FooterChar"/>
    <w:uiPriority w:val="99"/>
    <w:unhideWhenUsed w:val="1"/>
    <w:rsid w:val="00923407"/>
    <w:pPr>
      <w:tabs>
        <w:tab w:val="center" w:pos="4677"/>
        <w:tab w:val="right" w:pos="9355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23407"/>
    <w:rPr>
      <w:rFonts w:ascii="Times New Roman" w:cs="Times New Roman" w:eastAsia="Times New Roman" w:hAnsi="Times New Roman"/>
      <w:kern w:val="0"/>
      <w:sz w:val="24"/>
      <w:szCs w:val="24"/>
      <w:lang w:eastAsia="ru-RU" w:val="ru-RU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923407"/>
    <w:rPr>
      <w:sz w:val="16"/>
      <w:szCs w:val="16"/>
    </w:rPr>
  </w:style>
  <w:style w:type="character" w:styleId="TitleChar" w:customStyle="1">
    <w:name w:val="Title Char"/>
    <w:basedOn w:val="DefaultParagraphFont"/>
    <w:link w:val="Title"/>
    <w:uiPriority w:val="10"/>
    <w:rsid w:val="00923407"/>
    <w:rPr>
      <w:rFonts w:ascii="Times New Roman" w:hAnsi="Times New Roman" w:cstheme="majorBidi" w:eastAsiaTheme="majorEastAsia"/>
      <w:color w:val="000000" w:themeColor="text1"/>
      <w:kern w:val="28"/>
      <w:sz w:val="24"/>
      <w:szCs w:val="56"/>
    </w:rPr>
  </w:style>
  <w:style w:type="paragraph" w:styleId="BodyText">
    <w:name w:val="Body Text"/>
    <w:basedOn w:val="Normal"/>
    <w:link w:val="BodyTextChar"/>
    <w:uiPriority w:val="1"/>
    <w:semiHidden w:val="1"/>
    <w:qFormat w:val="1"/>
    <w:rsid w:val="00923407"/>
    <w:pPr>
      <w:widowControl w:val="0"/>
    </w:pPr>
    <w:rPr>
      <w:color w:val="000000" w:themeColor="text1"/>
      <w:szCs w:val="28"/>
      <w:lang w:eastAsia="en-US" w:val="en-US"/>
    </w:rPr>
  </w:style>
  <w:style w:type="character" w:styleId="BodyTextChar" w:customStyle="1">
    <w:name w:val="Body Text Char"/>
    <w:basedOn w:val="DefaultParagraphFont"/>
    <w:link w:val="BodyText"/>
    <w:uiPriority w:val="1"/>
    <w:semiHidden w:val="1"/>
    <w:rsid w:val="00923407"/>
    <w:rPr>
      <w:rFonts w:ascii="Times New Roman" w:hAnsi="Times New Roman"/>
      <w:color w:val="000000" w:themeColor="text1"/>
      <w:kern w:val="0"/>
      <w:sz w:val="24"/>
      <w:szCs w:val="28"/>
    </w:rPr>
  </w:style>
  <w:style w:type="character" w:styleId="Hyperlink">
    <w:name w:val="Hyperlink"/>
    <w:basedOn w:val="DefaultParagraphFont"/>
    <w:uiPriority w:val="99"/>
    <w:unhideWhenUsed w:val="1"/>
    <w:rsid w:val="00923407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923407"/>
    <w:rPr>
      <w:color w:val="954f72" w:themeColor="followed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923407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923407"/>
    <w:rPr>
      <w:rFonts w:ascii="Times New Roman" w:cs="Times New Roman" w:eastAsia="Times New Roman" w:hAnsi="Times New Roman"/>
      <w:b w:val="1"/>
      <w:bCs w:val="1"/>
      <w:kern w:val="0"/>
      <w:sz w:val="20"/>
      <w:szCs w:val="20"/>
      <w:lang w:eastAsia="ru-RU" w:val="ru-RU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923407"/>
    <w:pPr>
      <w:spacing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923407"/>
    <w:rPr>
      <w:rFonts w:ascii="Tahoma" w:cs="Tahoma" w:eastAsia="Times New Roman" w:hAnsi="Tahoma"/>
      <w:kern w:val="0"/>
      <w:sz w:val="16"/>
      <w:szCs w:val="16"/>
      <w:lang w:eastAsia="ru-RU" w:val="ru-RU"/>
    </w:rPr>
  </w:style>
  <w:style w:type="table" w:styleId="TableGrid">
    <w:name w:val="Table Grid"/>
    <w:basedOn w:val="TableNormal"/>
    <w:uiPriority w:val="59"/>
    <w:rsid w:val="00923407"/>
    <w:pPr>
      <w:spacing w:after="0" w:line="240" w:lineRule="auto"/>
    </w:pPr>
    <w:rPr>
      <w:kern w:val="0"/>
      <w:lang w:val="ru-RU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PlaceholderText">
    <w:name w:val="Placeholder Text"/>
    <w:basedOn w:val="DefaultParagraphFont"/>
    <w:uiPriority w:val="99"/>
    <w:semiHidden w:val="1"/>
    <w:rsid w:val="00923407"/>
    <w:rPr>
      <w:color w:val="808080"/>
    </w:rPr>
  </w:style>
  <w:style w:type="paragraph" w:styleId="NoSpacing">
    <w:name w:val="No Spacing"/>
    <w:uiPriority w:val="1"/>
    <w:qFormat w:val="1"/>
    <w:rsid w:val="00923407"/>
    <w:pPr>
      <w:spacing w:after="0" w:line="240" w:lineRule="auto"/>
    </w:pPr>
    <w:rPr>
      <w:rFonts w:ascii="Times New Roman" w:cs="Times New Roman" w:eastAsia="Times New Roman" w:hAnsi="Times New Roman"/>
      <w:kern w:val="0"/>
      <w:sz w:val="24"/>
      <w:szCs w:val="24"/>
      <w:lang w:eastAsia="ru-RU" w:val="ru-RU"/>
    </w:rPr>
  </w:style>
  <w:style w:type="paragraph" w:styleId="ListParagraph">
    <w:name w:val="List Paragraph"/>
    <w:basedOn w:val="Normal"/>
    <w:qFormat w:val="1"/>
    <w:rsid w:val="00923407"/>
    <w:pPr>
      <w:ind w:left="720"/>
      <w:contextualSpacing w:val="1"/>
    </w:p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923407"/>
    <w:pPr>
      <w:pageBreakBefore w:val="0"/>
      <w:suppressAutoHyphens w:val="0"/>
      <w:spacing w:after="0" w:before="240" w:line="259" w:lineRule="auto"/>
      <w:ind w:left="0" w:right="0"/>
      <w:jc w:val="left"/>
      <w:outlineLvl w:val="9"/>
    </w:pPr>
    <w:rPr>
      <w:rFonts w:asciiTheme="majorHAnsi" w:hAnsiTheme="majorHAnsi"/>
      <w:b w:val="0"/>
      <w:bCs w:val="0"/>
      <w:caps w:val="0"/>
      <w:color w:val="2f5496" w:themeColor="accent1" w:themeShade="0000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923407"/>
    <w:rPr>
      <w:color w:val="605e5c"/>
      <w:shd w:color="auto" w:fill="e1dfdd" w:val="clear"/>
    </w:rPr>
  </w:style>
  <w:style w:type="paragraph" w:styleId="NormalWeb">
    <w:name w:val="Normal (Web)"/>
    <w:basedOn w:val="Normal"/>
    <w:uiPriority w:val="99"/>
    <w:semiHidden w:val="1"/>
    <w:unhideWhenUsed w:val="1"/>
    <w:rsid w:val="00B90240"/>
    <w:pPr>
      <w:spacing w:after="100" w:afterAutospacing="1" w:before="100" w:beforeAutospacing="1" w:line="240" w:lineRule="auto"/>
      <w:ind w:firstLine="0"/>
      <w:jc w:val="left"/>
    </w:pPr>
    <w:rPr>
      <w:lang w:eastAsia="en-US" w:val="en-US"/>
    </w:rPr>
  </w:style>
  <w:style w:type="paragraph" w:styleId="af6" w:customStyle="1">
    <w:name w:val="Текст ЛР"/>
    <w:basedOn w:val="Normal"/>
    <w:link w:val="af7"/>
    <w:qFormat w:val="1"/>
    <w:rsid w:val="00AD708E"/>
    <w:pPr>
      <w:spacing w:line="276" w:lineRule="auto"/>
    </w:pPr>
    <w:rPr>
      <w:rFonts w:cs="Arial" w:eastAsia="Arial"/>
      <w:szCs w:val="22"/>
    </w:rPr>
  </w:style>
  <w:style w:type="character" w:styleId="af7" w:customStyle="1">
    <w:name w:val="Текст ЛР Знак"/>
    <w:basedOn w:val="DefaultParagraphFont"/>
    <w:link w:val="af6"/>
    <w:rsid w:val="00AD708E"/>
    <w:rPr>
      <w:rFonts w:ascii="Times New Roman" w:cs="Arial" w:eastAsia="Arial" w:hAnsi="Times New Roman"/>
      <w:kern w:val="0"/>
      <w:sz w:val="24"/>
      <w:lang w:eastAsia="ru-RU" w:val="ru-RU"/>
    </w:rPr>
  </w:style>
  <w:style w:type="character" w:styleId="Strong">
    <w:name w:val="Strong"/>
    <w:basedOn w:val="DefaultParagraphFont"/>
    <w:uiPriority w:val="22"/>
    <w:qFormat w:val="1"/>
    <w:rsid w:val="005A014F"/>
    <w:rPr>
      <w:b w:val="1"/>
      <w:bCs w:val="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45524E"/>
    <w:rPr>
      <w:rFonts w:ascii="Times New Roman" w:cs="Times New Roman" w:eastAsia="Times New Roman" w:hAnsi="Times New Roman"/>
      <w:b w:val="1"/>
      <w:kern w:val="0"/>
      <w:lang w:val="ru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45524E"/>
    <w:rPr>
      <w:rFonts w:ascii="Times New Roman" w:cs="Times New Roman" w:eastAsia="Times New Roman" w:hAnsi="Times New Roman"/>
      <w:b w:val="1"/>
      <w:kern w:val="0"/>
      <w:sz w:val="20"/>
      <w:szCs w:val="20"/>
      <w:lang w:val="ru"/>
    </w:rPr>
  </w:style>
  <w:style w:type="table" w:styleId="TableNormal0" w:customStyle="1">
    <w:name w:val="TableNormal"/>
    <w:rsid w:val="0045524E"/>
    <w:pPr>
      <w:spacing w:after="0" w:line="360" w:lineRule="auto"/>
      <w:ind w:firstLine="709"/>
      <w:jc w:val="both"/>
    </w:pPr>
    <w:rPr>
      <w:rFonts w:ascii="Times New Roman" w:cs="Times New Roman" w:eastAsia="Times New Roman" w:hAnsi="Times New Roman"/>
      <w:kern w:val="0"/>
      <w:sz w:val="24"/>
      <w:szCs w:val="24"/>
      <w:lang w:val="ru"/>
    </w:rPr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fontstyle01" w:customStyle="1">
    <w:name w:val="fontstyle01"/>
    <w:basedOn w:val="DefaultParagraphFont"/>
    <w:rsid w:val="0045524E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styleId="normaltextrun" w:customStyle="1">
    <w:name w:val="normaltextrun"/>
    <w:basedOn w:val="DefaultParagraphFont"/>
    <w:rsid w:val="0045524E"/>
  </w:style>
  <w:style w:type="character" w:styleId="eop" w:customStyle="1">
    <w:name w:val="eop"/>
    <w:basedOn w:val="DefaultParagraphFont"/>
    <w:rsid w:val="0045524E"/>
  </w:style>
  <w:style w:type="character" w:styleId="SubtitleChar" w:customStyle="1">
    <w:name w:val="Subtitle Char"/>
    <w:basedOn w:val="DefaultParagraphFont"/>
    <w:link w:val="Subtitle"/>
    <w:uiPriority w:val="11"/>
    <w:rsid w:val="0045524E"/>
    <w:rPr>
      <w:rFonts w:ascii="Georgia" w:cs="Georgia" w:eastAsia="Georgia" w:hAnsi="Georgia"/>
      <w:i w:val="1"/>
      <w:color w:val="666666"/>
      <w:kern w:val="0"/>
      <w:sz w:val="48"/>
      <w:szCs w:val="48"/>
      <w:lang w:val="ru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13" Type="http://schemas.openxmlformats.org/officeDocument/2006/relationships/footer" Target="footer4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14" Type="http://schemas.openxmlformats.org/officeDocument/2006/relationships/footer" Target="footer5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my.itmo.ru/persons/129374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j/YIhGYfTB5RztX7OEfizv6DjQ==">CgMxLjAyDmgucTZjejBjeHhsMjNjMg5oLmJtazBwZzhmcnE1ajIOaC4zdzk3bXZ5d3MxOHkyDmgucWg4dWdwM2xvYTFiMg5oLnVlcHduOHZlczBjbDIOaC40NGFrb2l1Mng3YWgyDmguNmQ0ajdtNjV4Ynh0Mg5oLjF0YmF4azdmdTBuZTIOaC5oeWdlaTM2cndoNjQyDmguM3h5eDBtajcxeXRhMg5oLmJsdXVxNmw1NHoybDIOaC5leGJlaGI2MDltaWUyDmgucXJiazU4NzF4ODU0Mg5oLmViYXR2cjk5MG5uNTgAciExOWJoY1FPZ25JYzE0V3NhZmFMaXhtUjNFR1VpbWZqLU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2025-10-23T13:27:00Z</dcterms:created>
  <dc:creator>PCHA</dc:creator>
</cp:coreProperties>
</file>