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312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Số lượng tội phạm mạng ở Nga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Число киберпреступлений в России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160" w:before="160" w:line="264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Dữ liệu về hình phạt được áp dụng theo các điều của Bộ luật Hình sự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Данные о назначенном наказании по статьям УК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Thực hành tư pháp theo điều 272 Bộ luật Hình sự Liên bang Nga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Судебная практика по ст.272 УК РФ | Сам себе адвокат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hd w:fill="ffffff" w:val="clear"/>
        <w:spacing w:after="0" w:before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Phán quyết của tòa án theo Phần 2 Điều 272 Bộ luật Hình sự Liên bang Nga số 1-613/2017 | Truy cập trái phép vào thông tin máy tính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Приговор суда по ч. 2 ст. 272 УК РФ № 1-613/2017 | Неправомерный доступ к компьютерной информации судебная практика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Các câu hỏi về việc xác định tội phạm trong lĩnh vực thông tin máy tính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Вопросы квалификации преступлений в сфере компьютерной информации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shd w:fill="f4f6f8" w:val="clear"/>
        <w:spacing w:before="48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Điều 273 Bộ luật Hình sự Liên bang Nga: Xác định chương trình máy tính là độc hại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Адвокат по ст. 273 УК РФ: Признание программы вредоносной.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  <w:rtl w:val="0"/>
        </w:rPr>
        <w:t xml:space="preserve">Tội sử dụng chương trình máy tính độc hại - Điều 273 Bộ luật Hình sự Liên bang Nga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highlight w:val="white"/>
            <w:u w:val="single"/>
            <w:rtl w:val="0"/>
          </w:rPr>
          <w:t xml:space="preserve">273 УК РФ | Преступления с использованием вредоносных компьютерных программ | Примеры | RTM Group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  <w:rtl w:val="0"/>
        </w:rPr>
        <w:t xml:space="preserve">BỘ LUẬT HÌNH SỰ CỦA LIÊN BANG NGA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highlight w:val="white"/>
            <w:u w:val="single"/>
            <w:rtl w:val="0"/>
          </w:rPr>
          <w:t xml:space="preserve">"Уголовный кодекс Российской Федерации" (УК РФ) от 13.06.1996 N 63-ФЗ (последняя редакция) \ КонсультантПлюс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highlight w:val="white"/>
            <w:u w:val="single"/>
            <w:rtl w:val="0"/>
          </w:rPr>
          <w:t xml:space="preserve">https://portal.tpu.ru/SHARED/n/NIKOLAENKOVS/student/software/%D0%94%D0%B5%D0%BB%D0%BE%201-2262023%20%28%D0%A1%D1%82%D0%B0%D1%82%D1%8C%D1%8F%20273%20%D0%A3%D0%9A%20%D0%A0%D0%A4%29%20%28%D0%92%D0%B5%D0%B1-.pdf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e2123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dvodom.ru/practice/vredonosnyj-soft-po-state-273.php" TargetMode="External"/><Relationship Id="rId10" Type="http://schemas.openxmlformats.org/officeDocument/2006/relationships/hyperlink" Target="https://pdfs.semanticscholar.org/ead7/e8da254098d501d4e955f6ed0e6b916e1394.pdf" TargetMode="External"/><Relationship Id="rId13" Type="http://schemas.openxmlformats.org/officeDocument/2006/relationships/hyperlink" Target="https://www.consultant.ru/document/cons_doc_LAW_10699/" TargetMode="External"/><Relationship Id="rId12" Type="http://schemas.openxmlformats.org/officeDocument/2006/relationships/hyperlink" Target="https://rtmtech.ru/articles/prestupleniya-s-ispolzovaniem-vredonosnyh-kompyuternyh-programm-st-273-uk-rf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vocate-service.ru/sud-praktika/ugolovnye-dela/prigovory-sudov-po-st.-272-uk-rf-nepravomernyj-dostup-k-kompjuternoj-informatsii/prigovor-suda-po-ch.-2-st.-272-uk-rf--1-6132017--nepravomernyj-dostup-k-kompjuternoj-informatsii.html" TargetMode="External"/><Relationship Id="rId14" Type="http://schemas.openxmlformats.org/officeDocument/2006/relationships/hyperlink" Target="https://portal.tpu.ru/SHARED/n/NIKOLAENKOVS/student/software/%D0%94%D0%B5%D0%BB%D0%BE%201-2262023%20%28%D0%A1%D1%82%D0%B0%D1%82%D1%8C%D1%8F%20273%20%D0%A3%D0%9A%20%D0%A0%D0%A4%29%20%28%D0%92%D0%B5%D0%B1-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adviser.ru/index.php/%D0%A1%D1%82%D0%B0%D1%82%D1%8C%D1%8F:%D0%A7%D0%B8%D1%81%D0%BB%D0%BE_%D0%BA%D0%B8%D0%B1%D0%B5%D1%80%D0%BF%D1%80%D0%B5%D1%81%D1%82%D1%83%D0%BF%D0%BB%D0%B5%D0%BD%D0%B8%D0%B9_%D0%B2_%D0%A0%D0%BE%D1%81%D1%81%D0%B8%D0%B8" TargetMode="External"/><Relationship Id="rId7" Type="http://schemas.openxmlformats.org/officeDocument/2006/relationships/hyperlink" Target="https://stat.xn----7sbqk8achja.xn--p1ai/stats/ug/t/14/s/17" TargetMode="External"/><Relationship Id="rId8" Type="http://schemas.openxmlformats.org/officeDocument/2006/relationships/hyperlink" Target="https://pershickow.ru/sudebnaya-praktika-po-st-272-uk-r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