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8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Факультет</w:t>
        <w:tab/>
        <w:t xml:space="preserve">Безопасности информационных технологий</w:t>
      </w:r>
    </w:p>
    <w:p w:rsidR="00000000" w:rsidDel="00000000" w:rsidP="00000000" w:rsidRDefault="00000000" w:rsidRPr="00000000" w14:paraId="00000006">
      <w:pPr>
        <w:ind w:firstLine="708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Образовательная программа    Технологии защиты информации</w:t>
      </w:r>
    </w:p>
    <w:p w:rsidR="00000000" w:rsidDel="00000000" w:rsidP="00000000" w:rsidRDefault="00000000" w:rsidRPr="00000000" w14:paraId="00000007">
      <w:pPr>
        <w:ind w:firstLine="708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Направление подготовки (специальность) 10.03.01 Информационная безопасность</w:t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О Т Ч Е Т</w:t>
      </w:r>
    </w:p>
    <w:p w:rsidR="00000000" w:rsidDel="00000000" w:rsidP="00000000" w:rsidRDefault="00000000" w:rsidRPr="00000000" w14:paraId="0000000A">
      <w:pPr>
        <w:ind w:firstLine="0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об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производственной практике </w:t>
      </w:r>
    </w:p>
    <w:p w:rsidR="00000000" w:rsidDel="00000000" w:rsidP="00000000" w:rsidRDefault="00000000" w:rsidRPr="00000000" w14:paraId="0000000B">
      <w:pPr>
        <w:ind w:firstLine="0"/>
        <w:jc w:val="left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Тема задания: </w:t>
      </w:r>
      <w:r w:rsidDel="00000000" w:rsidR="00000000" w:rsidRPr="00000000">
        <w:rPr>
          <w:sz w:val="26"/>
          <w:szCs w:val="26"/>
          <w:rtl w:val="0"/>
        </w:rPr>
        <w:t xml:space="preserve">Комплексная защита информации организации ООО «ЧВД» с использованием систем и средств защиты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Обучающийся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 Ван Доан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гр. N34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Руководитель практики от профильной организации: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Канжелев Юрий Алексеевич, к.т.н., доцент ФБИТ ИТМО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Руководитель практики от университета: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Канжелев Юрий Алексеевич, к.т.н., с.н.с, доцент ФБИТ, ИТМО</w:t>
      </w:r>
    </w:p>
    <w:p w:rsidR="00000000" w:rsidDel="00000000" w:rsidP="00000000" w:rsidRDefault="00000000" w:rsidRPr="00000000" w14:paraId="00000012">
      <w:pPr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Дата  0.0.202</w:t>
            </w:r>
          </w:p>
        </w:tc>
      </w:tr>
    </w:tbl>
    <w:p w:rsidR="00000000" w:rsidDel="00000000" w:rsidP="00000000" w:rsidRDefault="00000000" w:rsidRPr="00000000" w14:paraId="00000017">
      <w:pPr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969"/>
        </w:tabs>
        <w:ind w:left="0" w:firstLine="0"/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969"/>
        </w:tabs>
        <w:rPr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1C">
      <w:pPr>
        <w:ind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2026 г.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6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E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60" w:line="360" w:lineRule="auto"/>
        <w:ind w:left="0" w:right="0" w:firstLine="0"/>
        <w:jc w:val="left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6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f3403vrznid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Список сокращений и условных обозначений</w:t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6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kqv8dieibbu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A">
      <w:pPr>
        <w:tabs>
          <w:tab w:val="left" w:leader="none" w:pos="9072"/>
        </w:tabs>
        <w:spacing w:line="312" w:lineRule="auto"/>
        <w:rPr/>
      </w:pPr>
      <w:r w:rsidDel="00000000" w:rsidR="00000000" w:rsidRPr="00000000">
        <w:rPr>
          <w:rtl w:val="0"/>
        </w:rPr>
        <w:t xml:space="preserve">В условиях стремительного развития цифровых технологий и перехода организаций к электронным сервисам информация становится ключевым ресурсом, напрямую влияющим на устойчивость и конкурентоспособность предприятия. Современные информационные системы обеспечивают ускорение бизнес-процессов, повышение качества управления и доступность данных, однако одновременно расширяют поверхность атаки: растёт число удалённых рабочих мест, используются облачные платформы, мобильные устройства и сетевое оборудование, а обмен данными всё чаще выходит за пределы локальной инфраструктуры. В результате повышается вероятность несанкционированного доступа к ресурсам, утечек конфиденциальных сведений, их искажения, уничтожения, копирования или блокирования, что может привести к экономическому ущербу, репутационным потерям и социальным последствиям. Поэтому обеспечение эффективной защиты информации остаётся одной из наиболее актуальных задач на современном этапе.</w:t>
      </w:r>
    </w:p>
    <w:p w:rsidR="00000000" w:rsidDel="00000000" w:rsidP="00000000" w:rsidRDefault="00000000" w:rsidRPr="00000000" w14:paraId="0000002B">
      <w:pPr>
        <w:tabs>
          <w:tab w:val="left" w:leader="none" w:pos="9072"/>
        </w:tabs>
        <w:spacing w:line="312" w:lineRule="auto"/>
        <w:rPr/>
      </w:pPr>
      <w:r w:rsidDel="00000000" w:rsidR="00000000" w:rsidRPr="00000000">
        <w:rPr>
          <w:rtl w:val="0"/>
        </w:rPr>
        <w:t xml:space="preserve">Защита информации представляет собой комплекс взаимосвязанных организационных и технических мероприятий. Организационные меры (регламенты, разграничение полномочий, обучение персонала, контроль процедур) формируют необходимый режим безопасности, однако без инженерно-технических средств их эффективность существенно снижается. Техническая защита информации обеспечивает практическое противодействие внешним и внутренним угрозам, снижает риск утечки по различным каналам и позволяет реализовать физические и технические механизмы охраны сведений на объекте информатизации.</w:t>
      </w:r>
    </w:p>
    <w:p w:rsidR="00000000" w:rsidDel="00000000" w:rsidP="00000000" w:rsidRDefault="00000000" w:rsidRPr="00000000" w14:paraId="0000002C">
      <w:pPr>
        <w:tabs>
          <w:tab w:val="left" w:leader="none" w:pos="9072"/>
        </w:tabs>
        <w:spacing w:line="312" w:lineRule="auto"/>
        <w:rPr/>
      </w:pPr>
      <w:r w:rsidDel="00000000" w:rsidR="00000000" w:rsidRPr="00000000">
        <w:rPr>
          <w:rtl w:val="0"/>
        </w:rPr>
        <w:t xml:space="preserve">В рамках данной работы рассматривается разработка комплекса инженерно-технической защиты конфиденциальной информации, направленного на предупреждение утечки по техническим каналам и обеспечение режима конфиденциальности на предприятии. Особое внимание уделяется обоснованию необходимости выбранных мер и роли технических средств защиты как неотъемлемой части общей системы безопасности организации.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7"/>
        </w:numPr>
        <w:spacing w:line="240" w:lineRule="auto"/>
        <w:ind w:left="709" w:firstLine="0"/>
        <w:rPr>
          <w:sz w:val="26"/>
          <w:szCs w:val="26"/>
        </w:rPr>
      </w:pPr>
      <w:bookmarkStart w:colFirst="0" w:colLast="0" w:name="_heading=h.3yn18234aw1u" w:id="2"/>
      <w:bookmarkEnd w:id="2"/>
      <w:r w:rsidDel="00000000" w:rsidR="00000000" w:rsidRPr="00000000">
        <w:rPr>
          <w:sz w:val="26"/>
          <w:szCs w:val="26"/>
          <w:rtl w:val="0"/>
        </w:rPr>
        <w:t xml:space="preserve">Анализ технических каналов утечки информации</w:t>
      </w:r>
    </w:p>
    <w:p w:rsidR="00000000" w:rsidDel="00000000" w:rsidP="00000000" w:rsidRDefault="00000000" w:rsidRPr="00000000" w14:paraId="0000003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В современных организациях конфиденциальная информация постоянно циркулирует: обсуждается на совещаниях, отображается на экранах, передаётся по сетям связи, хранится на бумажных и электронных носителях. В таких условиях одной из ключевых угроз становится утечка информации — то есть бесконтрольный выход конфиденциальных сведений за пределы организации либо круга лиц, которым они были доверены. Утечка может происходить разными способами, поэтому важно понимать, по каким каналам она реализуется и какие из них наиболее вероятны на конкретном объекте.</w:t>
      </w:r>
    </w:p>
    <w:p w:rsidR="00000000" w:rsidDel="00000000" w:rsidP="00000000" w:rsidRDefault="00000000" w:rsidRPr="00000000" w14:paraId="0000003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Канал утечки информации — это такой путь коммуникации, который позволяет передать сведения в обход установленных требований безопасности. В общем виде выделяют три формы утечки: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разглашение информации (человеческий фактор, разговоры, публикации, ошибки персонала);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несанкционированный доступ (взлом, злоупотребление правами, обход средств защиты);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утечка по техническим каналам.</w:t>
      </w:r>
    </w:p>
    <w:p w:rsidR="00000000" w:rsidDel="00000000" w:rsidP="00000000" w:rsidRDefault="00000000" w:rsidRPr="00000000" w14:paraId="00000035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В рамках данной работы рассматривается именно утечка по техническим каналам, так как она связана не только с действиями людей, но и с физическими процессами: излучениями, наводками, вибрациями, распространением сигналов в средах и инженерных сетях.</w:t>
      </w:r>
    </w:p>
    <w:p w:rsidR="00000000" w:rsidDel="00000000" w:rsidP="00000000" w:rsidRDefault="00000000" w:rsidRPr="00000000" w14:paraId="0000003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Технический канал утечки информации (ТКУИ) — это совокупность: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источника информативного сигнала (объекта технической разведки);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физической среды распространения (воздух, конструкции, кабели, электромагнитное поле и т. п.);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средств перехвата, с помощью которых злоумышленник извлекает защищаемую информацию.</w:t>
      </w:r>
    </w:p>
    <w:p w:rsidR="00000000" w:rsidDel="00000000" w:rsidP="00000000" w:rsidRDefault="00000000" w:rsidRPr="00000000" w14:paraId="0000003A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Утечка по техническому каналу означает неконтролируемое распространение сведений от носителя (источника) через физическую среду до технического средства перехвата, способного зарегистрировать и восстановить исходную информацию.</w:t>
      </w:r>
    </w:p>
    <w:p w:rsidR="00000000" w:rsidDel="00000000" w:rsidP="00000000" w:rsidRDefault="00000000" w:rsidRPr="00000000" w14:paraId="0000003B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На вход ТКУИ поступает информация в виде первичного сигнала — то есть проявления информации в конкретной физической форме. Источником такого сигнала могут быть: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объект наблюдения, отражающий электромагнитные и акустические волны;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объект наблюдения, излучающий собственные (в том числе тепловые) электромагнитные волны в оптическом и радиодиапазонах;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передатчик функционального канала связи;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закладное устройство;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источник опасного сигнала;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источник акустических волн, модулированных информацией (речь, звуки при работе оборудования и т. д.).</w:t>
      </w:r>
    </w:p>
    <w:p w:rsidR="00000000" w:rsidDel="00000000" w:rsidP="00000000" w:rsidRDefault="00000000" w:rsidRPr="00000000" w14:paraId="0000004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Далее сигнал распространяется в некоторой физической среде, параметры которой определяют, насколько далеко и в каком виде он может быть принят. Приёмник (техническое средство перехвата) фиксирует сигнал, при необходимости усиливает и обрабатывает его и затем преобразует в форму, доступную получателю (человеку или устройству анализа).</w:t>
      </w:r>
    </w:p>
    <w:p w:rsidR="00000000" w:rsidDel="00000000" w:rsidP="00000000" w:rsidRDefault="00000000" w:rsidRPr="00000000" w14:paraId="0000004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Классификация ТКУИ</w:t>
      </w:r>
    </w:p>
    <w:p w:rsidR="00000000" w:rsidDel="00000000" w:rsidP="00000000" w:rsidRDefault="00000000" w:rsidRPr="00000000" w14:paraId="0000004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По физической природе носителя и виду канала связи технические каналы утечки информации подразделяются на: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оптические;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радиоэлектронные;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электрические;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электромагнитные;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индукционные;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акустические;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акустоэлектрические;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виброакустические;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880"/>
          <w:tab w:val="right" w:leader="none" w:pos="9345"/>
        </w:tabs>
        <w:ind w:left="720" w:hanging="360"/>
      </w:pPr>
      <w:r w:rsidDel="00000000" w:rsidR="00000000" w:rsidRPr="00000000">
        <w:rPr>
          <w:rtl w:val="0"/>
        </w:rPr>
        <w:t xml:space="preserve">материально-вещественные.</w:t>
      </w:r>
    </w:p>
    <w:p w:rsidR="00000000" w:rsidDel="00000000" w:rsidP="00000000" w:rsidRDefault="00000000" w:rsidRPr="00000000" w14:paraId="0000004E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Ниже приведена характеристика основных каналов с учётом наиболее типичных практических ситуаций и мер защиты.</w:t>
      </w:r>
    </w:p>
    <w:p w:rsidR="00000000" w:rsidDel="00000000" w:rsidP="00000000" w:rsidRDefault="00000000" w:rsidRPr="00000000" w14:paraId="0000004F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Оптический канал</w:t>
      </w:r>
    </w:p>
    <w:p w:rsidR="00000000" w:rsidDel="00000000" w:rsidP="00000000" w:rsidRDefault="00000000" w:rsidRPr="00000000" w14:paraId="0000005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Носителем информации здесь является электромагнитное излучение оптического диапазона (фотоны). На практике утечка возникает, когда конфиденциальные сведения можно увидеть: через окно, стеклянную перегородку, приоткрытую дверь, из коридора, а также при помощи скрытой фото- или видеосъёмки. Канал особенно актуален для графической информации: документов на столе, данных на мониторе, записей на доске.</w:t>
      </w:r>
    </w:p>
    <w:p w:rsidR="00000000" w:rsidDel="00000000" w:rsidP="00000000" w:rsidRDefault="00000000" w:rsidRPr="00000000" w14:paraId="0000005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Меры защиты обычно простые, но обязательные: жалюзи/шторы/плёнки на окнах и стеклянных дверях, корректная расстановка рабочих мест (чтобы экраны не просматривались извне), доводчики на двери, режим закрывания помещений и контроль доступа.</w:t>
      </w:r>
    </w:p>
    <w:p w:rsidR="00000000" w:rsidDel="00000000" w:rsidP="00000000" w:rsidRDefault="00000000" w:rsidRPr="00000000" w14:paraId="0000005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Радиоэлектронный канал</w:t>
      </w:r>
    </w:p>
    <w:p w:rsidR="00000000" w:rsidDel="00000000" w:rsidP="00000000" w:rsidRDefault="00000000" w:rsidRPr="00000000" w14:paraId="0000005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В радиоэлектронном канале в качестве носителей выступают электрические, магнитные и электромагнитные поля в радиодиапазоне, а также электрический ток в проводниках. Такой канал актуален, когда в помещении работают устройства, способные формировать радиосигналы или непреднамеренные излучения: точки Wi-Fi, Bluetooth-устройства, радиомодули, средства связи, а также элементы инфраструктуры, создающие паразитные излучения. Частотный диапазон проявлений может быть очень широким — от звуковых частот до высокочастотной области.</w:t>
      </w:r>
    </w:p>
    <w:p w:rsidR="00000000" w:rsidDel="00000000" w:rsidP="00000000" w:rsidRDefault="00000000" w:rsidRPr="00000000" w14:paraId="0000005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Защита включает контроль радиосреды, настройку и ограничение беспроводных интерфейсов, организацию зон (где беспроводная связь запрещена или регламентирована), а также технические меры снижения излучений и наводок.</w:t>
      </w:r>
    </w:p>
    <w:p w:rsidR="00000000" w:rsidDel="00000000" w:rsidP="00000000" w:rsidRDefault="00000000" w:rsidRPr="00000000" w14:paraId="00000055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Электромагнитный канал (в том числе ПЭМИН)</w:t>
      </w:r>
    </w:p>
    <w:p w:rsidR="00000000" w:rsidDel="00000000" w:rsidP="00000000" w:rsidRDefault="00000000" w:rsidRPr="00000000" w14:paraId="0000005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Электромагнитный ТКУИ связан с перехватом электромагнитных излучений, возникающих при работе средств обработки и передачи информации. Для вычислительной техники и периферии существенную роль играют побочные электромагнитные излучения и наводки (ПЭМИН): в определённых условиях они могут содержать признаки обрабатываемых данных.</w:t>
      </w:r>
    </w:p>
    <w:p w:rsidR="00000000" w:rsidDel="00000000" w:rsidP="00000000" w:rsidRDefault="00000000" w:rsidRPr="00000000" w14:paraId="00000057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На практике этот канал становится актуальным при наличии в помещении компьютеров, мониторов, кабельных линий, сетевого оборудования, а также при слабом экранировании и неправильной организации заземления и трасс кабелей.</w:t>
      </w:r>
    </w:p>
    <w:p w:rsidR="00000000" w:rsidDel="00000000" w:rsidP="00000000" w:rsidRDefault="00000000" w:rsidRPr="00000000" w14:paraId="0000005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Меры защиты: экранирование, фильтрация линий, корректное заземление, соблюдение требований к размещению оборудования и кабелей, формирование контролируемых зон, а также применение средств маскирования/подавления (создание электромагнитного шума, если это предусмотрено проектными решениями).</w:t>
      </w:r>
    </w:p>
    <w:p w:rsidR="00000000" w:rsidDel="00000000" w:rsidP="00000000" w:rsidRDefault="00000000" w:rsidRPr="00000000" w14:paraId="0000005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Электрический канал</w:t>
      </w:r>
    </w:p>
    <w:p w:rsidR="00000000" w:rsidDel="00000000" w:rsidP="00000000" w:rsidRDefault="00000000" w:rsidRPr="00000000" w14:paraId="0000005A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Электрический ТКУИ связан со съёмом информации при контактном подключении к кабельным линиям связи или электропитания. Электрические колебания и наводки, возникающие при работе оборудования, могут нести информативные признаки и быть использованы для восстановления данных либо речевой информации (в отдельных сценариях).</w:t>
      </w:r>
    </w:p>
    <w:p w:rsidR="00000000" w:rsidDel="00000000" w:rsidP="00000000" w:rsidRDefault="00000000" w:rsidRPr="00000000" w14:paraId="0000005B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Основные меры защиты: применение сетевых фильтров и развязок, правильная организация питания и заземления, защищённая прокладка кабелей, ограничение доступа к щитовым, кроссовым и коммутационным узлам.</w:t>
      </w:r>
    </w:p>
    <w:p w:rsidR="00000000" w:rsidDel="00000000" w:rsidP="00000000" w:rsidRDefault="00000000" w:rsidRPr="00000000" w14:paraId="0000005C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Индукционный канал</w:t>
      </w:r>
    </w:p>
    <w:p w:rsidR="00000000" w:rsidDel="00000000" w:rsidP="00000000" w:rsidRDefault="00000000" w:rsidRPr="00000000" w14:paraId="0000005D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Индукционный ТКУИ реализуется за счёт бесконтактного съёма: вокруг кабеля связи возникает электромагнитное поле, модулированное информационным сигналом. Это поле может быть перехвачено индукционным датчиком, после чего сигнал усиливается и демодулируется.</w:t>
      </w:r>
    </w:p>
    <w:p w:rsidR="00000000" w:rsidDel="00000000" w:rsidP="00000000" w:rsidRDefault="00000000" w:rsidRPr="00000000" w14:paraId="0000005E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Опасность такого канала в том, что бесконтактные закладные устройства часто сложнее обнаружить: они не всегда меняют параметры линии и могут быть скрытно размещены на трассах.</w:t>
      </w:r>
    </w:p>
    <w:p w:rsidR="00000000" w:rsidDel="00000000" w:rsidP="00000000" w:rsidRDefault="00000000" w:rsidRPr="00000000" w14:paraId="0000005F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Защита включает использование экранированных линий, корректную трассировку (разнесение кабелей), контроль доступа к коммуникациям, техническое обследование трасс и применение средств поиска закладок.</w:t>
      </w:r>
    </w:p>
    <w:p w:rsidR="00000000" w:rsidDel="00000000" w:rsidP="00000000" w:rsidRDefault="00000000" w:rsidRPr="00000000" w14:paraId="00000060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Акустический канал</w:t>
      </w:r>
    </w:p>
    <w:p w:rsidR="00000000" w:rsidDel="00000000" w:rsidP="00000000" w:rsidRDefault="00000000" w:rsidRPr="00000000" w14:paraId="00000061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Носитель информации — акустические волны, распространяющиеся в воздухе. Утечка возникает при недостаточной звукоизоляции (прослушивание через стены, двери, вентиляцию) либо при установке закладного устройства с записью или передачей звука. Канал наиболее характерен для переговорных комнат, кабинетов руководства и помещений, где обсуждается конфиденциальная информация.</w:t>
      </w:r>
    </w:p>
    <w:p w:rsidR="00000000" w:rsidDel="00000000" w:rsidP="00000000" w:rsidRDefault="00000000" w:rsidRPr="00000000" w14:paraId="00000062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Меры защиты: звукоизоляция конструкций, герметизация проёмов и щелей, регламенты проведения переговоров, режим контроля помещений, а также технические средства выявления закладок.</w:t>
      </w:r>
    </w:p>
    <w:p w:rsidR="00000000" w:rsidDel="00000000" w:rsidP="00000000" w:rsidRDefault="00000000" w:rsidRPr="00000000" w14:paraId="00000063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Акустоэлектрический канал</w:t>
      </w:r>
    </w:p>
    <w:p w:rsidR="00000000" w:rsidDel="00000000" w:rsidP="00000000" w:rsidRDefault="00000000" w:rsidRPr="00000000" w14:paraId="00000064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Здесь исходная информация существует в виде звука, но далее акустические колебания воздействуют на элементы инженерных сетей и оборудования и вызывают электрические колебания, которые могут быть сняты с линий электропитания или связи. Сценарий актуален, если в контролируемом помещении присутствуют линии, связанные с внешней территорией (например, телефонные, слаботочные или питающие линии).</w:t>
      </w:r>
    </w:p>
    <w:p w:rsidR="00000000" w:rsidDel="00000000" w:rsidP="00000000" w:rsidRDefault="00000000" w:rsidRPr="00000000" w14:paraId="00000065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Защита: фильтрация и развязка линий, применение специализированных защитных устройств, контроль и обследование сетей, а также правильное проектирование ввода и распределения коммуникаций.</w:t>
      </w:r>
    </w:p>
    <w:p w:rsidR="00000000" w:rsidDel="00000000" w:rsidP="00000000" w:rsidRDefault="00000000" w:rsidRPr="00000000" w14:paraId="00000066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Виброакустический канал</w:t>
      </w:r>
    </w:p>
    <w:p w:rsidR="00000000" w:rsidDel="00000000" w:rsidP="00000000" w:rsidRDefault="00000000" w:rsidRPr="00000000" w14:paraId="00000067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Акустические колебания могут преобразовываться в вибрации твёрдых конструкций (стены, перекрытия, трубы отопления, оконные стёкла). Эти вибрации способны быть сняты датчиками и затем обработаны. Канал актуален почти всегда, поскольку твёрдые поверхности присутствуют в любом помещении.</w:t>
      </w:r>
    </w:p>
    <w:p w:rsidR="00000000" w:rsidDel="00000000" w:rsidP="00000000" w:rsidRDefault="00000000" w:rsidRPr="00000000" w14:paraId="00000068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Защита: виброизоляция и демпфирование, инженерные решения по снижению передачи вибраций, а также применение средств маскирования (например, подача белого шума на конструкции) в случаях, где это обосновано.</w:t>
      </w:r>
    </w:p>
    <w:p w:rsidR="00000000" w:rsidDel="00000000" w:rsidP="00000000" w:rsidRDefault="00000000" w:rsidRPr="00000000" w14:paraId="00000069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Материально-вещественный канал</w:t>
      </w:r>
    </w:p>
    <w:p w:rsidR="00000000" w:rsidDel="00000000" w:rsidP="00000000" w:rsidRDefault="00000000" w:rsidRPr="00000000" w14:paraId="0000006A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В этом случае утечка происходит через несанкционированный вынос физических носителей: распечаток, черновиков, копировальной бумаги, флеш-накопителей и других устройств хранения. Несмотря на то, что канал часто относят к организационной сфере, он напрямую связан с техническими носителями и остаётся одной из самых распространённых причин компрометации информации.</w:t>
      </w:r>
    </w:p>
    <w:p w:rsidR="00000000" w:rsidDel="00000000" w:rsidP="00000000" w:rsidRDefault="00000000" w:rsidRPr="00000000" w14:paraId="0000006B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Основные меры: учёт и хранение носителей, уничтожение документов, контроль печати и копирования, ограничения на использование портативных накопителей и режим доступа.</w:t>
      </w:r>
    </w:p>
    <w:p w:rsidR="00000000" w:rsidDel="00000000" w:rsidP="00000000" w:rsidRDefault="00000000" w:rsidRPr="00000000" w14:paraId="0000006C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 xml:space="preserve">Дополнительные каналы и сопутствующие угрозы</w:t>
      </w:r>
    </w:p>
    <w:p w:rsidR="00000000" w:rsidDel="00000000" w:rsidP="00000000" w:rsidRDefault="00000000" w:rsidRPr="00000000" w14:paraId="0000006D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Помимо перечисленных, выделяют оптико-электронные ТКУИ, при которых перехват акустической информации возможен, например, за счёт лазерного зондирования вибраций оконных стёкол.</w:t>
      </w:r>
    </w:p>
    <w:p w:rsidR="00000000" w:rsidDel="00000000" w:rsidP="00000000" w:rsidRDefault="00000000" w:rsidRPr="00000000" w14:paraId="0000006E">
      <w:pPr>
        <w:tabs>
          <w:tab w:val="left" w:leader="none" w:pos="880"/>
          <w:tab w:val="right" w:leader="none" w:pos="9345"/>
        </w:tabs>
        <w:rPr/>
      </w:pPr>
      <w:r w:rsidDel="00000000" w:rsidR="00000000" w:rsidRPr="00000000">
        <w:rPr>
          <w:rtl w:val="0"/>
        </w:rPr>
        <w:tab/>
        <w:t xml:space="preserve">Отдельно следует учитывать угрозу проникновения злоумышленника на охраняемую территорию. Даже при наличии технических мер защиты риск существенно возрастает, если нарушитель получает физический доступ к помещениям, кабельным трассам или оборудованию. Поэтому анализ ТКУИ логично дополняется рассмотрением систем контроля и управления доступом как обязательной части инженерно-технической защиты объекта.</w:t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Методы статического анализа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7"/>
        </w:numPr>
        <w:spacing w:line="240" w:lineRule="auto"/>
        <w:ind w:left="709" w:firstLine="0"/>
        <w:rPr>
          <w:sz w:val="26"/>
          <w:szCs w:val="26"/>
        </w:rPr>
      </w:pPr>
      <w:bookmarkStart w:colFirst="0" w:colLast="0" w:name="_heading=h.m6pua6spo51h" w:id="3"/>
      <w:bookmarkEnd w:id="3"/>
      <w:r w:rsidDel="00000000" w:rsidR="00000000" w:rsidRPr="00000000">
        <w:rPr>
          <w:sz w:val="26"/>
          <w:szCs w:val="26"/>
          <w:rtl w:val="0"/>
        </w:rPr>
        <w:t xml:space="preserve">Руководящие документы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Основными документами в области защиты информации являются: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tabs>
          <w:tab w:val="left" w:leader="none" w:pos="1288"/>
        </w:tabs>
        <w:ind w:left="720" w:hanging="360"/>
      </w:pPr>
      <w:r w:rsidDel="00000000" w:rsidR="00000000" w:rsidRPr="00000000">
        <w:rPr>
          <w:rtl w:val="0"/>
        </w:rPr>
        <w:t xml:space="preserve">Приказ ФСТЭК России от 18 февраля 2013 г. N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tabs>
          <w:tab w:val="left" w:leader="none" w:pos="1287"/>
        </w:tabs>
        <w:ind w:left="720" w:hanging="360"/>
      </w:pPr>
      <w:r w:rsidDel="00000000" w:rsidR="00000000" w:rsidRPr="00000000">
        <w:rPr>
          <w:rtl w:val="0"/>
        </w:rPr>
        <w:t xml:space="preserve">Федеральный закон Российской Федерации от 27 июля 2006 г. N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tabs>
          <w:tab w:val="left" w:leader="none" w:pos="1288"/>
        </w:tabs>
        <w:ind w:left="720" w:hanging="360"/>
      </w:pPr>
      <w:r w:rsidDel="00000000" w:rsidR="00000000" w:rsidRPr="00000000">
        <w:rPr>
          <w:rtl w:val="0"/>
        </w:rPr>
        <w:t xml:space="preserve">Указ Президента РФ от 06.03.1997 N 188 (ред. от 13.07.2015) «Об утверждении Перечня сведений конфиденциального характера».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tabs>
          <w:tab w:val="left" w:leader="none" w:pos="1288"/>
        </w:tabs>
        <w:ind w:left="720" w:hanging="360"/>
      </w:pPr>
      <w:r w:rsidDel="00000000" w:rsidR="00000000" w:rsidRPr="00000000">
        <w:rPr>
          <w:rtl w:val="0"/>
        </w:rPr>
        <w:t xml:space="preserve">Указ Президента РФ от 05.12.2016 N 646 «Об утверждении Доктрины информационной безопасности Российской Федерации».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tabs>
          <w:tab w:val="left" w:leader="none" w:pos="1288"/>
        </w:tabs>
        <w:ind w:left="720" w:hanging="360"/>
      </w:pPr>
      <w:r w:rsidDel="00000000" w:rsidR="00000000" w:rsidRPr="00000000">
        <w:rPr>
          <w:rtl w:val="0"/>
        </w:rPr>
        <w:t xml:space="preserve">Руководящий документ «Концепция защиты средств вычислительной техники и автоматизированных систем от несанкционированного доступа к информации».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tabs>
          <w:tab w:val="left" w:leader="none" w:pos="1288"/>
        </w:tabs>
        <w:ind w:left="720" w:hanging="360"/>
      </w:pPr>
      <w:r w:rsidDel="00000000" w:rsidR="00000000" w:rsidRPr="00000000">
        <w:rPr>
          <w:rtl w:val="0"/>
        </w:rPr>
        <w:t xml:space="preserve">Постановление Правительства РФ от 26.06.1995 N 608 (ред. от 21.04.2010) «О сертификации средств защиты информации».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tabs>
          <w:tab w:val="left" w:leader="none" w:pos="1287"/>
        </w:tabs>
        <w:ind w:left="720" w:hanging="360"/>
      </w:pPr>
      <w:r w:rsidDel="00000000" w:rsidR="00000000" w:rsidRPr="00000000">
        <w:rPr>
          <w:rtl w:val="0"/>
        </w:rPr>
        <w:t xml:space="preserve">ФЗ от 27 июля 2006 г. № 152-ФЗ «О персональных данных».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tabs>
          <w:tab w:val="left" w:leader="none" w:pos="1288"/>
        </w:tabs>
        <w:ind w:left="720" w:hanging="360"/>
      </w:pPr>
      <w:r w:rsidDel="00000000" w:rsidR="00000000" w:rsidRPr="00000000">
        <w:rPr>
          <w:rtl w:val="0"/>
        </w:rPr>
        <w:t xml:space="preserve">Постановление Правительства РФ от 1 ноября 2012 г. № 1119 «Об утверждении требований к защите персональных данных при их обработке в информационных системах персональных данных»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tabs>
          <w:tab w:val="left" w:leader="none" w:pos="1287"/>
        </w:tabs>
        <w:ind w:left="720" w:hanging="360"/>
      </w:pPr>
      <w:r w:rsidDel="00000000" w:rsidR="00000000" w:rsidRPr="00000000">
        <w:rPr>
          <w:rtl w:val="0"/>
        </w:rPr>
        <w:t xml:space="preserve">Закон РФ «О государственной тайне» от 21.07.1993 N 5485-1.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tabs>
          <w:tab w:val="left" w:leader="none" w:pos="1288"/>
        </w:tabs>
        <w:ind w:left="720" w:hanging="360"/>
        <w:sectPr>
          <w:footerReference r:id="rId7" w:type="default"/>
          <w:pgSz w:h="16838" w:w="11906" w:orient="portrait"/>
          <w:pgMar w:bottom="1134" w:top="1134" w:left="1701" w:right="851" w:header="709" w:footer="4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Межведомственная комиссия по защите государственной тайны решение № 199 от 21.01.2011г. "О Типовых нормах и правилах проектирования помещений для хранения носителей сведений, составляющих государственную тайну, и работы сними".</w:t>
      </w:r>
    </w:p>
    <w:p w:rsidR="00000000" w:rsidDel="00000000" w:rsidP="00000000" w:rsidRDefault="00000000" w:rsidRPr="00000000" w14:paraId="0000007F">
      <w:pPr>
        <w:ind w:right="713.7401574803164"/>
        <w:rPr/>
      </w:pPr>
      <w:r w:rsidDel="00000000" w:rsidR="00000000" w:rsidRPr="00000000">
        <w:rPr>
          <w:rtl w:val="0"/>
        </w:rPr>
        <w:t xml:space="preserve">Нормативно-технические документы ФСТЭК России – нормативные правовые акты, организационно-распорядительные документы, нормативные и методические документы и подготовленные проекты документов по технической защите информации: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СТР Специальные требования и рекомендации по защите информации, составляющей государственную тайну, от утечки по техническим каналам.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временные методики сертификационных и аттестационных испытаний сетевых помехоподавляющих фильтров по требованиям безопасности информации.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временный порядок аттестации объектов информатизации по требованиям безопасности информации.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руководящий документ. Защита от несанкционированного доступа к информации. Термины и определения.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руководящий документ.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</w:pPr>
      <w:r w:rsidDel="00000000" w:rsidR="00000000" w:rsidRPr="00000000">
        <w:rPr>
          <w:rtl w:val="0"/>
        </w:rPr>
        <w:t xml:space="preserve">руководящий документ. 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tabs>
          <w:tab w:val="left" w:leader="none" w:pos="1288"/>
        </w:tabs>
        <w:ind w:left="720" w:right="713.7401574803164" w:hanging="360"/>
        <w:sectPr>
          <w:type w:val="nextPage"/>
          <w:pgSz w:h="16838" w:w="11906" w:orient="portrait"/>
          <w:pgMar w:bottom="1220" w:top="1080" w:left="1133" w:right="141" w:header="0" w:footer="920"/>
        </w:sectPr>
      </w:pPr>
      <w:r w:rsidDel="00000000" w:rsidR="00000000" w:rsidRPr="00000000">
        <w:rPr>
          <w:rtl w:val="0"/>
        </w:rPr>
        <w:t xml:space="preserve">руководящий документ. Временное положение по организации разработки,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numPr>
          <w:ilvl w:val="0"/>
          <w:numId w:val="7"/>
        </w:numPr>
        <w:spacing w:after="80" w:before="360" w:lineRule="auto"/>
        <w:ind w:right="5.669291338583093"/>
        <w:jc w:val="left"/>
      </w:pPr>
      <w:bookmarkStart w:colFirst="0" w:colLast="0" w:name="_heading=h.1u5s2wqk36mo" w:id="4"/>
      <w:bookmarkEnd w:id="4"/>
      <w:r w:rsidDel="00000000" w:rsidR="00000000" w:rsidRPr="00000000">
        <w:rPr>
          <w:rtl w:val="0"/>
        </w:rPr>
        <w:t xml:space="preserve">Анализ защищаемых помещений</w:t>
      </w:r>
    </w:p>
    <w:p w:rsidR="00000000" w:rsidDel="00000000" w:rsidP="00000000" w:rsidRDefault="00000000" w:rsidRPr="00000000" w14:paraId="00000088">
      <w:pPr>
        <w:tabs>
          <w:tab w:val="left" w:leader="none" w:pos="880"/>
          <w:tab w:val="right" w:leader="none" w:pos="9345"/>
        </w:tabs>
        <w:spacing w:line="312" w:lineRule="auto"/>
        <w:ind w:right="713.7401574803164" w:firstLine="0"/>
        <w:rPr/>
      </w:pPr>
      <w:r w:rsidDel="00000000" w:rsidR="00000000" w:rsidRPr="00000000">
        <w:rPr>
          <w:rtl w:val="0"/>
        </w:rPr>
        <w:tab/>
        <w:t xml:space="preserve">Перед тем как перейдем к проектированию технических средств защиты на объекте, сначала проведем анализ защищаемых помещений. Возьмем исходный план здания и составим легенду.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783166" cy="3017520"/>
            <wp:effectExtent b="0" l="0" r="0" t="0"/>
            <wp:docPr id="211484718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3166" cy="301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  <w:t xml:space="preserve">Рисунок 1 – План защищаемого помещения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Таблица 1. Условные обозначения и легенда плана защищаемого помещения</w:t>
      </w:r>
    </w:p>
    <w:tbl>
      <w:tblPr>
        <w:tblStyle w:val="Table2"/>
        <w:tblW w:w="8925.0" w:type="dxa"/>
        <w:jc w:val="left"/>
        <w:tblInd w:w="202.0000000000000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0"/>
        <w:gridCol w:w="4515"/>
        <w:tblGridChange w:id="0">
          <w:tblGrid>
            <w:gridCol w:w="4410"/>
            <w:gridCol w:w="4515"/>
          </w:tblGrid>
        </w:tblGridChange>
      </w:tblGrid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Обозначение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 продаж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Склад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бухгалтерии</w:t>
            </w:r>
          </w:p>
        </w:tc>
      </w:tr>
      <w:tr>
        <w:trPr>
          <w:cantSplit w:val="0"/>
          <w:trHeight w:val="284.1319039573567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инженеров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Переговорная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директора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Кабинет администраторов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Серверная</w:t>
            </w:r>
          </w:p>
        </w:tc>
      </w:tr>
      <w:tr>
        <w:trPr>
          <w:cantSplit w:val="0"/>
          <w:trHeight w:val="284.1319039573567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Кухня</w:t>
            </w:r>
          </w:p>
        </w:tc>
      </w:tr>
      <w:tr>
        <w:trPr>
          <w:cantSplit w:val="0"/>
          <w:trHeight w:val="275.1359514060752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Туалет</w:t>
            </w:r>
          </w:p>
        </w:tc>
      </w:tr>
      <w:tr>
        <w:trPr>
          <w:cantSplit w:val="0"/>
          <w:trHeight w:val="984.881558536396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92625" cy="400050"/>
                  <wp:effectExtent b="0" l="0" r="0" t="0"/>
                  <wp:docPr id="211484719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Персональный компьютер</w:t>
            </w:r>
          </w:p>
        </w:tc>
      </w:tr>
      <w:tr>
        <w:trPr>
          <w:cantSplit w:val="0"/>
          <w:trHeight w:val="880.2013833942128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2513"/>
              </w:tabs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78637" cy="328612"/>
                  <wp:effectExtent b="0" l="0" r="0" t="0"/>
                  <wp:docPr descr="Изображение выглядит как квадрат  Автоматически созданное описание" id="2114847193" name="image17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квадрат  Автоматически созданное описание"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37" cy="328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777875" cy="331470"/>
                      <wp:effectExtent b="0" l="0" r="0" t="0"/>
                      <wp:docPr id="211484718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953875" y="3611075"/>
                                <a:ext cx="777875" cy="331470"/>
                                <a:chOff x="4953875" y="3611075"/>
                                <a:chExt cx="784250" cy="3378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957063" y="3614265"/>
                                  <a:ext cx="777875" cy="331450"/>
                                  <a:chOff x="0" y="0"/>
                                  <a:chExt cx="777875" cy="3314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777875" cy="33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1587" y="1587"/>
                                    <a:ext cx="774700" cy="32829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28295" w="774700">
                                        <a:moveTo>
                                          <a:pt x="0" y="164211"/>
                                        </a:moveTo>
                                        <a:lnTo>
                                          <a:pt x="19753" y="112312"/>
                                        </a:lnTo>
                                        <a:lnTo>
                                          <a:pt x="74753" y="67235"/>
                                        </a:lnTo>
                                        <a:lnTo>
                                          <a:pt x="113474" y="48101"/>
                                        </a:lnTo>
                                        <a:lnTo>
                                          <a:pt x="158611" y="31687"/>
                                        </a:lnTo>
                                        <a:lnTo>
                                          <a:pt x="209366" y="18331"/>
                                        </a:lnTo>
                                        <a:lnTo>
                                          <a:pt x="264940" y="8372"/>
                                        </a:lnTo>
                                        <a:lnTo>
                                          <a:pt x="324534" y="2149"/>
                                        </a:lnTo>
                                        <a:lnTo>
                                          <a:pt x="387350" y="0"/>
                                        </a:lnTo>
                                        <a:lnTo>
                                          <a:pt x="450165" y="2149"/>
                                        </a:lnTo>
                                        <a:lnTo>
                                          <a:pt x="509759" y="8372"/>
                                        </a:lnTo>
                                        <a:lnTo>
                                          <a:pt x="565333" y="18331"/>
                                        </a:lnTo>
                                        <a:lnTo>
                                          <a:pt x="616088" y="31687"/>
                                        </a:lnTo>
                                        <a:lnTo>
                                          <a:pt x="661225" y="48101"/>
                                        </a:lnTo>
                                        <a:lnTo>
                                          <a:pt x="699946" y="67235"/>
                                        </a:lnTo>
                                        <a:lnTo>
                                          <a:pt x="731453" y="88752"/>
                                        </a:lnTo>
                                        <a:lnTo>
                                          <a:pt x="769628" y="137578"/>
                                        </a:lnTo>
                                        <a:lnTo>
                                          <a:pt x="774700" y="164211"/>
                                        </a:lnTo>
                                        <a:lnTo>
                                          <a:pt x="769628" y="190840"/>
                                        </a:lnTo>
                                        <a:lnTo>
                                          <a:pt x="731453" y="239642"/>
                                        </a:lnTo>
                                        <a:lnTo>
                                          <a:pt x="699946" y="261141"/>
                                        </a:lnTo>
                                        <a:lnTo>
                                          <a:pt x="661225" y="280257"/>
                                        </a:lnTo>
                                        <a:lnTo>
                                          <a:pt x="616088" y="296652"/>
                                        </a:lnTo>
                                        <a:lnTo>
                                          <a:pt x="565333" y="309990"/>
                                        </a:lnTo>
                                        <a:lnTo>
                                          <a:pt x="509759" y="319935"/>
                                        </a:lnTo>
                                        <a:lnTo>
                                          <a:pt x="450165" y="326148"/>
                                        </a:lnTo>
                                        <a:lnTo>
                                          <a:pt x="387350" y="328295"/>
                                        </a:lnTo>
                                        <a:lnTo>
                                          <a:pt x="324534" y="326148"/>
                                        </a:lnTo>
                                        <a:lnTo>
                                          <a:pt x="264940" y="319935"/>
                                        </a:lnTo>
                                        <a:lnTo>
                                          <a:pt x="209366" y="309990"/>
                                        </a:lnTo>
                                        <a:lnTo>
                                          <a:pt x="158611" y="296652"/>
                                        </a:lnTo>
                                        <a:lnTo>
                                          <a:pt x="113474" y="280257"/>
                                        </a:lnTo>
                                        <a:lnTo>
                                          <a:pt x="74753" y="261141"/>
                                        </a:lnTo>
                                        <a:lnTo>
                                          <a:pt x="43246" y="239642"/>
                                        </a:lnTo>
                                        <a:lnTo>
                                          <a:pt x="5071" y="190840"/>
                                        </a:lnTo>
                                        <a:lnTo>
                                          <a:pt x="0" y="1642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777875" cy="331470"/>
                      <wp:effectExtent b="0" l="0" r="0" t="0"/>
                      <wp:docPr id="2114847180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77875" cy="3314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Стол</w:t>
            </w:r>
          </w:p>
        </w:tc>
      </w:tr>
      <w:tr>
        <w:trPr>
          <w:cantSplit w:val="0"/>
          <w:trHeight w:val="820.384140455821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36399" cy="300037"/>
                  <wp:effectExtent b="0" l="0" r="0" t="0"/>
                  <wp:docPr id="211484719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99" cy="30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Раковина</w:t>
            </w:r>
          </w:p>
        </w:tc>
      </w:tr>
      <w:tr>
        <w:trPr>
          <w:cantSplit w:val="0"/>
          <w:trHeight w:val="1044.6988014747876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0505" cy="438912"/>
                  <wp:effectExtent b="0" l="0" r="0" t="0"/>
                  <wp:docPr id="211484719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438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Сервера</w:t>
            </w:r>
          </w:p>
        </w:tc>
      </w:tr>
    </w:tbl>
    <w:p w:rsidR="00000000" w:rsidDel="00000000" w:rsidP="00000000" w:rsidRDefault="00000000" w:rsidRPr="00000000" w14:paraId="000000B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Ind w:w="4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9"/>
        <w:gridCol w:w="4672"/>
        <w:tblGridChange w:id="0">
          <w:tblGrid>
            <w:gridCol w:w="4679"/>
            <w:gridCol w:w="4672"/>
          </w:tblGrid>
        </w:tblGridChange>
      </w:tblGrid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88087" cy="395287"/>
                  <wp:effectExtent b="0" l="0" r="0" t="0"/>
                  <wp:docPr descr="Изображение выглядит как текст  Автоматически созданное описание" id="2114847186" name="image16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текст  Автоматически созданное описание"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87" cy="395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Терминал сервера</w:t>
            </w:r>
          </w:p>
        </w:tc>
      </w:tr>
      <w:tr>
        <w:trPr>
          <w:cantSplit w:val="0"/>
          <w:trHeight w:val="774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57381" cy="300037"/>
                  <wp:effectExtent b="0" l="0" r="0" t="0"/>
                  <wp:docPr id="211484719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381" cy="300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Книжный стеллаж</w:t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80597" cy="109537"/>
                  <wp:effectExtent b="0" l="0" r="0" t="0"/>
                  <wp:docPr id="211484718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597" cy="109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Телевизор</w:t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76267" cy="252412"/>
                  <wp:effectExtent b="0" l="0" r="0" t="0"/>
                  <wp:docPr id="211484718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7" cy="252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Стулья</w:t>
            </w:r>
          </w:p>
        </w:tc>
      </w:tr>
      <w:tr>
        <w:trPr>
          <w:cantSplit w:val="0"/>
          <w:trHeight w:val="618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32319" cy="295275"/>
                  <wp:effectExtent b="0" l="0" r="0" t="0"/>
                  <wp:docPr descr="Изображение выглядит как текст, колесо, коллекция картинок  Автоматически созданное описание" id="2114847196" name="image5.png"/>
                  <a:graphic>
                    <a:graphicData uri="http://schemas.openxmlformats.org/drawingml/2006/picture">
                      <pic:pic>
                        <pic:nvPicPr>
                          <pic:cNvPr descr="Изображение выглядит как текст, колесо, коллекция картинок  Автоматически созданное описание"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19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Растение</w:t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20042" cy="397764"/>
                  <wp:effectExtent b="0" l="0" r="0" t="0"/>
                  <wp:docPr id="211484718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2" cy="397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</w:tr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93574" cy="434340"/>
                  <wp:effectExtent b="0" l="0" r="0" t="0"/>
                  <wp:docPr id="211484718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74" cy="434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Принтер</w:t>
            </w:r>
          </w:p>
        </w:tc>
      </w:tr>
      <w:tr>
        <w:trPr>
          <w:cantSplit w:val="0"/>
          <w:trHeight w:val="1043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88224" cy="519112"/>
                  <wp:effectExtent b="0" l="0" r="0" t="0"/>
                  <wp:docPr id="211484719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24" cy="519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Шкаф для вещей</w:t>
            </w:r>
          </w:p>
        </w:tc>
      </w:tr>
      <w:tr>
        <w:trPr>
          <w:cantSplit w:val="0"/>
          <w:trHeight w:val="1156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04930" cy="484631"/>
                  <wp:effectExtent b="0" l="0" r="0" t="0"/>
                  <wp:docPr id="211484718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930" cy="4846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Диван</w:t>
            </w:r>
          </w:p>
        </w:tc>
      </w:tr>
      <w:tr>
        <w:trPr>
          <w:cantSplit w:val="0"/>
          <w:trHeight w:val="974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88632" cy="410241"/>
                  <wp:effectExtent b="0" l="0" r="0" t="0"/>
                  <wp:docPr id="211484718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32" cy="4102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Туалет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171450"/>
                  <wp:effectExtent b="0" l="0" r="0" t="0"/>
                  <wp:docPr id="211484718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Окно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Информационные потоки: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Теперь необходимо изучить все открытые и закрытые информационные потоки, которые фигурируют в данной организации, на предприятии ООО «ЧВД». Данная компания занимается продажей и ремонтом электронной техники (Ноутбуки, смартфоны, планшеты, смарт-часы, наушники и т.д.). Организация имеет вторую степень секретности информации (гриф «совершенно секретно»).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В соответствии с классификацией «совершенно секретно» к сведениям особой важности следует относить сведения в области военной, внешнеполитической, экономической, научно-технической, разведывательной, контрразведывательной и оперативно-розыскной деятельности, распространение которых может нанести ущерб интересам Российской Федерации.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Закрытые информационные потоки: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Взаимодействие с отделом бухгалтерией, системными администраторами, программистами, банковская информация, клиентская информация.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Открытые информационные потоки: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Взаимодействие с Федеральной Налоговой Службой, сертификация изделий, поставщики компонентов.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Перечень защищаемых информационных активов: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персональные данные сотрудников;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персональные данные клиентов;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конфиденциальная информация, содержащая коммерческую тайну;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tabs>
          <w:tab w:val="left" w:leader="none" w:pos="1134"/>
        </w:tabs>
        <w:ind w:left="720" w:hanging="360"/>
      </w:pPr>
      <w:r w:rsidDel="00000000" w:rsidR="00000000" w:rsidRPr="00000000">
        <w:rPr>
          <w:rtl w:val="0"/>
        </w:rPr>
        <w:t xml:space="preserve">программного обеспечения.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На рисунке 2 представлен план защищаемого помещения: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89557</wp:posOffset>
            </wp:positionV>
            <wp:extent cx="6177936" cy="2705862"/>
            <wp:effectExtent b="0" l="0" r="0" t="0"/>
            <wp:wrapSquare wrapText="bothSides" distB="0" distT="0" distL="0" distR="0"/>
            <wp:docPr id="21148471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936" cy="2705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jc w:val="center"/>
        <w:rPr/>
        <w:sectPr>
          <w:type w:val="continuous"/>
          <w:pgSz w:h="16838" w:w="11906" w:orient="portrait"/>
          <w:pgMar w:bottom="1134" w:top="1134" w:left="1701" w:right="851" w:header="709" w:footer="420"/>
        </w:sectPr>
      </w:pPr>
      <w:r w:rsidDel="00000000" w:rsidR="00000000" w:rsidRPr="00000000">
        <w:rPr>
          <w:rtl w:val="0"/>
        </w:rPr>
        <w:t xml:space="preserve">Рисунок 2 – Информационные потоки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numPr>
          <w:ilvl w:val="1"/>
          <w:numId w:val="7"/>
        </w:numPr>
        <w:spacing w:after="80" w:before="360" w:lineRule="auto"/>
        <w:ind w:right="430.2755905511822"/>
        <w:jc w:val="left"/>
      </w:pPr>
      <w:bookmarkStart w:colFirst="0" w:colLast="0" w:name="_heading=h.daotpuqj9oo" w:id="5"/>
      <w:bookmarkEnd w:id="5"/>
      <w:r w:rsidDel="00000000" w:rsidR="00000000" w:rsidRPr="00000000">
        <w:rPr>
          <w:rtl w:val="0"/>
        </w:rPr>
        <w:t xml:space="preserve">Описание помещений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709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numPr>
          <w:ilvl w:val="0"/>
          <w:numId w:val="7"/>
        </w:numPr>
        <w:spacing w:line="240" w:lineRule="auto"/>
        <w:ind w:left="709" w:firstLine="0"/>
        <w:rPr>
          <w:color w:val="000000"/>
          <w:sz w:val="26"/>
          <w:szCs w:val="26"/>
        </w:rPr>
      </w:pPr>
      <w:bookmarkStart w:colFirst="0" w:colLast="0" w:name="_heading=h.1g2vx3wnnaa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6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p0u26rxy6eg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EB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6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ja45rdk94a4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809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701" w:right="851" w:header="709" w:footer="4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8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0"/>
      <w:spacing w:after="240" w:before="240" w:lineRule="auto"/>
      <w:ind w:left="709" w:right="0" w:firstLine="0"/>
      <w:jc w:val="center"/>
    </w:pPr>
    <w:rPr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80" w:before="360" w:lineRule="auto"/>
      <w:ind w:left="709" w:right="5.669291338583093"/>
      <w:jc w:val="left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 w:val="1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b" w:customStyle="1">
    <w:name w:val="Рисунок"/>
    <w:next w:val="a9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9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c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Heading1"/>
    <w:link w:val="12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2" w:customStyle="1">
    <w:name w:val="#Заголовок 1 Знак"/>
    <w:basedOn w:val="DefaultParagraphFont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d" w:customStyle="1">
    <w:name w:val="ВЗИ"/>
    <w:basedOn w:val="Heading1"/>
    <w:next w:val="Normal"/>
    <w:link w:val="ae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" w:customStyle="1">
    <w:name w:val="Содержание"/>
    <w:basedOn w:val="ad"/>
    <w:link w:val="af0"/>
    <w:uiPriority w:val="8"/>
    <w:qFormat w:val="1"/>
    <w:rsid w:val="000C7726"/>
  </w:style>
  <w:style w:type="character" w:styleId="ae" w:customStyle="1">
    <w:name w:val="ВЗИ Знак"/>
    <w:basedOn w:val="Heading1Char"/>
    <w:link w:val="ad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0" w:customStyle="1">
    <w:name w:val="Содержание Знак"/>
    <w:basedOn w:val="ae"/>
    <w:link w:val="af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3" w:customStyle="1">
    <w:name w:val="Название таблицы"/>
    <w:next w:val="af1"/>
    <w:link w:val="af2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2" w:customStyle="1">
    <w:name w:val="Название таблицы Знак"/>
    <w:basedOn w:val="DefaultParagraphFont"/>
    <w:link w:val="a3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3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1" w:customStyle="1">
    <w:name w:val="Таблица"/>
    <w:basedOn w:val="Normal"/>
    <w:next w:val="Normal"/>
    <w:link w:val="af4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3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4" w:customStyle="1">
    <w:name w:val="Таблица Знак"/>
    <w:basedOn w:val="DefaultParagraphFont"/>
    <w:link w:val="af1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c"/>
    <w:link w:val="af5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5" w:customStyle="1">
    <w:name w:val="Приложение"/>
    <w:basedOn w:val="ad"/>
    <w:next w:val="Normal"/>
    <w:link w:val="af6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5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6" w:customStyle="1">
    <w:name w:val="Приложение Знак"/>
    <w:basedOn w:val="DefaultParagraphFont"/>
    <w:link w:val="a5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8" w:customStyle="1">
    <w:name w:val="П. Название рисунка"/>
    <w:basedOn w:val="a9"/>
    <w:next w:val="Normal"/>
    <w:link w:val="af7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6" w:customStyle="1">
    <w:name w:val="П. Название Таблицы"/>
    <w:basedOn w:val="a3"/>
    <w:next w:val="af1"/>
    <w:link w:val="af8"/>
    <w:uiPriority w:val="11"/>
    <w:qFormat w:val="1"/>
    <w:rsid w:val="00413D10"/>
    <w:pPr>
      <w:numPr>
        <w:ilvl w:val="1"/>
        <w:numId w:val="10"/>
      </w:numPr>
    </w:pPr>
  </w:style>
  <w:style w:type="character" w:styleId="af7" w:customStyle="1">
    <w:name w:val="П. Название рисунка Знак"/>
    <w:basedOn w:val="DefaultParagraphFont"/>
    <w:link w:val="a8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7" w:customStyle="1">
    <w:name w:val="П. Название листинга"/>
    <w:basedOn w:val="a0"/>
    <w:next w:val="ac"/>
    <w:link w:val="af9"/>
    <w:uiPriority w:val="11"/>
    <w:qFormat w:val="1"/>
    <w:rsid w:val="00413D10"/>
    <w:pPr>
      <w:numPr>
        <w:ilvl w:val="2"/>
        <w:numId w:val="10"/>
      </w:numPr>
    </w:pPr>
  </w:style>
  <w:style w:type="character" w:styleId="af8" w:customStyle="1">
    <w:name w:val="П. Название Таблицы Знак"/>
    <w:basedOn w:val="af2"/>
    <w:link w:val="a6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9" w:customStyle="1">
    <w:name w:val="П. Название листинга Знак"/>
    <w:basedOn w:val="af8"/>
    <w:link w:val="a7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TableParagraph" w:customStyle="1">
    <w:name w:val="Table Paragraph"/>
    <w:basedOn w:val="Normal"/>
    <w:uiPriority w:val="1"/>
    <w:qFormat w:val="1"/>
    <w:rsid w:val="009957AD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paragraph" w:styleId="no-indent" w:customStyle="1">
    <w:name w:val="no-indent"/>
    <w:basedOn w:val="Normal"/>
    <w:rsid w:val="007422C7"/>
    <w:pPr>
      <w:spacing w:after="100" w:afterAutospacing="1" w:before="100" w:beforeAutospacing="1" w:line="240" w:lineRule="auto"/>
      <w:ind w:firstLine="0"/>
      <w:jc w:val="left"/>
    </w:pPr>
  </w:style>
  <w:style w:type="character" w:styleId="fontstyle01" w:customStyle="1">
    <w:name w:val="fontstyle01"/>
    <w:basedOn w:val="DefaultParagraphFont"/>
    <w:rsid w:val="0090243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rsid w:val="000867D1"/>
    <w:rPr>
      <w:rFonts w:ascii="Times New Roman" w:cs="Times New Roman" w:hAnsi="Times New Roman" w:eastAsiaTheme="majorEastAsia"/>
      <w:b w:val="1"/>
      <w:iCs w:val="1"/>
      <w:spacing w:val="15"/>
      <w:sz w:val="28"/>
      <w:szCs w:val="28"/>
      <w:lang w:eastAsia="ru-RU"/>
    </w:rPr>
  </w:style>
  <w:style w:type="paragraph" w:styleId="afa" w:customStyle="1">
    <w:name w:val="Абзац Текст"/>
    <w:basedOn w:val="BodyText"/>
    <w:qFormat w:val="1"/>
    <w:rsid w:val="000867D1"/>
    <w:pPr>
      <w:widowControl w:val="1"/>
    </w:pPr>
    <w:rPr>
      <w:color w:val="auto"/>
      <w:sz w:val="28"/>
      <w:lang w:val="ru-RU"/>
    </w:rPr>
  </w:style>
  <w:style w:type="paragraph" w:styleId="ListNumber">
    <w:name w:val="List Number"/>
    <w:basedOn w:val="Normal"/>
    <w:uiPriority w:val="99"/>
    <w:unhideWhenUsed w:val="1"/>
    <w:rsid w:val="000867D1"/>
    <w:pPr>
      <w:numPr>
        <w:numId w:val="17"/>
      </w:numPr>
      <w:contextualSpacing w:val="1"/>
    </w:pPr>
    <w:rPr>
      <w:sz w:val="28"/>
    </w:rPr>
  </w:style>
  <w:style w:type="character" w:styleId="13" w:customStyle="1">
    <w:name w:val="Неразрешенное упоминание1"/>
    <w:basedOn w:val="DefaultParagraphFont"/>
    <w:uiPriority w:val="99"/>
    <w:semiHidden w:val="1"/>
    <w:unhideWhenUsed w:val="1"/>
    <w:rsid w:val="000867D1"/>
    <w:rPr>
      <w:color w:val="605e5c"/>
      <w:shd w:color="auto" w:fill="e1dfdd" w:val="clear"/>
    </w:rPr>
  </w:style>
  <w:style w:type="paragraph" w:styleId="afb" w:customStyle="1">
    <w:name w:val="з_ВЗИ"/>
    <w:basedOn w:val="Heading1"/>
    <w:next w:val="afa"/>
    <w:link w:val="afc"/>
    <w:uiPriority w:val="9"/>
    <w:qFormat w:val="1"/>
    <w:rsid w:val="000867D1"/>
    <w:pPr>
      <w:numPr>
        <w:numId w:val="0"/>
      </w:numPr>
      <w:spacing w:after="240" w:before="100" w:beforeAutospacing="1"/>
      <w:ind w:right="0"/>
      <w:jc w:val="center"/>
    </w:pPr>
    <w:rPr>
      <w:sz w:val="28"/>
    </w:rPr>
  </w:style>
  <w:style w:type="paragraph" w:styleId="afd" w:customStyle="1">
    <w:name w:val="з_Содержание"/>
    <w:basedOn w:val="afb"/>
    <w:next w:val="afa"/>
    <w:link w:val="afe"/>
    <w:uiPriority w:val="8"/>
    <w:qFormat w:val="1"/>
    <w:rsid w:val="000867D1"/>
    <w:pPr>
      <w:outlineLvl w:val="9"/>
    </w:pPr>
  </w:style>
  <w:style w:type="character" w:styleId="afc" w:customStyle="1">
    <w:name w:val="з_ВЗИ Знак"/>
    <w:basedOn w:val="Heading1Char"/>
    <w:link w:val="afb"/>
    <w:uiPriority w:val="9"/>
    <w:rsid w:val="000867D1"/>
    <w:rPr>
      <w:rFonts w:ascii="Times New Roman" w:hAnsi="Times New Roman" w:cstheme="majorBidi" w:eastAsiaTheme="majorEastAsia"/>
      <w:b w:val="1"/>
      <w:bCs w:val="1"/>
      <w:caps w:val="1"/>
      <w:sz w:val="28"/>
      <w:szCs w:val="28"/>
      <w:lang w:eastAsia="ru-RU"/>
    </w:rPr>
  </w:style>
  <w:style w:type="character" w:styleId="afe" w:customStyle="1">
    <w:name w:val="з_Содержание Знак"/>
    <w:basedOn w:val="afc"/>
    <w:link w:val="afd"/>
    <w:uiPriority w:val="8"/>
    <w:rsid w:val="000867D1"/>
    <w:rPr>
      <w:rFonts w:ascii="Times New Roman" w:hAnsi="Times New Roman" w:cstheme="majorBidi" w:eastAsiaTheme="majorEastAsia"/>
      <w:b w:val="1"/>
      <w:bCs w:val="1"/>
      <w:caps w:val="1"/>
      <w:sz w:val="28"/>
      <w:szCs w:val="28"/>
      <w:lang w:eastAsia="ru-RU"/>
    </w:rPr>
  </w:style>
  <w:style w:type="paragraph" w:styleId="ListBullet">
    <w:name w:val="List Bullet"/>
    <w:basedOn w:val="Normal"/>
    <w:uiPriority w:val="99"/>
    <w:unhideWhenUsed w:val="1"/>
    <w:rsid w:val="000867D1"/>
    <w:pPr>
      <w:numPr>
        <w:numId w:val="22"/>
      </w:numPr>
      <w:contextualSpacing w:val="1"/>
    </w:pPr>
    <w:rPr>
      <w:sz w:val="28"/>
    </w:rPr>
  </w:style>
  <w:style w:type="paragraph" w:styleId="14" w:customStyle="1">
    <w:name w:val="Таблица 14"/>
    <w:basedOn w:val="Normal"/>
    <w:link w:val="140"/>
    <w:uiPriority w:val="5"/>
    <w:qFormat w:val="1"/>
    <w:rsid w:val="000867D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  <w:sz w:val="28"/>
    </w:rPr>
  </w:style>
  <w:style w:type="paragraph" w:styleId="ListBullet2">
    <w:name w:val="List Bullet 2"/>
    <w:basedOn w:val="Normal"/>
    <w:uiPriority w:val="99"/>
    <w:unhideWhenUsed w:val="1"/>
    <w:rsid w:val="000867D1"/>
    <w:pPr>
      <w:numPr>
        <w:numId w:val="23"/>
      </w:numPr>
      <w:contextualSpacing w:val="1"/>
    </w:pPr>
    <w:rPr>
      <w:sz w:val="28"/>
    </w:rPr>
  </w:style>
  <w:style w:type="character" w:styleId="140" w:customStyle="1">
    <w:name w:val="Таблица 14 Знак"/>
    <w:basedOn w:val="DefaultParagraphFont"/>
    <w:link w:val="14"/>
    <w:uiPriority w:val="5"/>
    <w:rsid w:val="000867D1"/>
    <w:rPr>
      <w:rFonts w:ascii="Times New Roman" w:cs="Times New Roman" w:eastAsia="Times New Roman" w:hAnsi="Times New Roman"/>
      <w:color w:val="000000"/>
      <w:sz w:val="28"/>
      <w:szCs w:val="24"/>
      <w:lang w:eastAsia="ru-RU"/>
    </w:rPr>
  </w:style>
  <w:style w:type="paragraph" w:styleId="aff" w:customStyle="1">
    <w:name w:val="з_Приложение"/>
    <w:basedOn w:val="afb"/>
    <w:next w:val="BodyText"/>
    <w:link w:val="aff0"/>
    <w:uiPriority w:val="10"/>
    <w:qFormat w:val="1"/>
    <w:rsid w:val="000867D1"/>
    <w:rPr>
      <w:caps w:val="0"/>
      <w:lang w:eastAsia="en-US"/>
    </w:rPr>
  </w:style>
  <w:style w:type="character" w:styleId="aff0" w:customStyle="1">
    <w:name w:val="з_Приложение Знак"/>
    <w:basedOn w:val="DefaultParagraphFont"/>
    <w:link w:val="aff"/>
    <w:uiPriority w:val="10"/>
    <w:rsid w:val="000867D1"/>
    <w:rPr>
      <w:rFonts w:ascii="Times New Roman" w:hAnsi="Times New Roman" w:cstheme="majorBidi" w:eastAsiaTheme="majorEastAsia"/>
      <w:b w:val="1"/>
      <w:bCs w:val="1"/>
      <w:sz w:val="28"/>
      <w:szCs w:val="28"/>
    </w:rPr>
  </w:style>
  <w:style w:type="paragraph" w:styleId="aff1" w:customStyle="1">
    <w:name w:val="Продолжение таблицы"/>
    <w:basedOn w:val="a3"/>
    <w:next w:val="14"/>
    <w:qFormat w:val="1"/>
    <w:rsid w:val="000867D1"/>
    <w:pPr>
      <w:keepNext w:val="1"/>
      <w:numPr>
        <w:numId w:val="0"/>
      </w:numPr>
      <w:spacing w:after="240" w:line="240" w:lineRule="auto"/>
      <w:contextualSpacing w:val="1"/>
      <w:jc w:val="right"/>
    </w:pPr>
    <w:rPr>
      <w:color w:val="auto"/>
      <w:sz w:val="28"/>
    </w:rPr>
  </w:style>
  <w:style w:type="paragraph" w:styleId="aff2" w:customStyle="1">
    <w:name w:val="Колонт_ниж"/>
    <w:rsid w:val="000867D1"/>
    <w:pPr>
      <w:widowControl w:val="0"/>
      <w:spacing w:after="0" w:line="240" w:lineRule="auto"/>
      <w:jc w:val="center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Caption">
    <w:name w:val="caption"/>
    <w:basedOn w:val="Normal"/>
    <w:next w:val="BodyText"/>
    <w:uiPriority w:val="35"/>
    <w:unhideWhenUsed w:val="1"/>
    <w:rsid w:val="000867D1"/>
    <w:pPr>
      <w:spacing w:after="100" w:afterAutospacing="1" w:line="240" w:lineRule="auto"/>
      <w:ind w:firstLine="0"/>
      <w:contextualSpacing w:val="1"/>
    </w:pPr>
    <w:rPr>
      <w:iCs w:val="1"/>
      <w:sz w:val="28"/>
      <w:szCs w:val="18"/>
    </w:rPr>
  </w:style>
  <w:style w:type="numbering" w:styleId="g" w:customStyle="1">
    <w:name w:val="g_заголовки"/>
    <w:basedOn w:val="NoList"/>
    <w:uiPriority w:val="99"/>
    <w:rsid w:val="000867D1"/>
    <w:pPr>
      <w:numPr>
        <w:numId w:val="16"/>
      </w:numPr>
    </w:pPr>
  </w:style>
  <w:style w:type="paragraph" w:styleId="aff3" w:customStyle="1">
    <w:name w:val="з_Подраздел"/>
    <w:basedOn w:val="Normal"/>
    <w:next w:val="afa"/>
    <w:qFormat w:val="1"/>
    <w:rsid w:val="000867D1"/>
    <w:pPr>
      <w:keepNext w:val="1"/>
      <w:spacing w:after="240" w:before="100" w:beforeAutospacing="1"/>
      <w:ind w:left="709" w:firstLine="0"/>
      <w:outlineLvl w:val="1"/>
    </w:pPr>
    <w:rPr>
      <w:b w:val="1"/>
      <w:bCs w:val="1"/>
      <w:sz w:val="28"/>
    </w:rPr>
  </w:style>
  <w:style w:type="paragraph" w:styleId="aff4" w:customStyle="1">
    <w:name w:val="з_Пункт"/>
    <w:basedOn w:val="Normal"/>
    <w:next w:val="afa"/>
    <w:qFormat w:val="1"/>
    <w:rsid w:val="000867D1"/>
    <w:pPr>
      <w:keepNext w:val="1"/>
      <w:spacing w:after="240" w:before="100" w:beforeAutospacing="1"/>
      <w:ind w:left="709" w:firstLine="0"/>
      <w:outlineLvl w:val="2"/>
    </w:pPr>
    <w:rPr>
      <w:sz w:val="28"/>
    </w:rPr>
  </w:style>
  <w:style w:type="paragraph" w:styleId="aff5" w:customStyle="1">
    <w:name w:val="з_ПодПункт"/>
    <w:basedOn w:val="Normal"/>
    <w:next w:val="afa"/>
    <w:qFormat w:val="1"/>
    <w:rsid w:val="000867D1"/>
    <w:pPr>
      <w:keepNext w:val="1"/>
      <w:spacing w:after="240" w:before="100" w:beforeAutospacing="1"/>
      <w:ind w:left="709" w:firstLine="0"/>
      <w:outlineLvl w:val="3"/>
    </w:pPr>
    <w:rPr>
      <w:sz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7D1"/>
    <w:rPr>
      <w:rFonts w:asciiTheme="majorHAnsi" w:cstheme="majorBidi" w:eastAsiaTheme="majorEastAsia" w:hAnsiTheme="majorHAnsi"/>
      <w:i w:val="1"/>
      <w:iCs w:val="1"/>
      <w:spacing w:val="15"/>
      <w:sz w:val="28"/>
      <w:szCs w:val="28"/>
      <w:lang w:eastAsia="ru-RU"/>
    </w:rPr>
  </w:style>
  <w:style w:type="paragraph" w:styleId="ListNumber2">
    <w:name w:val="List Number 2"/>
    <w:basedOn w:val="Normal"/>
    <w:uiPriority w:val="99"/>
    <w:unhideWhenUsed w:val="1"/>
    <w:rsid w:val="000867D1"/>
    <w:pPr>
      <w:numPr>
        <w:numId w:val="18"/>
      </w:numPr>
      <w:contextualSpacing w:val="1"/>
    </w:pPr>
    <w:rPr>
      <w:sz w:val="28"/>
    </w:rPr>
  </w:style>
  <w:style w:type="paragraph" w:styleId="ListNumber3">
    <w:name w:val="List Number 3"/>
    <w:basedOn w:val="Normal"/>
    <w:uiPriority w:val="99"/>
    <w:unhideWhenUsed w:val="1"/>
    <w:rsid w:val="000867D1"/>
    <w:pPr>
      <w:numPr>
        <w:numId w:val="19"/>
      </w:numPr>
      <w:contextualSpacing w:val="1"/>
    </w:pPr>
    <w:rPr>
      <w:sz w:val="28"/>
    </w:rPr>
  </w:style>
  <w:style w:type="paragraph" w:styleId="ListNumber4">
    <w:name w:val="List Number 4"/>
    <w:basedOn w:val="Normal"/>
    <w:uiPriority w:val="99"/>
    <w:unhideWhenUsed w:val="1"/>
    <w:rsid w:val="000867D1"/>
    <w:pPr>
      <w:numPr>
        <w:numId w:val="20"/>
      </w:numPr>
      <w:contextualSpacing w:val="1"/>
    </w:pPr>
    <w:rPr>
      <w:sz w:val="28"/>
    </w:rPr>
  </w:style>
  <w:style w:type="paragraph" w:styleId="ListNumber5">
    <w:name w:val="List Number 5"/>
    <w:basedOn w:val="Normal"/>
    <w:uiPriority w:val="99"/>
    <w:unhideWhenUsed w:val="1"/>
    <w:rsid w:val="000867D1"/>
    <w:pPr>
      <w:numPr>
        <w:numId w:val="21"/>
      </w:numPr>
      <w:contextualSpacing w:val="1"/>
    </w:pPr>
    <w:rPr>
      <w:sz w:val="28"/>
    </w:rPr>
  </w:style>
  <w:style w:type="paragraph" w:styleId="ListBullet3">
    <w:name w:val="List Bullet 3"/>
    <w:basedOn w:val="Normal"/>
    <w:uiPriority w:val="99"/>
    <w:unhideWhenUsed w:val="1"/>
    <w:rsid w:val="000867D1"/>
    <w:pPr>
      <w:numPr>
        <w:numId w:val="24"/>
      </w:numPr>
      <w:contextualSpacing w:val="1"/>
    </w:pPr>
    <w:rPr>
      <w:sz w:val="28"/>
    </w:rPr>
  </w:style>
  <w:style w:type="paragraph" w:styleId="120" w:customStyle="1">
    <w:name w:val="Таблица 12"/>
    <w:basedOn w:val="14"/>
    <w:qFormat w:val="1"/>
    <w:rsid w:val="000867D1"/>
    <w:rPr>
      <w:sz w:val="24"/>
    </w:rPr>
  </w:style>
  <w:style w:type="paragraph" w:styleId="aff6" w:customStyle="1">
    <w:name w:val="Функ Уравнение"/>
    <w:basedOn w:val="afa"/>
    <w:next w:val="afa"/>
    <w:qFormat w:val="1"/>
    <w:rsid w:val="000867D1"/>
    <w:pPr>
      <w:tabs>
        <w:tab w:val="left" w:pos="8647"/>
      </w:tabs>
      <w:spacing w:after="360" w:before="360"/>
      <w:ind w:firstLine="0"/>
    </w:pPr>
  </w:style>
  <w:style w:type="paragraph" w:styleId="a1" w:customStyle="1">
    <w:name w:val="Функ Номер"/>
    <w:basedOn w:val="aff6"/>
    <w:next w:val="afa"/>
    <w:link w:val="aff7"/>
    <w:qFormat w:val="1"/>
    <w:rsid w:val="000867D1"/>
    <w:pPr>
      <w:numPr>
        <w:numId w:val="25"/>
      </w:numPr>
      <w:tabs>
        <w:tab w:val="left" w:pos="142"/>
      </w:tabs>
      <w:ind w:left="0" w:firstLine="0"/>
      <w:jc w:val="right"/>
    </w:pPr>
  </w:style>
  <w:style w:type="paragraph" w:styleId="aff8" w:customStyle="1">
    <w:name w:val="Функ где"/>
    <w:basedOn w:val="Normal"/>
    <w:next w:val="afa"/>
    <w:qFormat w:val="1"/>
    <w:rsid w:val="000867D1"/>
    <w:pPr>
      <w:ind w:left="709" w:hanging="709"/>
    </w:pPr>
    <w:rPr>
      <w:sz w:val="28"/>
    </w:rPr>
  </w:style>
  <w:style w:type="character" w:styleId="aff7" w:customStyle="1">
    <w:name w:val="Функ Номер Знак"/>
    <w:basedOn w:val="DefaultParagraphFont"/>
    <w:link w:val="a1"/>
    <w:rsid w:val="000867D1"/>
    <w:rPr>
      <w:rFonts w:ascii="Times New Roman" w:cs="Times New Roman" w:eastAsia="Times New Roman" w:hAnsi="Times New Roman"/>
      <w:sz w:val="28"/>
      <w:szCs w:val="28"/>
    </w:rPr>
  </w:style>
  <w:style w:type="numbering" w:styleId="a4" w:customStyle="1">
    <w:name w:val="Многоур_список"/>
    <w:basedOn w:val="NoList"/>
    <w:uiPriority w:val="99"/>
    <w:rsid w:val="000867D1"/>
    <w:pPr>
      <w:numPr>
        <w:numId w:val="26"/>
      </w:numPr>
    </w:pPr>
  </w:style>
  <w:style w:type="paragraph" w:styleId="1" w:customStyle="1">
    <w:name w:val="Многоур 1 ур"/>
    <w:basedOn w:val="afa"/>
    <w:qFormat w:val="1"/>
    <w:rsid w:val="000867D1"/>
    <w:pPr>
      <w:numPr>
        <w:numId w:val="26"/>
      </w:numPr>
    </w:pPr>
    <w:rPr>
      <w:lang w:eastAsia="ru-RU"/>
    </w:rPr>
  </w:style>
  <w:style w:type="paragraph" w:styleId="2" w:customStyle="1">
    <w:name w:val="Многоур 2 ур"/>
    <w:basedOn w:val="afa"/>
    <w:qFormat w:val="1"/>
    <w:rsid w:val="000867D1"/>
    <w:pPr>
      <w:numPr>
        <w:ilvl w:val="1"/>
        <w:numId w:val="26"/>
      </w:numPr>
    </w:pPr>
    <w:rPr>
      <w:lang w:eastAsia="ru-RU"/>
    </w:rPr>
  </w:style>
  <w:style w:type="paragraph" w:styleId="3" w:customStyle="1">
    <w:name w:val="Многоур 3 ур"/>
    <w:basedOn w:val="afa"/>
    <w:rsid w:val="000867D1"/>
    <w:pPr>
      <w:numPr>
        <w:ilvl w:val="2"/>
        <w:numId w:val="26"/>
      </w:numPr>
    </w:pPr>
    <w:rPr>
      <w:lang w:eastAsia="ru-RU"/>
    </w:rPr>
  </w:style>
  <w:style w:type="paragraph" w:styleId="aa" w:customStyle="1">
    <w:name w:val="нум_а_список"/>
    <w:basedOn w:val="afa"/>
    <w:qFormat w:val="1"/>
    <w:rsid w:val="000867D1"/>
    <w:pPr>
      <w:numPr>
        <w:ilvl w:val="1"/>
        <w:numId w:val="27"/>
      </w:numPr>
      <w:tabs>
        <w:tab w:val="left" w:pos="1276"/>
      </w:tabs>
    </w:pPr>
  </w:style>
  <w:style w:type="paragraph" w:styleId="11" w:customStyle="1">
    <w:name w:val="нум_1_список"/>
    <w:basedOn w:val="afa"/>
    <w:qFormat w:val="1"/>
    <w:rsid w:val="000867D1"/>
    <w:pPr>
      <w:numPr>
        <w:numId w:val="28"/>
      </w:numPr>
      <w:tabs>
        <w:tab w:val="left" w:pos="1276"/>
      </w:tabs>
      <w:ind w:left="0" w:firstLine="709"/>
    </w:pPr>
  </w:style>
  <w:style w:type="paragraph" w:styleId="Default" w:customStyle="1">
    <w:name w:val="Default"/>
    <w:rsid w:val="000867D1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rsid w:val="000867D1"/>
    <w:pPr>
      <w:spacing w:after="160" w:before="200"/>
      <w:ind w:right="864"/>
      <w:jc w:val="left"/>
    </w:pPr>
    <w:rPr>
      <w:i w:val="1"/>
      <w:iCs w:val="1"/>
      <w:color w:val="404040" w:themeColor="text1" w:themeTint="0000BF"/>
      <w:sz w:val="28"/>
    </w:rPr>
  </w:style>
  <w:style w:type="character" w:styleId="QuoteChar" w:customStyle="1">
    <w:name w:val="Quote Char"/>
    <w:basedOn w:val="DefaultParagraphFont"/>
    <w:link w:val="Quote"/>
    <w:uiPriority w:val="29"/>
    <w:rsid w:val="000867D1"/>
    <w:rPr>
      <w:rFonts w:ascii="Times New Roman" w:cs="Times New Roman" w:eastAsia="Times New Roman" w:hAnsi="Times New Roman"/>
      <w:i w:val="1"/>
      <w:iCs w:val="1"/>
      <w:color w:val="404040" w:themeColor="text1" w:themeTint="0000BF"/>
      <w:sz w:val="28"/>
      <w:szCs w:val="24"/>
      <w:lang w:eastAsia="ru-RU"/>
    </w:rPr>
  </w:style>
  <w:style w:type="paragraph" w:styleId="a2" w:customStyle="1">
    <w:name w:val="Е_Нум. список"/>
    <w:link w:val="aff9"/>
    <w:qFormat w:val="1"/>
    <w:rsid w:val="000867D1"/>
    <w:pPr>
      <w:numPr>
        <w:numId w:val="33"/>
      </w:numPr>
      <w:spacing w:after="60" w:line="360" w:lineRule="auto"/>
      <w:contextualSpacing w:val="1"/>
    </w:pPr>
    <w:rPr>
      <w:rFonts w:ascii="Times New Roman" w:cs="Times New Roman" w:eastAsia="Calibri" w:hAnsi="Times New Roman"/>
      <w:sz w:val="28"/>
      <w:szCs w:val="20"/>
      <w:lang w:eastAsia="ar-SA"/>
    </w:rPr>
  </w:style>
  <w:style w:type="character" w:styleId="aff9" w:customStyle="1">
    <w:name w:val="Е_Нум. список Знак"/>
    <w:basedOn w:val="DefaultParagraphFont"/>
    <w:link w:val="a2"/>
    <w:rsid w:val="000867D1"/>
    <w:rPr>
      <w:rFonts w:ascii="Times New Roman" w:cs="Times New Roman" w:eastAsia="Calibri" w:hAnsi="Times New Roman"/>
      <w:sz w:val="28"/>
      <w:szCs w:val="20"/>
      <w:lang w:eastAsia="ar-SA"/>
    </w:rPr>
  </w:style>
  <w:style w:type="numbering" w:styleId="nenum" w:customStyle="1">
    <w:name w:val="n_enum"/>
    <w:basedOn w:val="NoList"/>
    <w:uiPriority w:val="99"/>
    <w:rsid w:val="000867D1"/>
    <w:pPr>
      <w:numPr>
        <w:numId w:val="32"/>
      </w:numPr>
    </w:pPr>
  </w:style>
  <w:style w:type="paragraph" w:styleId="Subtitle">
    <w:name w:val="Subtitle"/>
    <w:basedOn w:val="Normal"/>
    <w:next w:val="Normal"/>
    <w:pPr>
      <w:keepNext w:val="1"/>
      <w:ind w:firstLine="709"/>
      <w:jc w:val="center"/>
    </w:pPr>
    <w:rPr>
      <w:rFonts w:ascii="Cambria" w:cs="Cambria" w:eastAsia="Cambria" w:hAnsi="Cambria"/>
      <w:i w:val="1"/>
      <w:iCs w:val="1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2.jpg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6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19" Type="http://schemas.openxmlformats.org/officeDocument/2006/relationships/image" Target="media/image13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FLj+MdkuVpUUyGexc/tBBwfYQ==">CgMxLjAyDmguZjM0MDN2cnpuaWRtMg5oLmtxdjhkaWVpYmJ1bTIOaC4zeW4xODIzNGF3MXUyDmgubTZwdWE2c3BvNTFoMg5oLjF1NXMyd3FrMzZtbzINaC5kYW90cHVxajlvbzIOaC4xZzJ2eDN3bm5hYWEyDmgucDB1MjZyeHk2ZWc3Mg5oLmphNDVyZGs5NGE0azgAciExMzBsSnhHWE9XUlFobW9uUlZ6MTNlVV9CV2NSeUpVWUo=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2023-11-26T23:35:00Z</dcterms:created>
  <dc:creator>я</dc:creator>
</cp:coreProperties>
</file>