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Cần phải thực hiện các nhiệm vụ sau:</w:t>
        <w:br w:type="textWrapping"/>
        <w:t xml:space="preserve"> − Tạo các mẫu văn bản của một doanh nghiệp giả định với đầy đủ các thông tin cần thiết để soạn thảo tài liệu: mẫu văn bản chung của tổ chức; mẫu thư góc của tổ chức với cách bố trí thông tin theo dạng cờ; mẫu thư góc của tổ chức với cách bố trí thông tin căn giữa;</w:t>
        <w:br w:type="textWrapping"/>
        <w:t xml:space="preserve"> − Soạn thảo các tài liệu sau: danh mục thông tin cấu thành bí mật thương mại trong tổ chức giả định; danh mục này phải được ký bởi các thành viên của hội đồng chuyên gia (ít nhất ba thành viên) và được giám đốc tổ chức phê duyệt; quyết định (lệnh) về việc áp dụng chế độ bí mật thương mại trong tổ chức; công văn gửi chi nhánh của tổ chức kèm theo bản sao “Danh mục…” và bản sao “Quyết định…”.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