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highlight w:val="yellow"/>
          <w:rtl w:val="0"/>
        </w:rPr>
        <w:t xml:space="preserve">Технические средства охраны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</w:t>
      </w:r>
      <w:r w:rsidDel="00000000" w:rsidR="00000000" w:rsidRPr="00000000">
        <w:rPr>
          <w:b w:val="1"/>
          <w:highlight w:val="yellow"/>
          <w:rtl w:val="0"/>
        </w:rPr>
        <w:t xml:space="preserve">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highlight w:val="yellow"/>
          <w:rtl w:val="0"/>
        </w:rPr>
        <w:t xml:space="preserve">Конструкция, настройка и тестирование охранных извещателей</w:t>
      </w:r>
      <w:r w:rsidDel="00000000" w:rsidR="00000000" w:rsidRPr="00000000">
        <w:rPr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Нгуен Хань Ли, студент группы N3347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highlight w:val="yellow"/>
          <w:rtl w:val="0"/>
        </w:rPr>
        <w:t xml:space="preserve">ФИО</w:t>
      </w:r>
      <w:r w:rsidDel="00000000" w:rsidR="00000000" w:rsidRPr="00000000">
        <w:rPr>
          <w:rtl w:val="0"/>
        </w:rPr>
        <w:t xml:space="preserve">, студент группы </w:t>
      </w:r>
      <w:r w:rsidDel="00000000" w:rsidR="00000000" w:rsidRPr="00000000">
        <w:rPr>
          <w:highlight w:val="yellow"/>
          <w:rtl w:val="0"/>
        </w:rPr>
        <w:t xml:space="preserve">номер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jc w:val="right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д.т.н., профессор ФБИТ</w:t>
      </w:r>
    </w:p>
    <w:p w:rsidR="00000000" w:rsidDel="00000000" w:rsidP="00000000" w:rsidRDefault="00000000" w:rsidRPr="00000000" w14:paraId="0000001B">
      <w:pPr>
        <w:jc w:val="right"/>
        <w:rPr>
          <w:b w:val="1"/>
        </w:rPr>
      </w:pPr>
      <w:r w:rsidDel="00000000" w:rsidR="00000000" w:rsidRPr="00000000">
        <w:rPr>
          <w:rtl w:val="0"/>
        </w:rPr>
        <w:t xml:space="preserve">Волхонский Владимир Владимирович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Оценка: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u w:val="single"/>
          <w:rtl w:val="0"/>
        </w:rPr>
        <w:t xml:space="preserve">Подпись:</w:t>
      </w: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F">
      <w:pPr>
        <w:ind w:left="7079" w:firstLine="707.0000000000005"/>
        <w:jc w:val="left"/>
        <w:rPr>
          <w:u w:val="single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Сканирование и анализ сетевого трафика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Тут могут быть подразделы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Целью работы является закрепление теоретических знаний, полученных на лекциях, получение навыков работы с технической документацией (инструкции по установке), реальными образцами современных извещателей охранной сигнализации, установкой и настройкой извещателей на объекте.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Для выполнения работы необходимо следующее.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у преподавателя образец извещателя.</w:t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Примерный перечень используемых извещателей: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Фотон-16 - пассивный инфракрасный извещатель.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Фотон-Ш2 - пассивный инфракрасный извещатель.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Фотон-21 - пассивный инфракрасный извещатель.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Фотон-9 - пассивный инфракрасный извещатель.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Фотон-20 - пассивный инфракрасный извещатель.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Орлан - совмещенный извещатель.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Орлан-Д - совмещенный извещатель.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Стекло-3М - извещатель разбивания стекла.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Мираж - </w:t>
      </w:r>
      <w:r w:rsidDel="00000000" w:rsidR="00000000" w:rsidRPr="00000000">
        <w:rPr>
          <w:rtl w:val="0"/>
        </w:rPr>
        <w:t xml:space="preserve">совмещенно</w:t>
      </w:r>
      <w:r w:rsidDel="00000000" w:rsidR="00000000" w:rsidRPr="00000000">
        <w:rPr>
          <w:rtl w:val="0"/>
        </w:rPr>
        <w:t xml:space="preserve">-комбинированный извещатель.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  <w:t xml:space="preserve">При необходимости инструкции по установке на извещатели можно по-</w:t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  <w:t xml:space="preserve">лучить по ссылке на стенде (QR-код).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Изучить инструкцию по установке, изучить конструкцию и органы регулировки, разобраться во всех деталях установки, подключения и настройки устройства.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Объяснить назначение элементов установки, настройки и регулировки.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Сделать снимок платы и деталей корпуса извещателя и указать в отчете информацию по п. 3.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Нарисовать схему подключения извещателя в шлейф (шлейфы) контрольной панели.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Зафиксировать это в отчете по работе.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3"/>
        </w:numPr>
        <w:ind w:left="1440" w:hanging="360"/>
      </w:pPr>
      <w:bookmarkStart w:colFirst="0" w:colLast="0" w:name="_heading=h.t2w8azu24huv" w:id="2"/>
      <w:bookmarkEnd w:id="2"/>
      <w:r w:rsidDel="00000000" w:rsidR="00000000" w:rsidRPr="00000000">
        <w:rPr>
          <w:rtl w:val="0"/>
        </w:rPr>
        <w:t xml:space="preserve">Получить у преподавателя образец извещателя.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Фотон-9 - пассивный инфракрасный извещатель.</w:t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62175" cy="26098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Название таблицы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Шапки 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Шапки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Таблицы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Тут еще какой-то текст очень длинный текст чтобы ссылка не помещалась (листинг 1). </w:t>
      </w:r>
      <w:r w:rsidDel="00000000" w:rsidR="00000000" w:rsidRPr="00000000">
        <w:rPr>
          <w:b w:val="1"/>
          <w:rtl w:val="0"/>
        </w:rPr>
        <w:t xml:space="preserve">Это неправильно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Тут еще какой-то текст очень длинный текст чтобы ссылка не помещалась (листинг 1). </w:t>
      </w:r>
      <w:r w:rsidDel="00000000" w:rsidR="00000000" w:rsidRPr="00000000">
        <w:rPr>
          <w:b w:val="1"/>
          <w:rtl w:val="0"/>
        </w:rPr>
        <w:t xml:space="preserve">Это правильно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Название программы / класса / функции / и т.п.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Какой-то код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После листинга и таблицы должна быть </w:t>
      </w:r>
      <w:r w:rsidDel="00000000" w:rsidR="00000000" w:rsidRPr="00000000">
        <w:rPr>
          <w:b w:val="1"/>
          <w:rtl w:val="0"/>
        </w:rPr>
        <w:t xml:space="preserve">пустая строка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Это ссылка на источник / цитирование [1]. Если источников несколько, то вот так [1, 2]. Если диапазон, то так [1-3].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Перед квадратной скобкой ставится </w:t>
      </w:r>
      <w:r w:rsidDel="00000000" w:rsidR="00000000" w:rsidRPr="00000000">
        <w:rPr>
          <w:b w:val="1"/>
          <w:rtl w:val="0"/>
        </w:rPr>
        <w:t xml:space="preserve">неразрывный пробел</w:t>
      </w:r>
      <w:r w:rsidDel="00000000" w:rsidR="00000000" w:rsidRPr="00000000">
        <w:rPr>
          <w:rtl w:val="0"/>
        </w:rPr>
        <w:t xml:space="preserve"> (ctrl+shift+space или alt+255). Внутри скобок тоже </w:t>
      </w:r>
      <w:r w:rsidDel="00000000" w:rsidR="00000000" w:rsidRPr="00000000">
        <w:rPr>
          <w:b w:val="1"/>
          <w:rtl w:val="0"/>
        </w:rPr>
        <w:t xml:space="preserve">неразрывные пробел и дефис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На рисунке 1 представлено мое отношение к оформлению отчетов по ГОСТу.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963035"/>
            <wp:effectExtent b="0" l="0" r="0" t="0"/>
            <wp:docPr descr="Тибетская лисица и сурок • Вероника Самоцкая • Научная картинка дня на  «Элементах» • Зоология" id="4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Мое отношение к оформлению по ГОСТу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Было выполнено то-се пятое-десятое…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Это позволили получить / закрепить навыки и т.п…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Мы все сделали, мы молодцы, поставьте нам </w:t>
      </w:r>
      <w:r w:rsidDel="00000000" w:rsidR="00000000" w:rsidRPr="00000000">
        <w:rPr>
          <w:b w:val="1"/>
          <w:rtl w:val="0"/>
        </w:rPr>
        <w:t xml:space="preserve">отлично автоматом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Очень.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Важный.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Источник.</w:t>
      </w:r>
    </w:p>
    <w:p w:rsidR="00000000" w:rsidDel="00000000" w:rsidP="00000000" w:rsidRDefault="00000000" w:rsidRPr="00000000" w14:paraId="00000078">
      <w:pPr>
        <w:keepNext w:val="1"/>
        <w:keepLines w:val="1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t xml:space="preserve">Пример оформления приложения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Чтобы перенести строку в заголовке приложения необходимо </w:t>
      </w:r>
      <w:r w:rsidDel="00000000" w:rsidR="00000000" w:rsidRPr="00000000">
        <w:rPr>
          <w:b w:val="1"/>
          <w:rtl w:val="0"/>
        </w:rPr>
        <w:t xml:space="preserve">нажать Shift+Enter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Часто в приложениях размещают таблицы, особенно большие, это делается следующим образом (таблица А.1). В названии таблицы указывается и номер приложения.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таблицы в приложении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5"/>
        <w:gridCol w:w="3115"/>
        <w:gridCol w:w="3115"/>
        <w:tblGridChange w:id="0">
          <w:tblGrid>
            <w:gridCol w:w="3115"/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Шапки 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Таблицы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Шапки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Таблицы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Аналогично и с листингами (листинг А.1) и рисунками (рисунок А.1).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листинга в приложении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Какой-то код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963035"/>
            <wp:effectExtent b="0" l="0" r="0" t="0"/>
            <wp:docPr descr="Тибетская лисица и сурок • Вероника Самоцкая • Научная картинка дня на  «Элементах» • Зоология" id="6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Снова тибетская лисица</w:t>
      </w:r>
    </w:p>
    <w:p w:rsidR="00000000" w:rsidDel="00000000" w:rsidP="00000000" w:rsidRDefault="00000000" w:rsidRPr="00000000" w14:paraId="0000008E">
      <w:pPr>
        <w:keepNext w:val="1"/>
        <w:keepLines w:val="1"/>
        <w:pageBreakBefore w:val="1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t xml:space="preserve">Если приложений больше одного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Пусть у нас есть еще одно приложение к отчету. Здесь все то же самое, меняется только номер приложения. Однако давайте разместим здесь большое изображение в альбомной ориентации (рисунок Б.1). Для этого откроем вкладку «Макет», найдем выпадающий список «Разрывы» и выберем элемент «Следующая страница».</w:t>
      </w:r>
    </w:p>
    <w:p w:rsidR="00000000" w:rsidDel="00000000" w:rsidP="00000000" w:rsidRDefault="00000000" w:rsidRPr="00000000" w14:paraId="00000090">
      <w:pPr>
        <w:rPr/>
        <w:sectPr>
          <w:head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После этого в той же вкладке измените ориентацию страницы на альбомную.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8972550" cy="5124450"/>
            <wp:effectExtent b="0" l="0" r="0" t="0"/>
            <wp:docPr descr="Тибетская лисица и сурок • Вероника Самоцкая • Научная картинка дня на  «Элементах» • Зоология" id="5" name="image1.jpg"/>
            <a:graphic>
              <a:graphicData uri="http://schemas.openxmlformats.org/drawingml/2006/picture">
                <pic:pic>
                  <pic:nvPicPr>
                    <pic:cNvPr descr="Тибетская лисица и сурок • Вероника Самоцкая • Научная картинка дня на  «Элементах» • Зоология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  <w:sectPr>
          <w:type w:val="nextPage"/>
          <w:pgSz w:h="11906" w:w="16838" w:orient="landscape"/>
          <w:pgMar w:bottom="850" w:top="1701" w:left="1134" w:right="1134" w:header="708" w:footer="42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Еще одна тибетская лисица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Чтобы вернуть ориентацию страницы обратно, проделайте то же самое. Важно не забывать </w:t>
      </w:r>
      <w:r w:rsidDel="00000000" w:rsidR="00000000" w:rsidRPr="00000000">
        <w:rPr>
          <w:b w:val="1"/>
          <w:rtl w:val="0"/>
        </w:rPr>
        <w:t xml:space="preserve">продолжать</w:t>
      </w:r>
      <w:r w:rsidDel="00000000" w:rsidR="00000000" w:rsidRPr="00000000">
        <w:rPr>
          <w:rtl w:val="0"/>
        </w:rPr>
        <w:t xml:space="preserve"> нумерацию, не начинать ее заново.</w:t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Приложение %1"/>
      <w:lvlJc w:val="left"/>
      <w:pPr>
        <w:ind w:left="567" w:firstLine="0"/>
      </w:pPr>
      <w:rPr>
        <w:rFonts w:ascii="Times New Roman" w:cs="Times New Roman" w:eastAsia="Times New Roman" w:hAnsi="Times New Roman"/>
        <w:b w:val="1"/>
        <w:i w:val="0"/>
        <w:smallCaps w:val="1"/>
        <w:strike w:val="0"/>
        <w:sz w:val="24"/>
        <w:szCs w:val="24"/>
        <w:vertAlign w:val="baseline"/>
      </w:rPr>
    </w:lvl>
    <w:lvl w:ilvl="1">
      <w:start w:val="1"/>
      <w:numFmt w:val="decimal"/>
      <w:lvlText w:val="Таблица %1.%2 – "/>
      <w:lvlJc w:val="left"/>
      <w:pPr>
        <w:ind w:left="0" w:firstLine="0"/>
      </w:pPr>
      <w:rPr/>
    </w:lvl>
    <w:lvl w:ilvl="2">
      <w:start w:val="1"/>
      <w:numFmt w:val="decimal"/>
      <w:lvlText w:val="Листинг %1.%3 – "/>
      <w:lvlJc w:val="left"/>
      <w:pPr>
        <w:ind w:left="0" w:firstLine="0"/>
      </w:pPr>
      <w:rPr/>
    </w:lvl>
    <w:lvl w:ilvl="3">
      <w:start w:val="1"/>
      <w:numFmt w:val="decimal"/>
      <w:lvlText w:val="Рисунок %1.%4 – 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6">
    <w:lvl w:ilvl="0">
      <w:start w:val="1"/>
      <w:numFmt w:val="decimal"/>
      <w:lvlText w:val="Листинг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LEHWHaYtccgLweu8S+/roXGagw==">CgMxLjAyCGguZ2pkZ3hzMgloLjN6bnlzaDcyDmgudDJ3OGF6dTI0aHV2MghoLnR5amN3dDIJaC4zZHk2dmttOAByITFWeXVLYjhjdl9UYURZaHJ3eXFBcHhQVkFVYzBKdWtKdA==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