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dlyduakszi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10075" cy="54483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13775" y="192425"/>
                          <a:ext cx="4410075" cy="5448300"/>
                          <a:chOff x="2113775" y="192425"/>
                          <a:chExt cx="4391025" cy="5429250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13775" y="192425"/>
                            <a:ext cx="4391025" cy="542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" name="Shape 6"/>
                        <wps:spPr>
                          <a:xfrm>
                            <a:off x="2874350" y="1295525"/>
                            <a:ext cx="3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096800" y="3299250"/>
                            <a:ext cx="3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279925" y="2490950"/>
                            <a:ext cx="3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959825" y="631950"/>
                            <a:ext cx="32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10075" cy="54483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0075" cy="544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4500"/>
        <w:gridCol w:w="3840"/>
        <w:tblGridChange w:id="0">
          <w:tblGrid>
            <w:gridCol w:w="690"/>
            <w:gridCol w:w="4500"/>
            <w:gridCol w:w="38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компонента (Thành phần)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 (Chức năng)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Светодиод (Đèn LED chỉ thị)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Отображает рабочее состояние устройства (обнаружение движения, ошибка и т.д.) – Đèn hiển thị trạng thái hoạt động của thiết bị (phát hiện chuyển động, lỗi, v.v.)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Перемычка отключения светодиода (Cầu nhảy tắt 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Позволяет включить или отключить светодиод – Cho phép bật hoặc tắt đèn LED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Перемычка выбора чувствительности (Cầu nhảy chọn độ nhạy)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чувствительности датчика: высокая или нормальная – Điều chỉnh độ nhạy của cảm biến: cao hoặc bình thường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Пироприемник с зеркалом антисаботажных зон (Cảm biến PIR có gương)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ИК-датчик с зеркальной системой защиты от саботажа – Cảm biến hồng ngoại chính với hệ gương chống phá hoại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Клемма +12 В (Chân nguồn dương +12V)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Подключение положительного источника питания – Kết nối cực dương của nguồn điện (12V)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Клемма −12 В (Chân nguồn âm −12V)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Подключение отрицательного источника питания – Kết nối cực âm của nguồn điện (0V hoặc GND)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Клемма "Тревога" (Chân báo động)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Выход тревожного сигнала при обнаружении движения – Đầu ra báo động khi phát hiện chuyển động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Клемма "Доступ" (Chân trạng thái bình thường)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Сигнал нормального состояния – Tín hiệu trạng thái bình thường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Микропереключатель (Công tắc nhỏ)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Используется для настройки или сброса устройства – Dùng để cấu hình hoặc đặt lại thiết bị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867025" cy="40386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64125" y="772850"/>
                          <a:ext cx="2867025" cy="4038600"/>
                          <a:chOff x="2564125" y="772850"/>
                          <a:chExt cx="2847975" cy="40195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4125" y="772850"/>
                            <a:ext cx="2847975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803013" y="1841300"/>
                            <a:ext cx="37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803013" y="3374650"/>
                            <a:ext cx="37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67025" cy="40386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025" cy="4038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4410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8.194100466292"/>
        <w:gridCol w:w="6157.31771055733"/>
        <w:tblGridChange w:id="0">
          <w:tblGrid>
            <w:gridCol w:w="2868.194100466292"/>
            <w:gridCol w:w="6157.31771055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Обозначение (Ký hiệu)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 (Chức năng - tiếng Nga + tiếng Việt)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установки извещателя на стене помещения – để lắp đặt cảm biến trên tường của phòng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установки извещателя в углу помещения – để lắp đặt cảm biến ở góc phòng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ввода проводов – để luồn dây điện vào thiết bị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Фиксатор (Chốt giữ)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фиксирует крышку корпуса, отжимается отвёрткой – chốt giữ nắp thiết bị, dùng tua vít để mở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Места для сверления отверстий (Lỗ khoan)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точки на корпусе для крепления устройства – các điểm khoan trên vỏ để cố định cảm biến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Плата (Bo mạch)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внутренняя часть устройства, устанавливается после фиксации корпуса – bo mạch gắn bên trong sau khi cố định vỏ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Места ввода проводов в корпус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отверстия для завода кабеля внутрь корпуса – lỗ đưa dây điện vào trong thiết bị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Места для крепления на плоскости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отверстия для крепления устройства на ровной поверхности – lỗ gắn cảm biến lên bề mặt phẳng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Место для крепления на кронштейн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отверстие для крепления с помощью монтажного кронштейна – lỗ gắn bằng giá đỡ kim loại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Канал для проводов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углубление в корпусе для укладки провода – rãnh trong vỏ để đặt dây điện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Скосы для установки в углу и под углом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угловые направляющие для установки в углу помещения – gờ xiên để lắp cảm biến ở góc phòng hoặc nghiêng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Места ввода проводов в корпус (dưới đáy)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дополнительные отверстия снизу корпуса для проводов – các lỗ phụ phía dưới vỏ để luồn dây điện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ivzzqnlxdn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