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E637F" w:rsidRPr="00D221C3" w:rsidRDefault="00CE637F" w:rsidP="00EA4B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1C3">
        <w:rPr>
          <w:rFonts w:ascii="Times New Roman" w:hAnsi="Times New Roman" w:cs="Times New Roman"/>
          <w:b/>
          <w:sz w:val="24"/>
          <w:szCs w:val="24"/>
          <w:u w:val="single"/>
        </w:rPr>
        <w:t xml:space="preserve">Two papers by </w:t>
      </w:r>
      <w:proofErr w:type="spellStart"/>
      <w:r w:rsidRPr="00D221C3">
        <w:rPr>
          <w:rFonts w:ascii="Times New Roman" w:hAnsi="Times New Roman" w:cs="Times New Roman"/>
          <w:b/>
          <w:sz w:val="24"/>
          <w:szCs w:val="24"/>
          <w:u w:val="single"/>
        </w:rPr>
        <w:t>Pengfei</w:t>
      </w:r>
      <w:proofErr w:type="spellEnd"/>
      <w:r w:rsidRPr="00D221C3">
        <w:rPr>
          <w:rFonts w:ascii="Times New Roman" w:hAnsi="Times New Roman" w:cs="Times New Roman"/>
          <w:b/>
          <w:sz w:val="24"/>
          <w:szCs w:val="24"/>
          <w:u w:val="single"/>
        </w:rPr>
        <w:t xml:space="preserve"> Han</w:t>
      </w:r>
      <w:bookmarkStart w:id="0" w:name="_GoBack"/>
      <w:bookmarkEnd w:id="0"/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7F">
        <w:rPr>
          <w:rFonts w:ascii="Times New Roman" w:hAnsi="Times New Roman" w:cs="Times New Roman"/>
          <w:sz w:val="24"/>
          <w:szCs w:val="24"/>
        </w:rPr>
        <w:t>Does Trading Spur Specialization? Evidence from Patenting</w:t>
      </w:r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5" w:history="1">
        <w:r w:rsidRPr="00843001">
          <w:rPr>
            <w:rStyle w:val="Hyperlink"/>
            <w:rFonts w:ascii="Times New Roman" w:hAnsi="Times New Roman" w:cs="Times New Roman"/>
            <w:sz w:val="24"/>
            <w:szCs w:val="24"/>
          </w:rPr>
          <w:t>https://papers.ssrn.com/sol3/papers.cfm?abstract_id=3681360</w:t>
        </w:r>
      </w:hyperlink>
    </w:p>
    <w:p w:rsidR="00FF17E3" w:rsidRDefault="00FF17E3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Firm level panel DID and DDD designs; </w:t>
      </w:r>
      <w:proofErr w:type="gramStart"/>
      <w:r>
        <w:rPr>
          <w:rFonts w:ascii="Times New Roman" w:hAnsi="Times New Roman" w:cs="Times New Roman"/>
          <w:sz w:val="24"/>
          <w:szCs w:val="24"/>
        </w:rPr>
        <w:t>y</w:t>
      </w:r>
      <w:r>
        <w:rPr>
          <w:rFonts w:ascii="Times New Roman" w:hAnsi="Times New Roman" w:cs="Times New Roman" w:hint="eastAsia"/>
          <w:sz w:val="24"/>
          <w:szCs w:val="24"/>
        </w:rPr>
        <w:t>是</w:t>
      </w:r>
      <w:r>
        <w:rPr>
          <w:rFonts w:ascii="Times New Roman" w:hAnsi="Times New Roman" w:cs="Times New Roman" w:hint="eastAsia"/>
          <w:sz w:val="24"/>
          <w:szCs w:val="24"/>
        </w:rPr>
        <w:t>log(</w:t>
      </w:r>
      <w:proofErr w:type="gramEnd"/>
      <w:r>
        <w:rPr>
          <w:rFonts w:ascii="Times New Roman" w:hAnsi="Times New Roman" w:cs="Times New Roman" w:hint="eastAsia"/>
          <w:sz w:val="24"/>
          <w:szCs w:val="24"/>
        </w:rPr>
        <w:t>专利数量</w:t>
      </w:r>
      <w:r>
        <w:rPr>
          <w:rFonts w:ascii="Times New Roman" w:hAnsi="Times New Roman" w:cs="Times New Roman" w:hint="eastAsia"/>
          <w:sz w:val="24"/>
          <w:szCs w:val="24"/>
        </w:rPr>
        <w:t>+1)</w:t>
      </w:r>
      <w:r>
        <w:rPr>
          <w:rFonts w:ascii="Times New Roman" w:hAnsi="Times New Roman" w:cs="Times New Roman" w:hint="eastAsia"/>
          <w:sz w:val="24"/>
          <w:szCs w:val="24"/>
        </w:rPr>
        <w:t>，这个企业</w:t>
      </w:r>
      <w:r>
        <w:rPr>
          <w:rFonts w:ascii="Times New Roman" w:hAnsi="Times New Roman" w:cs="Times New Roman" w:hint="eastAsia"/>
          <w:sz w:val="24"/>
          <w:szCs w:val="24"/>
        </w:rPr>
        <w:t>level</w:t>
      </w:r>
      <w:r>
        <w:rPr>
          <w:rFonts w:ascii="Times New Roman" w:hAnsi="Times New Roman" w:cs="Times New Roman" w:hint="eastAsia"/>
          <w:sz w:val="24"/>
          <w:szCs w:val="24"/>
        </w:rPr>
        <w:t>的构造跟我们的不太相似。但是</w:t>
      </w:r>
      <w:r>
        <w:rPr>
          <w:rFonts w:ascii="Times New Roman" w:hAnsi="Times New Roman" w:cs="Times New Roman" w:hint="eastAsia"/>
          <w:sz w:val="24"/>
          <w:szCs w:val="24"/>
        </w:rPr>
        <w:t>log</w:t>
      </w:r>
      <w:r>
        <w:rPr>
          <w:rFonts w:ascii="Times New Roman" w:hAnsi="Times New Roman" w:cs="Times New Roman"/>
          <w:sz w:val="24"/>
          <w:szCs w:val="24"/>
        </w:rPr>
        <w:t>(p+1)</w:t>
      </w:r>
      <w:r>
        <w:rPr>
          <w:rFonts w:ascii="Times New Roman" w:hAnsi="Times New Roman" w:cs="Times New Roman" w:hint="eastAsia"/>
          <w:sz w:val="24"/>
          <w:szCs w:val="24"/>
        </w:rPr>
        <w:t>的构造可以借鉴。</w:t>
      </w:r>
    </w:p>
    <w:p w:rsidR="00FF17E3" w:rsidRDefault="00FF17E3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F17E3" w:rsidRDefault="00FF17E3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FF17E3">
        <w:rPr>
          <w:rFonts w:ascii="Times New Roman" w:hAnsi="Times New Roman" w:cs="Times New Roman"/>
          <w:sz w:val="24"/>
          <w:szCs w:val="24"/>
        </w:rPr>
        <w:t xml:space="preserve">Han, </w:t>
      </w:r>
      <w:proofErr w:type="spellStart"/>
      <w:r w:rsidRPr="00FF17E3">
        <w:rPr>
          <w:rFonts w:ascii="Times New Roman" w:hAnsi="Times New Roman" w:cs="Times New Roman"/>
          <w:sz w:val="24"/>
          <w:szCs w:val="24"/>
        </w:rPr>
        <w:t>Pengfei</w:t>
      </w:r>
      <w:proofErr w:type="spellEnd"/>
      <w:r w:rsidRPr="00FF17E3">
        <w:rPr>
          <w:rFonts w:ascii="Times New Roman" w:hAnsi="Times New Roman" w:cs="Times New Roman"/>
          <w:sz w:val="24"/>
          <w:szCs w:val="24"/>
        </w:rPr>
        <w:t>. Intellectual Property Rights and the Theory of the Innovating Firm. Working Paper, 2018.</w:t>
      </w:r>
    </w:p>
    <w:p w:rsidR="00FF17E3" w:rsidRDefault="00FF17E3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6" w:history="1">
        <w:r w:rsidRPr="00843001">
          <w:rPr>
            <w:rStyle w:val="Hyperlink"/>
            <w:rFonts w:ascii="Times New Roman" w:hAnsi="Times New Roman" w:cs="Times New Roman"/>
            <w:sz w:val="24"/>
            <w:szCs w:val="24"/>
          </w:rPr>
          <w:t>https://pdfs.semanticscholar.org/ca53/77d282e6fc34c2ef1cbd3810b16595d42e89.pdf</w:t>
        </w:r>
      </w:hyperlink>
    </w:p>
    <w:p w:rsidR="00D221C3" w:rsidRDefault="00D221C3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这篇文章主要是一个完整的模型。</w:t>
      </w:r>
    </w:p>
    <w:p w:rsidR="00FF17E3" w:rsidRPr="00CE637F" w:rsidRDefault="00D221C3" w:rsidP="00EA4BF0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gramStart"/>
      <w:r>
        <w:rPr>
          <w:rFonts w:ascii="Times New Roman" w:hAnsi="Times New Roman" w:cs="Times New Roman" w:hint="eastAsia"/>
          <w:sz w:val="24"/>
          <w:szCs w:val="24"/>
        </w:rPr>
        <w:t>empirical</w:t>
      </w:r>
      <w:r>
        <w:rPr>
          <w:rFonts w:ascii="Times New Roman" w:hAnsi="Times New Roman" w:cs="Times New Roman" w:hint="eastAsia"/>
          <w:sz w:val="24"/>
          <w:szCs w:val="24"/>
        </w:rPr>
        <w:t>的部分</w:t>
      </w:r>
      <w:r w:rsidR="00FF17E3">
        <w:rPr>
          <w:rFonts w:ascii="Times New Roman" w:hAnsi="Times New Roman" w:cs="Times New Roman" w:hint="eastAsia"/>
          <w:sz w:val="24"/>
          <w:szCs w:val="24"/>
        </w:rPr>
        <w:t>关注重点是</w:t>
      </w:r>
      <w:r>
        <w:rPr>
          <w:rFonts w:ascii="Times New Roman" w:hAnsi="Times New Roman" w:cs="Times New Roman" w:hint="eastAsia"/>
          <w:sz w:val="24"/>
          <w:szCs w:val="24"/>
        </w:rPr>
        <w:t>用是否引用了相同的</w:t>
      </w:r>
      <w:r>
        <w:rPr>
          <w:rFonts w:ascii="Times New Roman" w:hAnsi="Times New Roman" w:cs="Times New Roman" w:hint="eastAsia"/>
          <w:sz w:val="24"/>
          <w:szCs w:val="24"/>
        </w:rPr>
        <w:t>patent</w:t>
      </w:r>
      <w:r>
        <w:rPr>
          <w:rFonts w:ascii="Times New Roman" w:hAnsi="Times New Roman" w:cs="Times New Roman" w:hint="eastAsia"/>
          <w:sz w:val="24"/>
          <w:szCs w:val="24"/>
        </w:rPr>
        <w:t>来计算新专利的</w:t>
      </w:r>
      <w:proofErr w:type="gramEnd"/>
      <w:r w:rsidR="00FF17E3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distance</w:t>
      </w:r>
      <w:r>
        <w:rPr>
          <w:rFonts w:ascii="Times New Roman" w:hAnsi="Times New Roman" w:cs="Times New Roman" w:hint="eastAsia"/>
          <w:sz w:val="24"/>
          <w:szCs w:val="24"/>
        </w:rPr>
        <w:t>从而推测出有更高的</w:t>
      </w:r>
      <w:r>
        <w:rPr>
          <w:rFonts w:ascii="Times New Roman" w:hAnsi="Times New Roman" w:cs="Times New Roman" w:hint="eastAsia"/>
          <w:sz w:val="24"/>
          <w:szCs w:val="24"/>
        </w:rPr>
        <w:t>specialization</w:t>
      </w:r>
      <w:r w:rsidR="00FF17E3">
        <w:rPr>
          <w:rFonts w:ascii="Times New Roman" w:hAnsi="Times New Roman" w:cs="Times New Roman" w:hint="eastAsia"/>
          <w:sz w:val="24"/>
          <w:szCs w:val="24"/>
        </w:rPr>
        <w:t>，</w:t>
      </w:r>
      <w:r>
        <w:rPr>
          <w:rFonts w:ascii="Times New Roman" w:hAnsi="Times New Roman" w:cs="Times New Roman" w:hint="eastAsia"/>
          <w:sz w:val="24"/>
          <w:szCs w:val="24"/>
        </w:rPr>
        <w:t>也还是对于我们的不太相似。</w:t>
      </w:r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E637F" w:rsidRPr="00D221C3" w:rsidRDefault="00F8700B" w:rsidP="00EA4B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D221C3">
        <w:rPr>
          <w:rFonts w:ascii="Times New Roman" w:hAnsi="Times New Roman" w:cs="Times New Roman"/>
          <w:b/>
          <w:sz w:val="24"/>
          <w:szCs w:val="24"/>
          <w:u w:val="single"/>
        </w:rPr>
        <w:t>Energy Innovation Frontier</w:t>
      </w:r>
    </w:p>
    <w:p w:rsidR="00CE637F" w:rsidRP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:rsidR="00CE637F" w:rsidRDefault="00CE637F" w:rsidP="00EA4BF0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proofErr w:type="spellStart"/>
      <w:r w:rsidRPr="00CE637F">
        <w:rPr>
          <w:rFonts w:ascii="Times New Roman" w:hAnsi="Times New Roman" w:cs="Times New Roman"/>
          <w:sz w:val="24"/>
          <w:szCs w:val="24"/>
        </w:rPr>
        <w:t>Aghion</w:t>
      </w:r>
      <w:proofErr w:type="spellEnd"/>
      <w:r w:rsidRPr="00CE637F">
        <w:rPr>
          <w:rFonts w:ascii="Times New Roman" w:hAnsi="Times New Roman" w:cs="Times New Roman"/>
          <w:sz w:val="24"/>
          <w:szCs w:val="24"/>
        </w:rPr>
        <w:t xml:space="preserve">, Philippe, Lint Barrage, and David </w:t>
      </w:r>
      <w:proofErr w:type="spellStart"/>
      <w:r w:rsidRPr="00CE637F">
        <w:rPr>
          <w:rFonts w:ascii="Times New Roman" w:hAnsi="Times New Roman" w:cs="Times New Roman"/>
          <w:sz w:val="24"/>
          <w:szCs w:val="24"/>
        </w:rPr>
        <w:t>Hémous</w:t>
      </w:r>
      <w:proofErr w:type="spellEnd"/>
      <w:r w:rsidRPr="00CE637F">
        <w:rPr>
          <w:rFonts w:ascii="Times New Roman" w:hAnsi="Times New Roman" w:cs="Times New Roman"/>
          <w:sz w:val="24"/>
          <w:szCs w:val="24"/>
        </w:rPr>
        <w:t>. "Climate Change, Directed Innovation, and Energy Transition: The Long-run Consequences of the Shale Gas Revolution." (2019).</w:t>
      </w:r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F8700B" w:rsidRPr="00DB0A4B" w:rsidRDefault="00F8700B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A4B">
        <w:rPr>
          <w:rFonts w:ascii="Times New Roman" w:hAnsi="Times New Roman" w:cs="Times New Roman"/>
          <w:sz w:val="24"/>
          <w:szCs w:val="24"/>
        </w:rPr>
        <w:t xml:space="preserve">Tracing the Linkages </w:t>
      </w:r>
      <w:r w:rsidRPr="00DB0A4B">
        <w:rPr>
          <w:rFonts w:ascii="Times New Roman" w:hAnsi="Times New Roman" w:cs="Times New Roman"/>
          <w:sz w:val="24"/>
          <w:szCs w:val="24"/>
        </w:rPr>
        <w:t>between</w:t>
      </w:r>
      <w:r w:rsidRPr="00DB0A4B">
        <w:rPr>
          <w:rFonts w:ascii="Times New Roman" w:hAnsi="Times New Roman" w:cs="Times New Roman"/>
          <w:sz w:val="24"/>
          <w:szCs w:val="24"/>
        </w:rPr>
        <w:t xml:space="preserve"> Scientific Research and Energy Innovations: A Comparison of Clean and Dirty Technologies</w:t>
      </w:r>
      <w:r w:rsidRPr="00DB0A4B">
        <w:rPr>
          <w:rFonts w:ascii="Times New Roman" w:hAnsi="Times New Roman" w:cs="Times New Roman"/>
          <w:sz w:val="24"/>
          <w:szCs w:val="24"/>
        </w:rPr>
        <w:t xml:space="preserve">; </w:t>
      </w:r>
      <w:r w:rsidRPr="00DB0A4B">
        <w:rPr>
          <w:rFonts w:ascii="Times New Roman" w:hAnsi="Times New Roman" w:cs="Times New Roman"/>
          <w:sz w:val="24"/>
          <w:szCs w:val="24"/>
        </w:rPr>
        <w:t xml:space="preserve">Robert K. </w:t>
      </w:r>
      <w:proofErr w:type="spellStart"/>
      <w:r w:rsidRPr="00DB0A4B">
        <w:rPr>
          <w:rFonts w:ascii="Times New Roman" w:hAnsi="Times New Roman" w:cs="Times New Roman"/>
          <w:sz w:val="24"/>
          <w:szCs w:val="24"/>
        </w:rPr>
        <w:t>Perrons</w:t>
      </w:r>
      <w:proofErr w:type="spellEnd"/>
      <w:r w:rsidRPr="00DB0A4B">
        <w:rPr>
          <w:rFonts w:ascii="Times New Roman" w:hAnsi="Times New Roman" w:cs="Times New Roman"/>
          <w:sz w:val="24"/>
          <w:szCs w:val="24"/>
        </w:rPr>
        <w:t>, Adam B. Jaffe, Trinh Le</w:t>
      </w:r>
      <w:r w:rsidRPr="00DB0A4B">
        <w:rPr>
          <w:rFonts w:ascii="Times New Roman" w:hAnsi="Times New Roman" w:cs="Times New Roman"/>
          <w:sz w:val="24"/>
          <w:szCs w:val="24"/>
        </w:rPr>
        <w:t xml:space="preserve">; NBER working paper, </w:t>
      </w:r>
      <w:r w:rsidRPr="00DB0A4B">
        <w:rPr>
          <w:rFonts w:ascii="Times New Roman" w:hAnsi="Times New Roman" w:cs="Times New Roman"/>
          <w:sz w:val="24"/>
          <w:szCs w:val="24"/>
        </w:rPr>
        <w:t>September 2020</w:t>
      </w:r>
    </w:p>
    <w:p w:rsidR="00F8700B" w:rsidRPr="00DB0A4B" w:rsidRDefault="00F8700B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DB0A4B">
          <w:rPr>
            <w:rStyle w:val="Hyperlink"/>
            <w:rFonts w:ascii="Times New Roman" w:hAnsi="Times New Roman" w:cs="Times New Roman"/>
            <w:sz w:val="24"/>
            <w:szCs w:val="24"/>
          </w:rPr>
          <w:t>https://www.nber.org/papers/w27777.pdf</w:t>
        </w:r>
      </w:hyperlink>
    </w:p>
    <w:p w:rsidR="00F8700B" w:rsidRPr="00DB0A4B" w:rsidRDefault="00F8700B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DB0A4B">
        <w:rPr>
          <w:rFonts w:ascii="Times New Roman" w:hAnsi="Times New Roman" w:cs="Times New Roman"/>
          <w:sz w:val="24"/>
          <w:szCs w:val="24"/>
        </w:rPr>
        <w:t>对于为什么能源领域的创新那么慢，</w:t>
      </w:r>
      <w:r w:rsidR="00EA4BF0" w:rsidRPr="00DB0A4B">
        <w:rPr>
          <w:rFonts w:ascii="Times New Roman" w:hAnsi="Times New Roman" w:cs="Times New Roman"/>
          <w:sz w:val="24"/>
          <w:szCs w:val="24"/>
        </w:rPr>
        <w:t>学界还没有什么答案。大部分文章专注于投资对于个别领域的能源创新的影响。这篇文章围绕从</w:t>
      </w:r>
      <w:r w:rsidR="00EA4BF0" w:rsidRPr="00DB0A4B">
        <w:rPr>
          <w:rFonts w:ascii="Times New Roman" w:hAnsi="Times New Roman" w:cs="Times New Roman"/>
          <w:sz w:val="24"/>
          <w:szCs w:val="24"/>
        </w:rPr>
        <w:t>“</w:t>
      </w:r>
      <w:r w:rsidR="00EA4BF0" w:rsidRPr="00DB0A4B">
        <w:rPr>
          <w:rFonts w:ascii="Times New Roman" w:hAnsi="Times New Roman" w:cs="Times New Roman"/>
          <w:sz w:val="24"/>
          <w:szCs w:val="24"/>
        </w:rPr>
        <w:t>非专利论文</w:t>
      </w:r>
      <w:r w:rsidR="00EA4BF0" w:rsidRPr="00DB0A4B">
        <w:rPr>
          <w:rFonts w:ascii="Times New Roman" w:hAnsi="Times New Roman" w:cs="Times New Roman"/>
          <w:sz w:val="24"/>
          <w:szCs w:val="24"/>
        </w:rPr>
        <w:t>”</w:t>
      </w:r>
      <w:r w:rsidR="00EA4BF0" w:rsidRPr="00DB0A4B">
        <w:rPr>
          <w:rFonts w:ascii="Times New Roman" w:hAnsi="Times New Roman" w:cs="Times New Roman"/>
          <w:sz w:val="24"/>
          <w:szCs w:val="24"/>
        </w:rPr>
        <w:t>到</w:t>
      </w:r>
      <w:r w:rsidR="00EA4BF0" w:rsidRPr="00DB0A4B">
        <w:rPr>
          <w:rFonts w:ascii="Times New Roman" w:hAnsi="Times New Roman" w:cs="Times New Roman"/>
          <w:sz w:val="24"/>
          <w:szCs w:val="24"/>
        </w:rPr>
        <w:t>“</w:t>
      </w:r>
      <w:r w:rsidR="00EA4BF0" w:rsidRPr="00DB0A4B">
        <w:rPr>
          <w:rFonts w:ascii="Times New Roman" w:hAnsi="Times New Roman" w:cs="Times New Roman"/>
          <w:sz w:val="24"/>
          <w:szCs w:val="24"/>
        </w:rPr>
        <w:t>专利</w:t>
      </w:r>
      <w:r w:rsidR="00EA4BF0" w:rsidRPr="00DB0A4B">
        <w:rPr>
          <w:rFonts w:ascii="Times New Roman" w:hAnsi="Times New Roman" w:cs="Times New Roman"/>
          <w:sz w:val="24"/>
          <w:szCs w:val="24"/>
        </w:rPr>
        <w:t>”</w:t>
      </w:r>
      <w:r w:rsidR="00EA4BF0" w:rsidRPr="00DB0A4B">
        <w:rPr>
          <w:rFonts w:ascii="Times New Roman" w:hAnsi="Times New Roman" w:cs="Times New Roman"/>
          <w:sz w:val="24"/>
          <w:szCs w:val="24"/>
        </w:rPr>
        <w:t>，利用专利数据和引用数据，比较</w:t>
      </w:r>
      <w:r w:rsidR="00EA4BF0" w:rsidRPr="00DB0A4B">
        <w:rPr>
          <w:rFonts w:ascii="Times New Roman" w:hAnsi="Times New Roman" w:cs="Times New Roman"/>
          <w:sz w:val="24"/>
          <w:szCs w:val="24"/>
        </w:rPr>
        <w:t>dirty</w:t>
      </w:r>
      <w:r w:rsidR="00EA4BF0" w:rsidRPr="00DB0A4B">
        <w:rPr>
          <w:rFonts w:ascii="Times New Roman" w:hAnsi="Times New Roman" w:cs="Times New Roman"/>
          <w:sz w:val="24"/>
          <w:szCs w:val="24"/>
        </w:rPr>
        <w:t>和</w:t>
      </w:r>
      <w:r w:rsidR="00EA4BF0" w:rsidRPr="00DB0A4B">
        <w:rPr>
          <w:rFonts w:ascii="Times New Roman" w:hAnsi="Times New Roman" w:cs="Times New Roman"/>
          <w:sz w:val="24"/>
          <w:szCs w:val="24"/>
        </w:rPr>
        <w:t>clean</w:t>
      </w:r>
      <w:r w:rsidR="00EA4BF0" w:rsidRPr="00DB0A4B">
        <w:rPr>
          <w:rFonts w:ascii="Times New Roman" w:hAnsi="Times New Roman" w:cs="Times New Roman"/>
          <w:sz w:val="24"/>
          <w:szCs w:val="24"/>
        </w:rPr>
        <w:t>所需要的时间，平均引用多少文章。结论是</w:t>
      </w:r>
      <w:r w:rsidR="00EA4BF0" w:rsidRPr="00DB0A4B">
        <w:rPr>
          <w:rFonts w:ascii="Times New Roman" w:hAnsi="Times New Roman" w:cs="Times New Roman"/>
          <w:sz w:val="24"/>
          <w:szCs w:val="24"/>
        </w:rPr>
        <w:t>clean</w:t>
      </w:r>
      <w:r w:rsidR="00EA4BF0" w:rsidRPr="00DB0A4B">
        <w:rPr>
          <w:rFonts w:ascii="Times New Roman" w:hAnsi="Times New Roman" w:cs="Times New Roman"/>
          <w:sz w:val="24"/>
          <w:szCs w:val="24"/>
        </w:rPr>
        <w:t>更依赖于引用。</w:t>
      </w:r>
    </w:p>
    <w:p w:rsidR="00EA4BF0" w:rsidRPr="00DB0A4B" w:rsidRDefault="00DB0A4B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3771900</wp:posOffset>
            </wp:positionH>
            <wp:positionV relativeFrom="paragraph">
              <wp:posOffset>168275</wp:posOffset>
            </wp:positionV>
            <wp:extent cx="3227070" cy="2870200"/>
            <wp:effectExtent l="0" t="0" r="0" b="635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27070" cy="2870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EA4BF0" w:rsidRPr="00DB0A4B" w:rsidRDefault="00EA4BF0" w:rsidP="00EA4BF0">
      <w:pPr>
        <w:spacing w:after="0" w:line="240" w:lineRule="auto"/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</w:pPr>
      <w:r w:rsidRPr="00DB0A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Popp, David, et al. </w:t>
      </w:r>
      <w:r w:rsidRPr="00DB0A4B">
        <w:rPr>
          <w:rFonts w:ascii="Times New Roman" w:hAnsi="Times New Roman" w:cs="Times New Roman"/>
          <w:i/>
          <w:iCs/>
          <w:color w:val="222222"/>
          <w:sz w:val="24"/>
          <w:szCs w:val="24"/>
          <w:shd w:val="clear" w:color="auto" w:fill="FFFFFF"/>
        </w:rPr>
        <w:t>Innovation and Entrepreneurship in the Energy Sector</w:t>
      </w:r>
      <w:r w:rsidRPr="00DB0A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. No. w27145. National Bureau of Economic Research, 2020.</w:t>
      </w:r>
      <w:r w:rsidRPr="00DB0A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 xml:space="preserve"> </w:t>
      </w:r>
      <w:hyperlink r:id="rId9" w:history="1">
        <w:r w:rsidRPr="00DB0A4B">
          <w:rPr>
            <w:rStyle w:val="Hyperlink"/>
            <w:rFonts w:ascii="Times New Roman" w:hAnsi="Times New Roman" w:cs="Times New Roman"/>
            <w:sz w:val="24"/>
            <w:szCs w:val="24"/>
            <w:shd w:val="clear" w:color="auto" w:fill="FFFFFF"/>
          </w:rPr>
          <w:t>https://www.nber.org/papers/w27145.pdf</w:t>
        </w:r>
      </w:hyperlink>
    </w:p>
    <w:p w:rsidR="00EA4BF0" w:rsidRDefault="00EA4BF0" w:rsidP="00EA4BF0">
      <w:p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 w:rsidRPr="00DB0A4B">
        <w:rPr>
          <w:rFonts w:ascii="Times New Roman" w:hAnsi="Times New Roman" w:cs="Times New Roman"/>
          <w:color w:val="222222"/>
          <w:sz w:val="24"/>
          <w:szCs w:val="24"/>
          <w:shd w:val="clear" w:color="auto" w:fill="FFFFFF"/>
        </w:rPr>
        <w:t>能源领域的创新越来越依赖于其他高技术行业的发展，</w:t>
      </w:r>
      <w:r w:rsidRPr="00DB0A4B">
        <w:rPr>
          <w:rFonts w:ascii="Times New Roman" w:hAnsi="Times New Roman" w:cs="Times New Roman"/>
          <w:sz w:val="24"/>
          <w:szCs w:val="24"/>
        </w:rPr>
        <w:t>two descriptive data analyses that document a sharp decline in both clean energy patenting and start-up activity from about 2010 onwards</w:t>
      </w:r>
      <w:r w:rsidR="00DB0A4B">
        <w:rPr>
          <w:rFonts w:ascii="Times New Roman" w:hAnsi="Times New Roman" w:cs="Times New Roman" w:hint="eastAsia"/>
          <w:sz w:val="24"/>
          <w:szCs w:val="24"/>
        </w:rPr>
        <w:t>:</w:t>
      </w:r>
    </w:p>
    <w:p w:rsidR="00DB0A4B" w:rsidRDefault="00DB0A4B" w:rsidP="00DB0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Energy price?</w:t>
      </w:r>
    </w:p>
    <w:p w:rsidR="00DB0A4B" w:rsidRDefault="00DB0A4B" w:rsidP="00DB0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Technology of hydro-fracturing?</w:t>
      </w:r>
    </w:p>
    <w:p w:rsidR="00DB0A4B" w:rsidRDefault="00DB0A4B" w:rsidP="00DB0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Diminishing return to innovation?</w:t>
      </w:r>
    </w:p>
    <w:p w:rsidR="00DB0A4B" w:rsidRDefault="00DB0A4B" w:rsidP="00DB0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Innovation has worked?</w:t>
      </w:r>
    </w:p>
    <w:p w:rsidR="00DB0A4B" w:rsidRPr="00DB0A4B" w:rsidRDefault="00DB0A4B" w:rsidP="00DB0A4B">
      <w:pPr>
        <w:pStyle w:val="ListParagraph"/>
        <w:numPr>
          <w:ilvl w:val="0"/>
          <w:numId w:val="1"/>
        </w:numPr>
        <w:spacing w:after="0" w:line="240" w:lineRule="auto"/>
        <w:rPr>
          <w:rFonts w:ascii="Times New Roman" w:hAnsi="Times New Roman" w:cs="Times New Roman" w:hint="eastAsia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Weakened regulation in Obama era?</w:t>
      </w:r>
    </w:p>
    <w:p w:rsidR="00D856EE" w:rsidRDefault="00D856EE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CE637F">
        <w:rPr>
          <w:rFonts w:ascii="Times New Roman" w:hAnsi="Times New Roman" w:cs="Times New Roman"/>
          <w:sz w:val="24"/>
          <w:szCs w:val="24"/>
          <w:highlight w:val="yellow"/>
        </w:rPr>
        <w:t>EPO World Patent Statistical Database (PATSTAT)</w:t>
      </w:r>
      <w:r w:rsidRPr="00CE637F">
        <w:rPr>
          <w:rFonts w:ascii="Times New Roman" w:hAnsi="Times New Roman" w:cs="Times New Roman"/>
          <w:sz w:val="24"/>
          <w:szCs w:val="24"/>
          <w:highlight w:val="yellow"/>
        </w:rPr>
        <w:t xml:space="preserve">: </w:t>
      </w:r>
      <w:r w:rsidRPr="00CE637F">
        <w:rPr>
          <w:rFonts w:ascii="Times New Roman" w:hAnsi="Times New Roman" w:cs="Times New Roman"/>
          <w:sz w:val="24"/>
          <w:szCs w:val="24"/>
          <w:highlight w:val="yellow"/>
        </w:rPr>
        <w:t>包含中国的专利数据，这个数据跟我们的有何不同？</w:t>
      </w:r>
    </w:p>
    <w:p w:rsidR="00F62B49" w:rsidRDefault="00F62B49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75" w:rsidRDefault="00A80B75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75" w:rsidRDefault="00A80B75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75" w:rsidRDefault="00A80B75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75" w:rsidRDefault="00A80B75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A80B75">
        <w:rPr>
          <w:rFonts w:ascii="Times New Roman" w:hAnsi="Times New Roman" w:cs="Times New Roman"/>
          <w:sz w:val="24"/>
          <w:szCs w:val="24"/>
        </w:rPr>
        <w:t>Popp, David. "Promoting Clean Energy Innovation at the State and Local Level." Agricultural and Resource Economics Review (2020): 1-14.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hyperlink r:id="rId10" w:history="1">
        <w:r w:rsidRPr="00843001">
          <w:rPr>
            <w:rStyle w:val="Hyperlink"/>
            <w:rFonts w:ascii="Times New Roman" w:hAnsi="Times New Roman" w:cs="Times New Roman"/>
            <w:sz w:val="24"/>
            <w:szCs w:val="24"/>
          </w:rPr>
          <w:t>https://www.cambridge.org/core/services/aop-cambridge-core/content/view/5AD1CD8946541A2098690F8F303853DB/S1068280520000155a.pdf/div-class-title-promoting-clean-energy-innovation-at-the-state-and-local-level-div.pdf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A80B75" w:rsidRDefault="00A80B75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</w:t>
      </w:r>
      <w:r>
        <w:rPr>
          <w:rFonts w:ascii="Times New Roman" w:hAnsi="Times New Roman" w:cs="Times New Roman" w:hint="eastAsia"/>
          <w:sz w:val="24"/>
          <w:szCs w:val="24"/>
        </w:rPr>
        <w:t>ech</w:t>
      </w:r>
      <w:r>
        <w:rPr>
          <w:rFonts w:ascii="Times New Roman" w:hAnsi="Times New Roman" w:cs="Times New Roman"/>
          <w:sz w:val="24"/>
          <w:szCs w:val="24"/>
        </w:rPr>
        <w:t xml:space="preserve">nology-neutral policy (carbon cap-n-trade, clean energy mandate) </w:t>
      </w:r>
      <w:r>
        <w:rPr>
          <w:rFonts w:ascii="Times New Roman" w:hAnsi="Times New Roman" w:cs="Times New Roman" w:hint="eastAsia"/>
          <w:sz w:val="24"/>
          <w:szCs w:val="24"/>
        </w:rPr>
        <w:t>favors</w:t>
      </w:r>
      <w:r>
        <w:rPr>
          <w:rFonts w:ascii="Times New Roman" w:hAnsi="Times New Roman" w:cs="Times New Roman"/>
          <w:sz w:val="24"/>
          <w:szCs w:val="24"/>
        </w:rPr>
        <w:t xml:space="preserve"> clean energy that is most profitable. </w:t>
      </w:r>
      <w:r>
        <w:rPr>
          <w:rFonts w:ascii="Times New Roman" w:hAnsi="Times New Roman" w:cs="Times New Roman" w:hint="eastAsia"/>
          <w:sz w:val="24"/>
          <w:szCs w:val="24"/>
        </w:rPr>
        <w:t>因此不是所有清洁能源的创新都得到同等程度的刺激。</w:t>
      </w:r>
    </w:p>
    <w:p w:rsidR="00A80B75" w:rsidRDefault="00A80B75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A80B75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3835400</wp:posOffset>
            </wp:positionH>
            <wp:positionV relativeFrom="paragraph">
              <wp:posOffset>8255</wp:posOffset>
            </wp:positionV>
            <wp:extent cx="3155950" cy="1111250"/>
            <wp:effectExtent l="19050" t="19050" r="25400" b="12700"/>
            <wp:wrapSquare wrapText="bothSides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0774" r="2867"/>
                    <a:stretch/>
                  </pic:blipFill>
                  <pic:spPr bwMode="auto">
                    <a:xfrm>
                      <a:off x="0" y="0"/>
                      <a:ext cx="3155950" cy="1111250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A80B75" w:rsidRPr="00A80B75">
        <w:rPr>
          <w:rFonts w:ascii="Times New Roman" w:hAnsi="Times New Roman" w:cs="Times New Roman"/>
          <w:sz w:val="24"/>
          <w:szCs w:val="24"/>
        </w:rPr>
        <w:t xml:space="preserve">Fu, </w:t>
      </w:r>
      <w:proofErr w:type="spellStart"/>
      <w:r w:rsidR="00A80B75" w:rsidRPr="00A80B75">
        <w:rPr>
          <w:rFonts w:ascii="Times New Roman" w:hAnsi="Times New Roman" w:cs="Times New Roman"/>
          <w:sz w:val="24"/>
          <w:szCs w:val="24"/>
        </w:rPr>
        <w:t>Wancong</w:t>
      </w:r>
      <w:proofErr w:type="spellEnd"/>
      <w:r w:rsidR="00A80B75" w:rsidRPr="00A80B75">
        <w:rPr>
          <w:rFonts w:ascii="Times New Roman" w:hAnsi="Times New Roman" w:cs="Times New Roman"/>
          <w:sz w:val="24"/>
          <w:szCs w:val="24"/>
        </w:rPr>
        <w:t>, et al. Technological spillover effects of state renewable energy policy: Evidence from patent counts. No. w25390. National Bureau of Economic Research, 2018.</w:t>
      </w:r>
      <w:r w:rsidR="00A80B75">
        <w:rPr>
          <w:rFonts w:ascii="Times New Roman" w:hAnsi="Times New Roman" w:cs="Times New Roman"/>
          <w:sz w:val="24"/>
          <w:szCs w:val="24"/>
        </w:rPr>
        <w:t xml:space="preserve"> </w:t>
      </w:r>
      <w:hyperlink r:id="rId12" w:history="1">
        <w:r w:rsidR="00A80B75" w:rsidRPr="00843001">
          <w:rPr>
            <w:rStyle w:val="Hyperlink"/>
            <w:rFonts w:ascii="Times New Roman" w:hAnsi="Times New Roman" w:cs="Times New Roman"/>
            <w:sz w:val="24"/>
            <w:szCs w:val="24"/>
          </w:rPr>
          <w:t>https://www.nber.org/papers/w25390.pdf</w:t>
        </w:r>
      </w:hyperlink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CE637F">
        <w:rPr>
          <w:rFonts w:ascii="Times New Roman" w:hAnsi="Times New Roman" w:cs="Times New Roman" w:hint="eastAsia"/>
          <w:sz w:val="24"/>
          <w:szCs w:val="24"/>
          <w:highlight w:val="yellow"/>
        </w:rPr>
        <w:t>我们可能要用这篇文章提到的</w:t>
      </w:r>
      <w:r w:rsidRPr="00CE637F">
        <w:rPr>
          <w:rFonts w:ascii="Times New Roman" w:hAnsi="Times New Roman" w:cs="Times New Roman"/>
          <w:b/>
          <w:sz w:val="24"/>
          <w:szCs w:val="24"/>
          <w:highlight w:val="yellow"/>
          <w:u w:val="single"/>
        </w:rPr>
        <w:t>semiparametric fixed-effects Tobit model</w:t>
      </w:r>
    </w:p>
    <w:p w:rsidR="00A80B75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column">
              <wp:posOffset>2819400</wp:posOffset>
            </wp:positionH>
            <wp:positionV relativeFrom="paragraph">
              <wp:posOffset>138430</wp:posOffset>
            </wp:positionV>
            <wp:extent cx="3911600" cy="703726"/>
            <wp:effectExtent l="19050" t="19050" r="12700" b="20320"/>
            <wp:wrapSquare wrapText="bothSides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11600" cy="703726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anchor>
        </w:drawing>
      </w:r>
      <w:r w:rsidRPr="00CE637F">
        <w:rPr>
          <w:rFonts w:ascii="Times New Roman" w:hAnsi="Times New Roman" w:cs="Times New Roman"/>
          <w:sz w:val="24"/>
          <w:szCs w:val="24"/>
        </w:rPr>
        <w:t>We use two versions of spatial weight matrices: one dividing log of population by distance, and a second with identical non-zero weights only when states share a common border.</w:t>
      </w:r>
    </w:p>
    <w:p w:rsidR="00CE637F" w:rsidRDefault="00CE637F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:rsidR="00DB0A4B" w:rsidRPr="00DB0A4B" w:rsidRDefault="00DB0A4B" w:rsidP="00EA4BF0">
      <w:pPr>
        <w:spacing w:after="0" w:line="240" w:lineRule="auto"/>
        <w:rPr>
          <w:rFonts w:ascii="Times New Roman" w:hAnsi="Times New Roman" w:cs="Times New Roman" w:hint="eastAsia"/>
          <w:color w:val="222222"/>
          <w:sz w:val="24"/>
          <w:szCs w:val="24"/>
          <w:shd w:val="clear" w:color="auto" w:fill="FFFFFF"/>
        </w:rPr>
      </w:pPr>
    </w:p>
    <w:p w:rsidR="00EA4BF0" w:rsidRPr="00DB0A4B" w:rsidRDefault="00EA4BF0" w:rsidP="00EA4BF0">
      <w:pPr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sectPr w:rsidR="00EA4BF0" w:rsidRPr="00DB0A4B" w:rsidSect="00DB0A4B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59E2F29"/>
    <w:multiLevelType w:val="hybridMultilevel"/>
    <w:tmpl w:val="1FD476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700B"/>
    <w:rsid w:val="004F5CE2"/>
    <w:rsid w:val="00A80B75"/>
    <w:rsid w:val="00CE637F"/>
    <w:rsid w:val="00D221C3"/>
    <w:rsid w:val="00D856EE"/>
    <w:rsid w:val="00DB0A4B"/>
    <w:rsid w:val="00EA4BF0"/>
    <w:rsid w:val="00F62B49"/>
    <w:rsid w:val="00F8700B"/>
    <w:rsid w:val="00FF17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58AA69"/>
  <w15:chartTrackingRefBased/>
  <w15:docId w15:val="{6511EDB2-4A23-4D22-95BC-756E65CC44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8700B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DB0A4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0557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769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hyperlink" Target="https://www.nber.org/papers/w27777.pdf" TargetMode="External"/><Relationship Id="rId12" Type="http://schemas.openxmlformats.org/officeDocument/2006/relationships/hyperlink" Target="https://www.nber.org/papers/w25390.pdf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pdfs.semanticscholar.org/ca53/77d282e6fc34c2ef1cbd3810b16595d42e89.pdf" TargetMode="External"/><Relationship Id="rId11" Type="http://schemas.openxmlformats.org/officeDocument/2006/relationships/image" Target="media/image2.png"/><Relationship Id="rId5" Type="http://schemas.openxmlformats.org/officeDocument/2006/relationships/hyperlink" Target="https://papers.ssrn.com/sol3/papers.cfm?abstract_id=3681360" TargetMode="External"/><Relationship Id="rId15" Type="http://schemas.openxmlformats.org/officeDocument/2006/relationships/theme" Target="theme/theme1.xml"/><Relationship Id="rId10" Type="http://schemas.openxmlformats.org/officeDocument/2006/relationships/hyperlink" Target="https://www.cambridge.org/core/services/aop-cambridge-core/content/view/5AD1CD8946541A2098690F8F303853DB/S1068280520000155a.pdf/div-class-title-promoting-clean-energy-innovation-at-the-state-and-local-level-div.pdf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nber.org/papers/w27145.pdf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306</TotalTime>
  <Pages>2</Pages>
  <Words>469</Words>
  <Characters>2675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Chuxin Liu</dc:creator>
  <cp:keywords/>
  <dc:description/>
  <cp:lastModifiedBy>Chuxin Liu</cp:lastModifiedBy>
  <cp:revision>1</cp:revision>
  <dcterms:created xsi:type="dcterms:W3CDTF">2020-09-09T16:51:00Z</dcterms:created>
  <dcterms:modified xsi:type="dcterms:W3CDTF">2020-09-09T21:57:00Z</dcterms:modified>
</cp:coreProperties>
</file>