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w:t>
      </w:r>
    </w:p>
    <w:p>
      <w:pPr>
        <w:sectPr>
          <w:pgSz w:w="12240" w:h="15840" w:orient="portrait"/>
          <w:cols w:equalWidth="0" w:num="1">
            <w:col w:w="9480"/>
          </w:cols>
          <w:pgMar w:left="1440" w:top="1293" w:right="1320" w:bottom="124" w:gutter="0" w:footer="0" w:header="0"/>
        </w:sectPr>
      </w:pPr>
    </w:p>
    <w:p>
      <w:pPr>
        <w:spacing w:after="0" w:line="276"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2"/>
          <w:szCs w:val="22"/>
          <w:b w:val="1"/>
          <w:bCs w:val="1"/>
          <w:i w:val="1"/>
          <w:iCs w:val="1"/>
          <w:color w:val="auto"/>
        </w:rPr>
        <w:t>CATEGORY 1 - SPECIAL MATERIALS AND</w:t>
      </w:r>
    </w:p>
    <w:p>
      <w:pPr>
        <w:spacing w:after="0" w:line="13" w:lineRule="exact"/>
        <w:rPr>
          <w:sz w:val="24"/>
          <w:szCs w:val="24"/>
          <w:color w:val="auto"/>
        </w:rPr>
      </w:pPr>
    </w:p>
    <w:p>
      <w:pPr>
        <w:jc w:val="both"/>
        <w:ind w:left="200" w:right="200" w:firstLine="28"/>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RELATED EQUIPMENT, CHEMICALS, “MICROORGANISMS,” AND “TOXINS”</w:t>
      </w:r>
    </w:p>
    <w:p>
      <w:pPr>
        <w:spacing w:after="0" w:line="267" w:lineRule="exact"/>
        <w:rPr>
          <w:sz w:val="24"/>
          <w:szCs w:val="24"/>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Food and Drug Administration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(FDA) and the Drug Enforcement Administration</w:t>
      </w:r>
    </w:p>
    <w:p>
      <w:pPr>
        <w:spacing w:after="0" w:line="14" w:lineRule="exact"/>
        <w:rPr>
          <w:sz w:val="24"/>
          <w:szCs w:val="24"/>
          <w:color w:val="auto"/>
        </w:rPr>
      </w:pPr>
    </w:p>
    <w:p>
      <w:pPr>
        <w:jc w:val="both"/>
        <w:spacing w:after="0" w:line="239" w:lineRule="auto"/>
        <w:rPr>
          <w:sz w:val="20"/>
          <w:szCs w:val="20"/>
          <w:color w:val="auto"/>
        </w:rPr>
      </w:pPr>
      <w:r>
        <w:rPr>
          <w:rFonts w:ascii="Times New Roman" w:cs="Times New Roman" w:eastAsia="Times New Roman" w:hAnsi="Times New Roman"/>
          <w:sz w:val="22"/>
          <w:szCs w:val="22"/>
          <w:i w:val="1"/>
          <w:iCs w:val="1"/>
          <w:color w:val="auto"/>
        </w:rPr>
        <w:t>(DEA) may control exports of items subject to the EAR and on the Commerce Control List. BIS provides cross references to these other agency controls for convenience only. Therefore, please consult relevant FDA and DEA regulations for guidance related to the item you wish to export and do not rely solely on the EAR for information about other agency export control requirements. See Supplement No. 3 to part 730 (Other U.S. Government Departments and Agencies with Export Control Responsibilities) for more information.</w:t>
      </w:r>
    </w:p>
    <w:p>
      <w:pPr>
        <w:spacing w:after="0" w:line="200" w:lineRule="exact"/>
        <w:rPr>
          <w:sz w:val="24"/>
          <w:szCs w:val="24"/>
          <w:color w:val="auto"/>
        </w:rPr>
      </w:pPr>
    </w:p>
    <w:p>
      <w:pPr>
        <w:spacing w:after="0" w:line="319" w:lineRule="exact"/>
        <w:rPr>
          <w:sz w:val="24"/>
          <w:szCs w:val="24"/>
          <w:color w:val="auto"/>
        </w:rPr>
      </w:pPr>
    </w:p>
    <w:p>
      <w:pPr>
        <w:jc w:val="center"/>
        <w:spacing w:after="0" w:line="236" w:lineRule="auto"/>
        <w:rPr>
          <w:sz w:val="20"/>
          <w:szCs w:val="20"/>
          <w:color w:val="auto"/>
        </w:rPr>
      </w:pPr>
      <w:r>
        <w:rPr>
          <w:rFonts w:ascii="Times New Roman" w:cs="Times New Roman" w:eastAsia="Times New Roman" w:hAnsi="Times New Roman"/>
          <w:sz w:val="22"/>
          <w:szCs w:val="22"/>
          <w:b w:val="1"/>
          <w:bCs w:val="1"/>
          <w:color w:val="auto"/>
        </w:rPr>
        <w:t>A. “END ITEMS,” “EQUIPMENT,” “ACCESSORIES,” “ATTACHMENTS,” “PARTS,” “COMPONENTS,” AND “SYSTEMS”</w:t>
      </w:r>
    </w:p>
    <w:p>
      <w:pPr>
        <w:spacing w:after="0" w:line="270" w:lineRule="exact"/>
        <w:rPr>
          <w:sz w:val="24"/>
          <w:szCs w:val="24"/>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1A001 “Parts” and “components” made from fluorinated compounds, as follows (see List of Items Controlled).</w:t>
      </w:r>
    </w:p>
    <w:p>
      <w:pPr>
        <w:spacing w:after="0" w:line="256"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4"/>
          <w:szCs w:val="24"/>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5" w:lineRule="exact"/>
        <w:rPr>
          <w:sz w:val="24"/>
          <w:szCs w:val="24"/>
          <w:color w:val="auto"/>
        </w:rPr>
      </w:pPr>
    </w:p>
    <w:tbl>
      <w:tblPr>
        <w:tblLayout w:type="fixed"/>
        <w:tblInd w:w="110" w:type="dxa"/>
        <w:tblCellMar>
          <w:top w:w="0" w:type="dxa"/>
          <w:left w:w="0" w:type="dxa"/>
          <w:bottom w:w="0" w:type="dxa"/>
          <w:right w:w="0" w:type="dxa"/>
        </w:tblCellMar>
      </w:tblPr>
      <w:tr>
        <w:trPr>
          <w:trHeight w:val="262"/>
        </w:trPr>
        <w:tc>
          <w:tcPr>
            <w:tcW w:w="2500" w:type="dxa"/>
            <w:vAlign w:val="bottom"/>
            <w:tcBorders>
              <w:top w:val="single" w:sz="8" w:color="auto"/>
              <w:left w:val="single" w:sz="8" w:color="auto"/>
              <w:right w:val="single" w:sz="8" w:color="auto"/>
            </w:tcBorders>
          </w:tcPr>
          <w:p>
            <w:pPr>
              <w:spacing w:after="0"/>
              <w:rPr>
                <w:sz w:val="22"/>
                <w:szCs w:val="22"/>
                <w:color w:val="auto"/>
              </w:rPr>
            </w:pPr>
          </w:p>
        </w:tc>
        <w:tc>
          <w:tcPr>
            <w:tcW w:w="17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500" w:type="dxa"/>
            <w:vAlign w:val="bottom"/>
            <w:tcBorders>
              <w:left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4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500" w:type="dxa"/>
            <w:vAlign w:val="bottom"/>
            <w:tcBorders>
              <w:left w:val="single" w:sz="8" w:color="auto"/>
              <w:bottom w:val="single" w:sz="8" w:color="auto"/>
              <w:right w:val="single" w:sz="8" w:color="auto"/>
            </w:tcBorders>
          </w:tcPr>
          <w:p>
            <w:pPr>
              <w:spacing w:after="0"/>
              <w:rPr>
                <w:sz w:val="22"/>
                <w:szCs w:val="22"/>
                <w:color w:val="auto"/>
              </w:rPr>
            </w:pPr>
          </w:p>
        </w:tc>
        <w:tc>
          <w:tcPr>
            <w:tcW w:w="17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74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41"/>
        </w:trPr>
        <w:tc>
          <w:tcPr>
            <w:tcW w:w="250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74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50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74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4"/>
          <w:szCs w:val="24"/>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12" w:lineRule="exact"/>
        <w:rPr>
          <w:sz w:val="24"/>
          <w:szCs w:val="24"/>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Items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“specially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designed” or modified for missiles or for</w:t>
      </w:r>
    </w:p>
    <w:p>
      <w:pPr>
        <w:spacing w:after="0" w:line="20" w:lineRule="exact"/>
        <w:rPr>
          <w:sz w:val="24"/>
          <w:szCs w:val="24"/>
          <w:color w:val="auto"/>
        </w:rPr>
      </w:pPr>
      <w:r>
        <w:rPr>
          <w:sz w:val="24"/>
          <w:szCs w:val="24"/>
          <w:color w:val="auto"/>
        </w:rPr>
        <w:br w:type="column"/>
      </w:r>
    </w:p>
    <w:p>
      <w:pPr>
        <w:spacing w:after="0" w:line="267" w:lineRule="exact"/>
        <w:rPr>
          <w:sz w:val="24"/>
          <w:szCs w:val="24"/>
          <w:color w:val="auto"/>
        </w:rPr>
      </w:pPr>
    </w:p>
    <w:p>
      <w:pPr>
        <w:jc w:val="both"/>
        <w:ind w:left="360" w:right="120"/>
        <w:spacing w:after="0" w:line="237" w:lineRule="auto"/>
        <w:rPr>
          <w:sz w:val="20"/>
          <w:szCs w:val="20"/>
          <w:color w:val="auto"/>
        </w:rPr>
      </w:pPr>
      <w:r>
        <w:rPr>
          <w:rFonts w:ascii="Times New Roman" w:cs="Times New Roman" w:eastAsia="Times New Roman" w:hAnsi="Times New Roman"/>
          <w:sz w:val="22"/>
          <w:szCs w:val="22"/>
          <w:color w:val="auto"/>
        </w:rPr>
        <w:t xml:space="preserve">items on the U.S. Munitions List are “subject to the ITAR” (see 22 CFR parts 120 through 130, including USML Category XXI). (2) See also </w:t>
      </w:r>
      <w:r>
        <w:rPr>
          <w:rFonts w:ascii="Times New Roman" w:cs="Times New Roman" w:eastAsia="Times New Roman" w:hAnsi="Times New Roman"/>
          <w:sz w:val="22"/>
          <w:szCs w:val="22"/>
          <w:u w:val="single" w:color="auto"/>
          <w:color w:val="0000FF"/>
        </w:rPr>
        <w:t>1C009</w:t>
      </w:r>
      <w:r>
        <w:rPr>
          <w:rFonts w:ascii="Times New Roman" w:cs="Times New Roman" w:eastAsia="Times New Roman" w:hAnsi="Times New Roman"/>
          <w:sz w:val="22"/>
          <w:szCs w:val="22"/>
          <w:color w:val="auto"/>
        </w:rPr>
        <w:t>.</w:t>
      </w:r>
    </w:p>
    <w:p>
      <w:pPr>
        <w:spacing w:after="0" w:line="1"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4"/>
          <w:szCs w:val="24"/>
          <w:color w:val="auto"/>
        </w:rPr>
      </w:pPr>
    </w:p>
    <w:p>
      <w:pPr>
        <w:jc w:val="both"/>
        <w:ind w:right="120" w:firstLine="1"/>
        <w:spacing w:after="0" w:line="237" w:lineRule="auto"/>
        <w:tabs>
          <w:tab w:leader="none" w:pos="423"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Seals, gaskets, sealants or fuel bladders, “specially designed” for “aircraft” or aerospace use, made from more than 50% by weight of any of the materials controlled by 1C009.b or 1C009.c;</w:t>
      </w:r>
    </w:p>
    <w:p>
      <w:pPr>
        <w:spacing w:after="0" w:line="256" w:lineRule="exact"/>
        <w:rPr>
          <w:rFonts w:ascii="Times New Roman" w:cs="Times New Roman" w:eastAsia="Times New Roman" w:hAnsi="Times New Roman"/>
          <w:sz w:val="22"/>
          <w:szCs w:val="22"/>
          <w:color w:val="auto"/>
        </w:rPr>
      </w:pPr>
    </w:p>
    <w:p>
      <w:pPr>
        <w:ind w:left="220" w:hanging="219"/>
        <w:spacing w:after="0"/>
        <w:tabs>
          <w:tab w:leader="none" w:pos="220"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00" w:lineRule="exact"/>
        <w:rPr>
          <w:sz w:val="24"/>
          <w:szCs w:val="24"/>
          <w:color w:val="auto"/>
        </w:rPr>
      </w:pPr>
    </w:p>
    <w:p>
      <w:pPr>
        <w:spacing w:after="0" w:line="319" w:lineRule="exact"/>
        <w:rPr>
          <w:sz w:val="24"/>
          <w:szCs w:val="24"/>
          <w:color w:val="auto"/>
        </w:rPr>
      </w:pPr>
    </w:p>
    <w:p>
      <w:pPr>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1A002 “Composite” structures or laminates, as follows (see List of Items Controlled).</w:t>
      </w:r>
    </w:p>
    <w:p>
      <w:pPr>
        <w:spacing w:after="0" w:line="254"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4"/>
          <w:szCs w:val="24"/>
          <w:color w:val="auto"/>
        </w:rPr>
      </w:pPr>
    </w:p>
    <w:p>
      <w:pPr>
        <w:jc w:val="center"/>
        <w:ind w:right="620"/>
        <w:spacing w:after="0"/>
        <w:tabs>
          <w:tab w:leader="none" w:pos="2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36" w:lineRule="exact"/>
        <w:rPr>
          <w:sz w:val="24"/>
          <w:szCs w:val="24"/>
          <w:color w:val="auto"/>
        </w:rPr>
      </w:pPr>
    </w:p>
    <w:tbl>
      <w:tblPr>
        <w:tblLayout w:type="fixed"/>
        <w:tblInd w:w="130" w:type="dxa"/>
        <w:tblCellMar>
          <w:top w:w="0" w:type="dxa"/>
          <w:left w:w="0" w:type="dxa"/>
          <w:bottom w:w="0" w:type="dxa"/>
          <w:right w:w="0" w:type="dxa"/>
        </w:tblCellMar>
      </w:tblPr>
      <w:tr>
        <w:trPr>
          <w:trHeight w:val="256"/>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37"/>
        </w:trPr>
        <w:tc>
          <w:tcPr>
            <w:tcW w:w="2720" w:type="dxa"/>
            <w:vAlign w:val="bottom"/>
            <w:tcBorders>
              <w:left w:val="single" w:sz="8" w:color="auto"/>
              <w:bottom w:val="single" w:sz="8" w:color="auto"/>
              <w:right w:val="single" w:sz="8" w:color="auto"/>
            </w:tcBorders>
          </w:tcPr>
          <w:p>
            <w:pPr>
              <w:ind w:left="120"/>
              <w:spacing w:after="0" w:line="238"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20" w:type="dxa"/>
            <w:vAlign w:val="bottom"/>
            <w:tcBorders>
              <w:bottom w:val="single" w:sz="8" w:color="auto"/>
              <w:right w:val="single" w:sz="8" w:color="auto"/>
            </w:tcBorders>
          </w:tcPr>
          <w:p>
            <w:pPr>
              <w:ind w:left="100"/>
              <w:spacing w:after="0" w:line="238" w:lineRule="exact"/>
              <w:rPr>
                <w:sz w:val="20"/>
                <w:szCs w:val="20"/>
                <w:color w:val="auto"/>
              </w:rPr>
            </w:pPr>
            <w:r>
              <w:rPr>
                <w:rFonts w:ascii="Times New Roman" w:cs="Times New Roman" w:eastAsia="Times New Roman" w:hAnsi="Times New Roman"/>
                <w:sz w:val="22"/>
                <w:szCs w:val="22"/>
                <w:color w:val="auto"/>
              </w:rPr>
              <w:t>NS Column 2</w:t>
            </w:r>
          </w:p>
        </w:tc>
      </w:tr>
      <w:tr>
        <w:trPr>
          <w:trHeight w:val="236"/>
        </w:trPr>
        <w:tc>
          <w:tcPr>
            <w:tcW w:w="2720" w:type="dxa"/>
            <w:vAlign w:val="bottom"/>
            <w:tcBorders>
              <w:left w:val="single" w:sz="8" w:color="auto"/>
              <w:right w:val="single" w:sz="8" w:color="auto"/>
            </w:tcBorders>
          </w:tcPr>
          <w:p>
            <w:pPr>
              <w:ind w:left="120"/>
              <w:spacing w:after="0" w:line="237" w:lineRule="exact"/>
              <w:rPr>
                <w:sz w:val="20"/>
                <w:szCs w:val="20"/>
                <w:color w:val="auto"/>
              </w:rPr>
            </w:pPr>
            <w:r>
              <w:rPr>
                <w:rFonts w:ascii="Times New Roman" w:cs="Times New Roman" w:eastAsia="Times New Roman" w:hAnsi="Times New Roman"/>
                <w:sz w:val="22"/>
                <w:szCs w:val="22"/>
                <w:color w:val="auto"/>
              </w:rPr>
              <w:t>NP applies to 1A002.b.1 in</w:t>
            </w:r>
          </w:p>
        </w:tc>
        <w:tc>
          <w:tcPr>
            <w:tcW w:w="1620" w:type="dxa"/>
            <w:vAlign w:val="bottom"/>
            <w:tcBorders>
              <w:right w:val="single" w:sz="8" w:color="auto"/>
            </w:tcBorders>
          </w:tcPr>
          <w:p>
            <w:pPr>
              <w:ind w:left="100"/>
              <w:spacing w:after="0" w:line="237"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27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the form of tubes with an</w:t>
            </w:r>
          </w:p>
        </w:tc>
        <w:tc>
          <w:tcPr>
            <w:tcW w:w="1620" w:type="dxa"/>
            <w:vAlign w:val="bottom"/>
            <w:tcBorders>
              <w:right w:val="single" w:sz="8" w:color="auto"/>
            </w:tcBorders>
          </w:tcPr>
          <w:p>
            <w:pPr>
              <w:spacing w:after="0"/>
              <w:rPr>
                <w:sz w:val="22"/>
                <w:szCs w:val="22"/>
                <w:color w:val="auto"/>
              </w:rPr>
            </w:pPr>
          </w:p>
        </w:tc>
      </w:tr>
      <w:tr>
        <w:trPr>
          <w:trHeight w:val="252"/>
        </w:trPr>
        <w:tc>
          <w:tcPr>
            <w:tcW w:w="27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inside diameter between 75</w:t>
            </w:r>
          </w:p>
        </w:tc>
        <w:tc>
          <w:tcPr>
            <w:tcW w:w="1620" w:type="dxa"/>
            <w:vAlign w:val="bottom"/>
            <w:tcBorders>
              <w:right w:val="single" w:sz="8" w:color="auto"/>
            </w:tcBorders>
          </w:tcPr>
          <w:p>
            <w:pPr>
              <w:spacing w:after="0"/>
              <w:rPr>
                <w:sz w:val="21"/>
                <w:szCs w:val="21"/>
                <w:color w:val="auto"/>
              </w:rPr>
            </w:pPr>
          </w:p>
        </w:tc>
      </w:tr>
      <w:tr>
        <w:trPr>
          <w:trHeight w:val="255"/>
        </w:trPr>
        <w:tc>
          <w:tcPr>
            <w:tcW w:w="27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mm and 400 mm</w:t>
            </w:r>
          </w:p>
        </w:tc>
        <w:tc>
          <w:tcPr>
            <w:tcW w:w="1620" w:type="dxa"/>
            <w:vAlign w:val="bottom"/>
            <w:tcBorders>
              <w:bottom w:val="single" w:sz="8" w:color="auto"/>
              <w:right w:val="single" w:sz="8" w:color="auto"/>
            </w:tcBorders>
          </w:tcPr>
          <w:p>
            <w:pPr>
              <w:spacing w:after="0"/>
              <w:rPr>
                <w:sz w:val="22"/>
                <w:szCs w:val="22"/>
                <w:color w:val="auto"/>
              </w:rPr>
            </w:pPr>
          </w:p>
        </w:tc>
      </w:tr>
      <w:tr>
        <w:trPr>
          <w:trHeight w:val="238"/>
        </w:trPr>
        <w:tc>
          <w:tcPr>
            <w:tcW w:w="2720" w:type="dxa"/>
            <w:vAlign w:val="bottom"/>
            <w:tcBorders>
              <w:left w:val="single" w:sz="8" w:color="auto"/>
              <w:bottom w:val="single" w:sz="8" w:color="auto"/>
              <w:right w:val="single" w:sz="8" w:color="auto"/>
            </w:tcBorders>
          </w:tcPr>
          <w:p>
            <w:pPr>
              <w:ind w:left="120"/>
              <w:spacing w:after="0" w:line="238"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ind w:left="100"/>
              <w:spacing w:after="0" w:line="238"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51"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65" w:lineRule="exact"/>
        <w:rPr>
          <w:sz w:val="24"/>
          <w:szCs w:val="24"/>
          <w:color w:val="auto"/>
        </w:rPr>
      </w:pPr>
    </w:p>
    <w:p>
      <w:pPr>
        <w:jc w:val="both"/>
        <w:ind w:left="360" w:right="120"/>
        <w:spacing w:after="0" w:line="236"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70" w:lineRule="exact"/>
        <w:rPr>
          <w:sz w:val="24"/>
          <w:szCs w:val="24"/>
          <w:color w:val="auto"/>
        </w:rPr>
      </w:pPr>
    </w:p>
    <w:p>
      <w:pPr>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5" w:lineRule="exact"/>
        <w:rPr>
          <w:sz w:val="24"/>
          <w:szCs w:val="24"/>
          <w:color w:val="auto"/>
        </w:rPr>
      </w:pPr>
    </w:p>
    <w:p>
      <w:pPr>
        <w:jc w:val="both"/>
        <w:ind w:left="1080" w:right="120" w:hanging="699"/>
        <w:spacing w:after="0" w:line="238"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 N/A for NP; N/A for “composite” structures or laminates controlled by 1A002.a, having an organic “matrix” and made from materials controlled by 1C010.c or 1C010.d.</w:t>
      </w:r>
    </w:p>
    <w:p>
      <w:pPr>
        <w:spacing w:after="0" w:line="1"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215" w:lineRule="exact"/>
        <w:rPr>
          <w:sz w:val="24"/>
          <w:szCs w:val="24"/>
          <w:color w:val="auto"/>
        </w:rPr>
      </w:pPr>
    </w:p>
    <w:p>
      <w:pPr>
        <w:sectPr>
          <w:pgSz w:w="12240" w:h="15840" w:orient="portrait"/>
          <w:cols w:equalWidth="0" w:num="2">
            <w:col w:w="4320" w:space="720"/>
            <w:col w:w="4440"/>
          </w:cols>
          <w:pgMar w:left="1440" w:top="1293" w:right="1320" w:bottom="124" w:gutter="0" w:footer="0" w:header="0"/>
          <w:type w:val="continuous"/>
        </w:sectPr>
      </w:pPr>
    </w:p>
    <w:p>
      <w:pPr>
        <w:spacing w:after="0" w:line="279" w:lineRule="exact"/>
        <w:rPr>
          <w:sz w:val="24"/>
          <w:szCs w:val="24"/>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480"/>
          </w:cols>
          <w:pgMar w:left="1440" w:top="1293" w:right="1320" w:bottom="124" w:gutter="0" w:footer="0" w:header="0"/>
          <w:type w:val="continuous"/>
        </w:sectPr>
      </w:pPr>
    </w:p>
    <w:bookmarkStart w:id="1" w:name="page2"/>
    <w:bookmarkEnd w:id="1"/>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080" w:hanging="719"/>
        <w:spacing w:after="0" w:line="251" w:lineRule="auto"/>
        <w:tabs>
          <w:tab w:leader="none" w:pos="1060" w:val="left"/>
        </w:tabs>
        <w:rPr>
          <w:sz w:val="20"/>
          <w:szCs w:val="20"/>
          <w:color w:val="auto"/>
        </w:rPr>
      </w:pPr>
      <w:r>
        <w:rPr>
          <w:rFonts w:ascii="Times New Roman" w:cs="Times New Roman" w:eastAsia="Times New Roman" w:hAnsi="Times New Roman"/>
          <w:sz w:val="21"/>
          <w:szCs w:val="21"/>
          <w:i w:val="1"/>
          <w:iCs w:val="1"/>
          <w:color w:val="auto"/>
        </w:rPr>
        <w:t>STA:</w:t>
      </w:r>
      <w:r>
        <w:rPr>
          <w:sz w:val="20"/>
          <w:szCs w:val="20"/>
          <w:color w:val="auto"/>
        </w:rPr>
        <w:tab/>
      </w:r>
      <w:r>
        <w:rPr>
          <w:rFonts w:ascii="Times New Roman" w:cs="Times New Roman" w:eastAsia="Times New Roman" w:hAnsi="Times New Roman"/>
          <w:sz w:val="21"/>
          <w:szCs w:val="21"/>
          <w:color w:val="auto"/>
        </w:rPr>
        <w:t>License Exception STA may not be used to ship any item in this entry to any of the destinations listed in Country Group A:6 (See Supplement No.1 to part 740 of the EAR).</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ECCNs </w:t>
      </w:r>
      <w:r>
        <w:rPr>
          <w:rFonts w:ascii="Times New Roman" w:cs="Times New Roman" w:eastAsia="Times New Roman" w:hAnsi="Times New Roman"/>
          <w:sz w:val="22"/>
          <w:szCs w:val="22"/>
          <w:u w:val="single" w:color="auto"/>
          <w:color w:val="0000FF"/>
        </w:rPr>
        <w:t>1A202</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1C010</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1C210</w:t>
      </w:r>
      <w:r>
        <w:rPr>
          <w:rFonts w:ascii="Times New Roman" w:cs="Times New Roman" w:eastAsia="Times New Roman" w:hAnsi="Times New Roman"/>
          <w:sz w:val="22"/>
          <w:szCs w:val="22"/>
          <w:color w:val="000000"/>
        </w:rPr>
        <w:t>, 9A010, and</w:t>
      </w:r>
    </w:p>
    <w:p>
      <w:pPr>
        <w:spacing w:after="0" w:line="16"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9A110. (3) “Composite” structures “specially designed” for missile applications (including “specially designed” subsystems, “parts,” and “components”) are controlled by ECCN 9A110. (4) “Composite” structures or laminates “specially designed” or prepared for use in separating uranium isotopes are subject to the export licensing authority of the Nuclear Regulatory Commission (see 10 CFR part 110).</w:t>
      </w:r>
    </w:p>
    <w:p>
      <w:pPr>
        <w:spacing w:after="0" w:line="9"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Made from any of the following:</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a.1. An organic “matrix” and “fibrous or filamentary materials” specified by 1C010.c or 1C010.d;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a.2. Prepregs or preforms specified by 1C010.e;</w:t>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Made from a metal or carbon “matrix”, and any of the following:</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b.1. Carbon “fibrous or filamentary materials” having all of the following:</w:t>
      </w:r>
    </w:p>
    <w:p>
      <w:pPr>
        <w:spacing w:after="0" w:line="26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b.1.a. A “specific modulus” exceeding 10.15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w:t>
      </w:r>
      <w:r>
        <w:rPr>
          <w:rFonts w:ascii="Times New Roman" w:cs="Times New Roman" w:eastAsia="Times New Roman" w:hAnsi="Times New Roman"/>
          <w:sz w:val="22"/>
          <w:szCs w:val="22"/>
          <w:i w:val="1"/>
          <w:iCs w:val="1"/>
          <w:color w:val="auto"/>
        </w:rPr>
        <w:t>and</w:t>
      </w:r>
    </w:p>
    <w:p>
      <w:pPr>
        <w:spacing w:after="0" w:line="193"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b.1.b. A “specific tensile strength” exceeding 17.7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m;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b.2. Materials controlled by 1C010.c.</w:t>
      </w:r>
    </w:p>
    <w:p>
      <w:pPr>
        <w:spacing w:after="0" w:line="268"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1A002 does not control “composite”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structures or laminates made from epoxy resin impregnated carbon “fibrous or filamentary materials”, for the repair of “civil aircraft” structures or laminates, having all of the following:</w:t>
      </w:r>
    </w:p>
    <w:p>
      <w:pPr>
        <w:spacing w:after="0" w:line="246" w:lineRule="exact"/>
        <w:rPr>
          <w:sz w:val="20"/>
          <w:szCs w:val="20"/>
          <w:color w:val="auto"/>
        </w:rPr>
      </w:pPr>
    </w:p>
    <w:p>
      <w:pPr>
        <w:ind w:left="720" w:hanging="359"/>
        <w:spacing w:after="0"/>
        <w:tabs>
          <w:tab w:leader="none" w:pos="72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An area not exceeding 1 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spacing w:after="0" w:line="190" w:lineRule="exact"/>
        <w:rPr>
          <w:rFonts w:ascii="Times New Roman" w:cs="Times New Roman" w:eastAsia="Times New Roman" w:hAnsi="Times New Roman"/>
          <w:sz w:val="22"/>
          <w:szCs w:val="22"/>
          <w:i w:val="1"/>
          <w:iCs w:val="1"/>
          <w:color w:val="auto"/>
        </w:rPr>
      </w:pPr>
    </w:p>
    <w:p>
      <w:pPr>
        <w:ind w:left="720" w:hanging="359"/>
        <w:spacing w:after="0"/>
        <w:tabs>
          <w:tab w:leader="none" w:pos="72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A length not exceeding 2.5 m; </w:t>
      </w:r>
      <w:r>
        <w:rPr>
          <w:rFonts w:ascii="Times New Roman" w:cs="Times New Roman" w:eastAsia="Times New Roman" w:hAnsi="Times New Roman"/>
          <w:sz w:val="22"/>
          <w:szCs w:val="22"/>
          <w:i w:val="1"/>
          <w:iCs w:val="1"/>
          <w:u w:val="single" w:color="auto"/>
          <w:color w:val="auto"/>
        </w:rPr>
        <w:t>and</w:t>
      </w:r>
    </w:p>
    <w:p>
      <w:pPr>
        <w:spacing w:after="0" w:line="253" w:lineRule="exact"/>
        <w:rPr>
          <w:rFonts w:ascii="Times New Roman" w:cs="Times New Roman" w:eastAsia="Times New Roman" w:hAnsi="Times New Roman"/>
          <w:sz w:val="22"/>
          <w:szCs w:val="22"/>
          <w:i w:val="1"/>
          <w:iCs w:val="1"/>
          <w:color w:val="auto"/>
        </w:rPr>
      </w:pPr>
    </w:p>
    <w:p>
      <w:pPr>
        <w:ind w:left="720" w:hanging="359"/>
        <w:spacing w:after="0"/>
        <w:tabs>
          <w:tab w:leader="none" w:pos="72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width exceeding 15 mm.</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1A002 does not control semi-finished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items, “specially designed” for civilian applications as follows:</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a. Sporting goods;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b. Automotive industry;</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c. Machine tool industry;</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d. Medical applications.</w:t>
      </w:r>
    </w:p>
    <w:p>
      <w:pPr>
        <w:spacing w:after="0" w:line="266"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3: </w:t>
      </w:r>
      <w:r>
        <w:rPr>
          <w:rFonts w:ascii="Times New Roman" w:cs="Times New Roman" w:eastAsia="Times New Roman" w:hAnsi="Times New Roman"/>
          <w:sz w:val="21"/>
          <w:szCs w:val="21"/>
          <w:i w:val="1"/>
          <w:iCs w:val="1"/>
          <w:color w:val="auto"/>
        </w:rPr>
        <w:t>1A002.b.1 does not apply to semi-finished items containing a maximum of two dimensions of interwoven filaments and “specially designed” for applications as follows:</w:t>
      </w:r>
    </w:p>
    <w:p>
      <w:pPr>
        <w:spacing w:after="0" w:line="255" w:lineRule="exact"/>
        <w:rPr>
          <w:sz w:val="20"/>
          <w:szCs w:val="20"/>
          <w:color w:val="auto"/>
        </w:rPr>
      </w:pPr>
    </w:p>
    <w:p>
      <w:pPr>
        <w:ind w:left="360" w:firstLine="1"/>
        <w:spacing w:after="0" w:line="234" w:lineRule="auto"/>
        <w:tabs>
          <w:tab w:leader="none" w:pos="769"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Metal heat-treatment furnaces for tempering metals;</w:t>
      </w:r>
    </w:p>
    <w:p>
      <w:pPr>
        <w:spacing w:after="0" w:line="253" w:lineRule="exact"/>
        <w:rPr>
          <w:rFonts w:ascii="Times New Roman" w:cs="Times New Roman" w:eastAsia="Times New Roman" w:hAnsi="Times New Roman"/>
          <w:sz w:val="22"/>
          <w:szCs w:val="22"/>
          <w:i w:val="1"/>
          <w:iCs w:val="1"/>
          <w:color w:val="auto"/>
        </w:rPr>
      </w:pPr>
    </w:p>
    <w:p>
      <w:pPr>
        <w:ind w:left="580" w:hanging="219"/>
        <w:spacing w:after="0"/>
        <w:tabs>
          <w:tab w:leader="none" w:pos="580"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Silicon boule production equipment.</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4: </w:t>
      </w:r>
      <w:r>
        <w:rPr>
          <w:rFonts w:ascii="Times New Roman" w:cs="Times New Roman" w:eastAsia="Times New Roman" w:hAnsi="Times New Roman"/>
          <w:sz w:val="22"/>
          <w:szCs w:val="22"/>
          <w:i w:val="1"/>
          <w:iCs w:val="1"/>
          <w:color w:val="auto"/>
        </w:rPr>
        <w:t>1A002 does not apply to finished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items “specially designed” for a specific application.</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1A003 Manufactures of non-“fusible” aromatic polyimides in film, sheet, tape or ribbon form having any of the following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523"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4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 w:name="page3"/>
    <w:bookmarkEnd w:id="2"/>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340" w:type="dxa"/>
            <w:vAlign w:val="bottom"/>
            <w:tcBorders>
              <w:top w:val="single" w:sz="8" w:color="auto"/>
              <w:left w:val="single" w:sz="8" w:color="auto"/>
              <w:right w:val="single" w:sz="8" w:color="auto"/>
            </w:tcBorders>
          </w:tcPr>
          <w:p>
            <w:pPr>
              <w:spacing w:after="0"/>
              <w:rPr>
                <w:sz w:val="22"/>
                <w:szCs w:val="22"/>
                <w:color w:val="auto"/>
              </w:rPr>
            </w:pPr>
          </w:p>
        </w:tc>
        <w:tc>
          <w:tcPr>
            <w:tcW w:w="200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4"/>
        </w:trPr>
        <w:tc>
          <w:tcPr>
            <w:tcW w:w="2340" w:type="dxa"/>
            <w:vAlign w:val="bottom"/>
            <w:tcBorders>
              <w:left w:val="single" w:sz="8" w:color="auto"/>
              <w:right w:val="single" w:sz="8" w:color="auto"/>
            </w:tcBorders>
          </w:tcPr>
          <w:p>
            <w:pPr>
              <w:ind w:left="7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340" w:type="dxa"/>
            <w:vAlign w:val="bottom"/>
            <w:tcBorders>
              <w:left w:val="single" w:sz="8" w:color="auto"/>
              <w:bottom w:val="single" w:sz="8" w:color="auto"/>
              <w:right w:val="single" w:sz="8" w:color="auto"/>
            </w:tcBorders>
          </w:tcPr>
          <w:p>
            <w:pPr>
              <w:spacing w:after="0"/>
              <w:rPr>
                <w:sz w:val="22"/>
                <w:szCs w:val="22"/>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1"/>
        </w:trPr>
        <w:tc>
          <w:tcPr>
            <w:tcW w:w="23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200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3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2000" w:type="dxa"/>
            <w:vAlign w:val="bottom"/>
            <w:tcBorders>
              <w:bottom w:val="single" w:sz="8" w:color="auto"/>
              <w:right w:val="single" w:sz="8" w:color="auto"/>
            </w:tcBorders>
          </w:tcPr>
          <w:p>
            <w:pPr>
              <w:spacing w:after="0"/>
              <w:rPr>
                <w:sz w:val="22"/>
                <w:szCs w:val="22"/>
                <w:color w:val="auto"/>
              </w:rPr>
            </w:pPr>
          </w:p>
        </w:tc>
      </w:tr>
      <w:tr>
        <w:trPr>
          <w:trHeight w:val="241"/>
        </w:trPr>
        <w:tc>
          <w:tcPr>
            <w:tcW w:w="23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200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3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200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$200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manufactures when coated or laminated with copper and designed for the production of electronic printed circuit boards. For “fusible” aromatic polyimides in any form, see </w:t>
      </w:r>
      <w:r>
        <w:rPr>
          <w:rFonts w:ascii="Times New Roman" w:cs="Times New Roman" w:eastAsia="Times New Roman" w:hAnsi="Times New Roman"/>
          <w:sz w:val="22"/>
          <w:szCs w:val="22"/>
          <w:u w:val="single" w:color="auto"/>
          <w:color w:val="0000FF"/>
        </w:rPr>
        <w:t>1C008.a.3</w:t>
      </w:r>
      <w:r>
        <w:rPr>
          <w:rFonts w:ascii="Times New Roman" w:cs="Times New Roman" w:eastAsia="Times New Roman" w:hAnsi="Times New Roman"/>
          <w:sz w:val="22"/>
          <w:szCs w:val="22"/>
          <w:color w:val="auto"/>
        </w:rPr>
        <w:t>.</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a. A thickness exceeding 0.254 mm;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Coated or laminated with carbon, graphite, metals or magnetic substances.</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1A004 Protective and detection equipment and “components,” not “specially designed” for military use, as follows (see List of Items Controlled).</w:t>
      </w:r>
    </w:p>
    <w:p>
      <w:pPr>
        <w:spacing w:after="0" w:line="253"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2360" w:type="dxa"/>
            <w:vAlign w:val="bottom"/>
          </w:tcPr>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1980" w:type="dxa"/>
            <w:vAlign w:val="bottom"/>
          </w:tcPr>
          <w:p>
            <w:pPr>
              <w:spacing w:after="0"/>
              <w:rPr>
                <w:sz w:val="21"/>
                <w:szCs w:val="21"/>
                <w:color w:val="auto"/>
              </w:rPr>
            </w:pPr>
          </w:p>
        </w:tc>
      </w:tr>
      <w:tr>
        <w:trPr>
          <w:trHeight w:val="505"/>
        </w:trPr>
        <w:tc>
          <w:tcPr>
            <w:tcW w:w="2360" w:type="dxa"/>
            <w:vAlign w:val="bottom"/>
          </w:tcPr>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p>
        </w:tc>
        <w:tc>
          <w:tcPr>
            <w:tcW w:w="198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NS, CB, RS, AT</w:t>
            </w:r>
          </w:p>
        </w:tc>
      </w:tr>
      <w:tr>
        <w:trPr>
          <w:trHeight w:val="256"/>
        </w:trPr>
        <w:tc>
          <w:tcPr>
            <w:tcW w:w="2360" w:type="dxa"/>
            <w:vAlign w:val="bottom"/>
            <w:tcBorders>
              <w:bottom w:val="single" w:sz="8" w:color="auto"/>
            </w:tcBorders>
          </w:tcPr>
          <w:p>
            <w:pPr>
              <w:spacing w:after="0"/>
              <w:rPr>
                <w:sz w:val="22"/>
                <w:szCs w:val="22"/>
                <w:color w:val="auto"/>
              </w:rPr>
            </w:pPr>
          </w:p>
        </w:tc>
        <w:tc>
          <w:tcPr>
            <w:tcW w:w="1980" w:type="dxa"/>
            <w:vAlign w:val="bottom"/>
            <w:tcBorders>
              <w:bottom w:val="single" w:sz="8" w:color="auto"/>
            </w:tcBorders>
          </w:tcPr>
          <w:p>
            <w:pPr>
              <w:spacing w:after="0"/>
              <w:rPr>
                <w:sz w:val="22"/>
                <w:szCs w:val="22"/>
                <w:color w:val="auto"/>
              </w:rPr>
            </w:pPr>
          </w:p>
        </w:tc>
      </w:tr>
      <w:tr>
        <w:trPr>
          <w:trHeight w:val="241"/>
        </w:trPr>
        <w:tc>
          <w:tcPr>
            <w:tcW w:w="2360" w:type="dxa"/>
            <w:vAlign w:val="bottom"/>
            <w:tcBorders>
              <w:left w:val="single" w:sz="8" w:color="auto"/>
              <w:right w:val="single" w:sz="8" w:color="auto"/>
            </w:tcBorders>
          </w:tcPr>
          <w:p>
            <w:pPr>
              <w:spacing w:after="0"/>
              <w:rPr>
                <w:sz w:val="20"/>
                <w:szCs w:val="20"/>
                <w:color w:val="auto"/>
              </w:rPr>
            </w:pPr>
          </w:p>
        </w:tc>
        <w:tc>
          <w:tcPr>
            <w:tcW w:w="198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360" w:type="dxa"/>
            <w:vAlign w:val="bottom"/>
            <w:tcBorders>
              <w:left w:val="single" w:sz="8" w:color="auto"/>
              <w:right w:val="single" w:sz="8" w:color="auto"/>
            </w:tcBorders>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8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360" w:type="dxa"/>
            <w:vAlign w:val="bottom"/>
            <w:tcBorders>
              <w:left w:val="single" w:sz="8" w:color="auto"/>
              <w:bottom w:val="single" w:sz="8" w:color="auto"/>
              <w:right w:val="single" w:sz="8" w:color="auto"/>
            </w:tcBorders>
          </w:tcPr>
          <w:p>
            <w:pPr>
              <w:spacing w:after="0"/>
              <w:rPr>
                <w:sz w:val="22"/>
                <w:szCs w:val="22"/>
                <w:color w:val="auto"/>
              </w:rPr>
            </w:pPr>
          </w:p>
        </w:tc>
        <w:tc>
          <w:tcPr>
            <w:tcW w:w="1980" w:type="dxa"/>
            <w:vAlign w:val="bottom"/>
            <w:tcBorders>
              <w:bottom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1"/>
        </w:trPr>
        <w:tc>
          <w:tcPr>
            <w:tcW w:w="236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98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3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80" w:type="dxa"/>
            <w:vAlign w:val="bottom"/>
            <w:tcBorders>
              <w:bottom w:val="single" w:sz="8" w:color="auto"/>
              <w:right w:val="single" w:sz="8" w:color="auto"/>
            </w:tcBorders>
          </w:tcPr>
          <w:p>
            <w:pPr>
              <w:spacing w:after="0"/>
              <w:rPr>
                <w:sz w:val="22"/>
                <w:szCs w:val="22"/>
                <w:color w:val="auto"/>
              </w:rPr>
            </w:pPr>
          </w:p>
        </w:tc>
      </w:tr>
      <w:tr>
        <w:trPr>
          <w:trHeight w:val="241"/>
        </w:trPr>
        <w:tc>
          <w:tcPr>
            <w:tcW w:w="236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CB applies to chemical</w:t>
            </w:r>
          </w:p>
        </w:tc>
        <w:tc>
          <w:tcPr>
            <w:tcW w:w="198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CB Column 2</w:t>
            </w:r>
          </w:p>
        </w:tc>
      </w:tr>
      <w:tr>
        <w:trPr>
          <w:trHeight w:val="255"/>
        </w:trPr>
        <w:tc>
          <w:tcPr>
            <w:tcW w:w="23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detection systems and</w:t>
            </w:r>
          </w:p>
        </w:tc>
        <w:tc>
          <w:tcPr>
            <w:tcW w:w="1980" w:type="dxa"/>
            <w:vAlign w:val="bottom"/>
            <w:tcBorders>
              <w:bottom w:val="single" w:sz="8" w:color="auto"/>
              <w:right w:val="single" w:sz="8" w:color="auto"/>
            </w:tcBorders>
          </w:tcPr>
          <w:p>
            <w:pPr>
              <w:spacing w:after="0"/>
              <w:rPr>
                <w:sz w:val="22"/>
                <w:szCs w:val="22"/>
                <w:color w:val="auto"/>
              </w:rPr>
            </w:pPr>
          </w:p>
        </w:tc>
      </w:tr>
    </w:tbl>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1"/>
        </w:trPr>
        <w:tc>
          <w:tcPr>
            <w:tcW w:w="236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dedicated detectors</w:t>
            </w:r>
          </w:p>
        </w:tc>
        <w:tc>
          <w:tcPr>
            <w:tcW w:w="1980" w:type="dxa"/>
            <w:vAlign w:val="bottom"/>
            <w:tcBorders>
              <w:top w:val="single" w:sz="8" w:color="auto"/>
              <w:right w:val="single" w:sz="8" w:color="auto"/>
            </w:tcBorders>
          </w:tcPr>
          <w:p>
            <w:pPr>
              <w:spacing w:after="0"/>
              <w:rPr>
                <w:sz w:val="22"/>
                <w:szCs w:val="22"/>
                <w:color w:val="auto"/>
              </w:rPr>
            </w:pPr>
          </w:p>
        </w:tc>
      </w:tr>
      <w:tr>
        <w:trPr>
          <w:trHeight w:val="252"/>
        </w:trPr>
        <w:tc>
          <w:tcPr>
            <w:tcW w:w="236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therefor, in 1A004.c,</w:t>
            </w:r>
          </w:p>
        </w:tc>
        <w:tc>
          <w:tcPr>
            <w:tcW w:w="1980" w:type="dxa"/>
            <w:vAlign w:val="bottom"/>
            <w:tcBorders>
              <w:right w:val="single" w:sz="8" w:color="auto"/>
            </w:tcBorders>
          </w:tcPr>
          <w:p>
            <w:pPr>
              <w:spacing w:after="0"/>
              <w:rPr>
                <w:sz w:val="21"/>
                <w:szCs w:val="21"/>
                <w:color w:val="auto"/>
              </w:rPr>
            </w:pPr>
          </w:p>
        </w:tc>
      </w:tr>
      <w:tr>
        <w:trPr>
          <w:trHeight w:val="253"/>
        </w:trPr>
        <w:tc>
          <w:tcPr>
            <w:tcW w:w="236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that also have the</w:t>
            </w:r>
          </w:p>
        </w:tc>
        <w:tc>
          <w:tcPr>
            <w:tcW w:w="1980" w:type="dxa"/>
            <w:vAlign w:val="bottom"/>
            <w:tcBorders>
              <w:right w:val="single" w:sz="8" w:color="auto"/>
            </w:tcBorders>
          </w:tcPr>
          <w:p>
            <w:pPr>
              <w:spacing w:after="0"/>
              <w:rPr>
                <w:sz w:val="22"/>
                <w:szCs w:val="22"/>
                <w:color w:val="auto"/>
              </w:rPr>
            </w:pPr>
          </w:p>
        </w:tc>
      </w:tr>
      <w:tr>
        <w:trPr>
          <w:trHeight w:val="255"/>
        </w:trPr>
        <w:tc>
          <w:tcPr>
            <w:tcW w:w="23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technical characteristic</w:t>
            </w:r>
          </w:p>
        </w:tc>
        <w:tc>
          <w:tcPr>
            <w:tcW w:w="1980" w:type="dxa"/>
            <w:vAlign w:val="bottom"/>
            <w:tcBorders>
              <w:bottom w:val="single" w:sz="8" w:color="auto"/>
              <w:right w:val="single" w:sz="8" w:color="auto"/>
            </w:tcBorders>
          </w:tcPr>
          <w:p>
            <w:pPr>
              <w:spacing w:after="0"/>
              <w:rPr>
                <w:sz w:val="22"/>
                <w:szCs w:val="22"/>
                <w:color w:val="auto"/>
              </w:rPr>
            </w:pPr>
          </w:p>
        </w:tc>
      </w:tr>
      <w:tr>
        <w:trPr>
          <w:trHeight w:val="243"/>
        </w:trPr>
        <w:tc>
          <w:tcPr>
            <w:tcW w:w="236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apply to 1A004.d</w:t>
            </w:r>
          </w:p>
        </w:tc>
        <w:tc>
          <w:tcPr>
            <w:tcW w:w="198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2</w:t>
            </w:r>
          </w:p>
        </w:tc>
      </w:tr>
      <w:tr>
        <w:trPr>
          <w:trHeight w:val="241"/>
        </w:trPr>
        <w:tc>
          <w:tcPr>
            <w:tcW w:w="236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98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3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8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1A995</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2B351, and 2B352. (2) See ECCN </w:t>
      </w:r>
      <w:r>
        <w:rPr>
          <w:rFonts w:ascii="Times New Roman" w:cs="Times New Roman" w:eastAsia="Times New Roman" w:hAnsi="Times New Roman"/>
          <w:sz w:val="22"/>
          <w:szCs w:val="22"/>
          <w:u w:val="single" w:color="auto"/>
          <w:color w:val="0000FF"/>
        </w:rPr>
        <w:t>1D003</w:t>
      </w:r>
      <w:r>
        <w:rPr>
          <w:rFonts w:ascii="Times New Roman" w:cs="Times New Roman" w:eastAsia="Times New Roman" w:hAnsi="Times New Roman"/>
          <w:sz w:val="22"/>
          <w:szCs w:val="22"/>
          <w:color w:val="auto"/>
        </w:rPr>
        <w:t xml:space="preserve"> for “software” “specially designed” or modified to enable equipment to perform the functions of equipment controlled under section </w:t>
      </w:r>
      <w:r>
        <w:rPr>
          <w:rFonts w:ascii="Times New Roman" w:cs="Times New Roman" w:eastAsia="Times New Roman" w:hAnsi="Times New Roman"/>
          <w:sz w:val="22"/>
          <w:szCs w:val="22"/>
          <w:u w:val="single" w:color="auto"/>
          <w:color w:val="0000FF"/>
        </w:rPr>
        <w:t>1A004.c</w:t>
      </w:r>
      <w:r>
        <w:rPr>
          <w:rFonts w:ascii="Times New Roman" w:cs="Times New Roman" w:eastAsia="Times New Roman" w:hAnsi="Times New Roman"/>
          <w:sz w:val="22"/>
          <w:szCs w:val="22"/>
          <w:color w:val="auto"/>
        </w:rPr>
        <w:t xml:space="preserve"> (Nuclear, biological and chemical (NBC) detection systems). (3) See ECCN </w:t>
      </w:r>
      <w:r>
        <w:rPr>
          <w:rFonts w:ascii="Times New Roman" w:cs="Times New Roman" w:eastAsia="Times New Roman" w:hAnsi="Times New Roman"/>
          <w:sz w:val="22"/>
          <w:szCs w:val="22"/>
          <w:u w:val="single" w:color="auto"/>
          <w:color w:val="0000FF"/>
        </w:rPr>
        <w:t>1E002.g</w:t>
      </w:r>
      <w:r>
        <w:rPr>
          <w:rFonts w:ascii="Times New Roman" w:cs="Times New Roman" w:eastAsia="Times New Roman" w:hAnsi="Times New Roman"/>
          <w:sz w:val="22"/>
          <w:szCs w:val="22"/>
          <w:color w:val="auto"/>
        </w:rPr>
        <w:t xml:space="preserve"> for control libraries (parametric technical databases) “specially designed” or modified to enable equipment to perform the functions of equipment controlled under </w:t>
      </w:r>
      <w:r>
        <w:rPr>
          <w:rFonts w:ascii="Times New Roman" w:cs="Times New Roman" w:eastAsia="Times New Roman" w:hAnsi="Times New Roman"/>
          <w:sz w:val="22"/>
          <w:szCs w:val="22"/>
          <w:u w:val="single" w:color="auto"/>
          <w:color w:val="0000FF"/>
        </w:rPr>
        <w:t>1A004.c</w:t>
      </w:r>
      <w:r>
        <w:rPr>
          <w:rFonts w:ascii="Times New Roman" w:cs="Times New Roman" w:eastAsia="Times New Roman" w:hAnsi="Times New Roman"/>
          <w:sz w:val="22"/>
          <w:szCs w:val="22"/>
          <w:color w:val="auto"/>
        </w:rPr>
        <w:t xml:space="preserve"> (Nuclear, biological and chemical (NBC) detection systems). (4) Chemical and biological</w:t>
      </w:r>
    </w:p>
    <w:p>
      <w:pPr>
        <w:spacing w:after="0" w:line="16"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color w:val="auto"/>
        </w:rPr>
        <w:t>protective and detection equipment specifically designed, developed, modified, configured, or adapted for military applications is “subject to the ITAR” (see 22 CFR parts 120 through 130, including USML Category XIV(f)), as is commercial equipment that incorporates “parts” or “components” controlled under that category except for domestic preparedness devices for</w:t>
      </w:r>
    </w:p>
    <w:p>
      <w:pPr>
        <w:spacing w:after="0" w:line="3"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individual protection that integrate “components” and “parts” identified in USML Category XIV(f)(4) when such “parts” or “components” are: 1) integral to the device; 2) inseparable from the device; and 3) incapable of replacement without compromising the effectiveness of the device, in which case the equipment is subject to the export licensing jurisdiction of the Department of Commerce under ECCN</w:t>
      </w:r>
    </w:p>
    <w:p>
      <w:pPr>
        <w:spacing w:after="0" w:line="25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3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 w:name="page4"/>
    <w:bookmarkEnd w:id="3"/>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u w:val="single" w:color="auto"/>
          <w:color w:val="0000FF"/>
        </w:rPr>
        <w:t>1A004</w:t>
      </w:r>
      <w:r>
        <w:rPr>
          <w:rFonts w:ascii="Times New Roman" w:cs="Times New Roman" w:eastAsia="Times New Roman" w:hAnsi="Times New Roman"/>
          <w:sz w:val="22"/>
          <w:szCs w:val="22"/>
          <w:color w:val="000000"/>
        </w:rPr>
        <w:t>. (5) This entry does not control</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radionuclides incorporated in equipment listed in this entry - such materials are subject to the licensing jurisdiction of the Nuclear Regulatory Commission (See 10 CFR part 110).</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1) ‘Biological agents’</w:t>
      </w:r>
    </w:p>
    <w:p>
      <w:pPr>
        <w:spacing w:after="0" w:line="13"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 xml:space="preserve">means: pathogens or toxins, selected or modified (such as altering purity, shelf life, virulence, dissemination characteristics, or resistance to UV radiation) to produce casualties in humans or animals, degrade equipment or damage crops or the environment. </w:t>
      </w:r>
      <w:r>
        <w:rPr>
          <w:rFonts w:ascii="Times New Roman" w:cs="Times New Roman" w:eastAsia="Times New Roman" w:hAnsi="Times New Roman"/>
          <w:sz w:val="22"/>
          <w:szCs w:val="22"/>
          <w:color w:val="auto"/>
        </w:rPr>
        <w:t>2) ‘Riot control agents’ are</w:t>
      </w:r>
      <w:r>
        <w:rPr>
          <w:rFonts w:ascii="Times New Roman" w:cs="Times New Roman" w:eastAsia="Times New Roman" w:hAnsi="Times New Roman"/>
          <w:sz w:val="22"/>
          <w:szCs w:val="22"/>
          <w:color w:val="auto"/>
        </w:rPr>
        <w:t xml:space="preserve"> substances which, under the expected conditions of use for riot control purposes, produce rapidly in humans sensory irritation or disabling physical effects which disappear within a short time following termination of </w:t>
      </w:r>
      <w:r>
        <w:rPr>
          <w:rFonts w:ascii="Times New Roman" w:cs="Times New Roman" w:eastAsia="Times New Roman" w:hAnsi="Times New Roman"/>
          <w:sz w:val="22"/>
          <w:szCs w:val="22"/>
          <w:color w:val="auto"/>
        </w:rPr>
        <w:t>exposure. (Tear gases are a subset of ‘riot control agents.’)</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 xml:space="preserve">a. Full face masks, filter canisters and decontamination equipment therefor, designed or modified for defense against any of the following, and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color w:val="auto"/>
        </w:rPr>
        <w:t>specially designed</w:t>
      </w:r>
      <w:r>
        <w:rPr>
          <w:rFonts w:ascii="Times New Roman" w:cs="Times New Roman" w:eastAsia="Times New Roman" w:hAnsi="Times New Roman"/>
          <w:sz w:val="21"/>
          <w:szCs w:val="21"/>
          <w:color w:val="auto"/>
        </w:rPr>
        <w:t>” “</w:t>
      </w:r>
      <w:r>
        <w:rPr>
          <w:rFonts w:ascii="Times New Roman" w:cs="Times New Roman" w:eastAsia="Times New Roman" w:hAnsi="Times New Roman"/>
          <w:sz w:val="21"/>
          <w:szCs w:val="21"/>
          <w:color w:val="auto"/>
        </w:rPr>
        <w:t>components</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color w:val="auto"/>
        </w:rPr>
        <w:t xml:space="preserve"> therefor:</w:t>
      </w:r>
    </w:p>
    <w:p>
      <w:pPr>
        <w:spacing w:after="0" w:line="25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1A004.a includes Powered Air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Purifying Respirators (PAPR) that are designed or modified for defense against agents or materials, listed in 1A004.a.</w:t>
      </w:r>
    </w:p>
    <w:p>
      <w:pPr>
        <w:spacing w:after="0" w:line="270"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 For the purpose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1A004.a:</w:t>
      </w:r>
    </w:p>
    <w:p>
      <w:pPr>
        <w:spacing w:after="0" w:line="1" w:lineRule="exact"/>
        <w:rPr>
          <w:sz w:val="20"/>
          <w:szCs w:val="20"/>
          <w:color w:val="auto"/>
        </w:rPr>
      </w:pPr>
    </w:p>
    <w:p>
      <w:pPr>
        <w:ind w:left="620" w:hanging="260"/>
        <w:spacing w:after="0"/>
        <w:tabs>
          <w:tab w:leader="none" w:pos="620" w:val="left"/>
        </w:tabs>
        <w:numPr>
          <w:ilvl w:val="0"/>
          <w:numId w:val="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Full face masks are also known as gas</w:t>
      </w:r>
    </w:p>
    <w:p>
      <w:pPr>
        <w:spacing w:after="0"/>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masks.</w:t>
      </w:r>
    </w:p>
    <w:p>
      <w:pPr>
        <w:ind w:left="580" w:hanging="220"/>
        <w:spacing w:after="0"/>
        <w:tabs>
          <w:tab w:leader="none" w:pos="580" w:val="left"/>
        </w:tabs>
        <w:numPr>
          <w:ilvl w:val="0"/>
          <w:numId w:val="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Filter canisters include filter cartridges.</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a.1.</w:t>
      </w:r>
      <w:r>
        <w:rPr>
          <w:sz w:val="20"/>
          <w:szCs w:val="20"/>
          <w:color w:val="auto"/>
        </w:rPr>
        <w:tab/>
      </w:r>
      <w:r>
        <w:rPr>
          <w:rFonts w:ascii="Times New Roman" w:cs="Times New Roman" w:eastAsia="Times New Roman" w:hAnsi="Times New Roman"/>
          <w:sz w:val="22"/>
          <w:szCs w:val="22"/>
          <w:color w:val="auto"/>
        </w:rPr>
        <w:t>‘Biological agents’;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a.2.</w:t>
      </w:r>
      <w:r>
        <w:rPr>
          <w:sz w:val="20"/>
          <w:szCs w:val="20"/>
          <w:color w:val="auto"/>
        </w:rPr>
        <w:tab/>
      </w:r>
      <w:r>
        <w:rPr>
          <w:rFonts w:ascii="Times New Roman" w:cs="Times New Roman" w:eastAsia="Times New Roman" w:hAnsi="Times New Roman"/>
          <w:sz w:val="22"/>
          <w:szCs w:val="22"/>
          <w:color w:val="auto"/>
        </w:rPr>
        <w:t>‘Radioactive materials;’</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a.3.</w:t>
        <w:tab/>
        <w:t xml:space="preserve">Chemical warfare (CW) agents;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a.4. </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color w:val="auto"/>
        </w:rPr>
        <w:t xml:space="preserve">Riot </w:t>
      </w:r>
      <w:r>
        <w:rPr>
          <w:rFonts w:ascii="Times New Roman" w:cs="Times New Roman" w:eastAsia="Times New Roman" w:hAnsi="Times New Roman"/>
          <w:sz w:val="22"/>
          <w:szCs w:val="22"/>
          <w:color w:val="auto"/>
        </w:rPr>
        <w:t>control agents’, as follows:</w:t>
      </w:r>
    </w:p>
    <w:p>
      <w:pPr>
        <w:spacing w:after="0" w:line="265"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a..4.a. α</w:t>
      </w:r>
      <w:r>
        <w:rPr>
          <w:rFonts w:ascii="Times New Roman" w:cs="Times New Roman" w:eastAsia="Times New Roman" w:hAnsi="Times New Roman"/>
          <w:sz w:val="22"/>
          <w:szCs w:val="22"/>
          <w:color w:val="auto"/>
        </w:rPr>
        <w:t>-Bromobenzeneacetonitrile,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(Bromobenzyl cyanide) (CA) (CAS 5798-79-8);</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720"/>
        <w:spacing w:after="0"/>
        <w:tabs>
          <w:tab w:leader="none" w:pos="1600" w:val="left"/>
          <w:tab w:leader="none" w:pos="3320" w:val="left"/>
        </w:tabs>
        <w:rPr>
          <w:sz w:val="20"/>
          <w:szCs w:val="20"/>
          <w:color w:val="auto"/>
        </w:rPr>
      </w:pPr>
      <w:r>
        <w:rPr>
          <w:rFonts w:ascii="Times New Roman" w:cs="Times New Roman" w:eastAsia="Times New Roman" w:hAnsi="Times New Roman"/>
          <w:sz w:val="22"/>
          <w:szCs w:val="22"/>
          <w:color w:val="auto"/>
        </w:rPr>
        <w:t>a..4.b.</w:t>
      </w:r>
      <w:r>
        <w:rPr>
          <w:sz w:val="20"/>
          <w:szCs w:val="20"/>
          <w:color w:val="auto"/>
        </w:rPr>
        <w:tab/>
      </w:r>
      <w:r>
        <w:rPr>
          <w:rFonts w:ascii="Times New Roman" w:cs="Times New Roman" w:eastAsia="Times New Roman" w:hAnsi="Times New Roman"/>
          <w:sz w:val="22"/>
          <w:szCs w:val="22"/>
          <w:color w:val="auto"/>
        </w:rPr>
        <w:t>[(2-chlorophenyl)</w:t>
      </w:r>
      <w:r>
        <w:rPr>
          <w:sz w:val="20"/>
          <w:szCs w:val="20"/>
          <w:color w:val="auto"/>
        </w:rPr>
        <w:tab/>
      </w:r>
      <w:r>
        <w:rPr>
          <w:rFonts w:ascii="Times New Roman" w:cs="Times New Roman" w:eastAsia="Times New Roman" w:hAnsi="Times New Roman"/>
          <w:sz w:val="21"/>
          <w:szCs w:val="21"/>
          <w:color w:val="auto"/>
        </w:rPr>
        <w:t>methylene]</w:t>
      </w:r>
    </w:p>
    <w:p>
      <w:pPr>
        <w:spacing w:after="0"/>
        <w:rPr>
          <w:sz w:val="20"/>
          <w:szCs w:val="20"/>
          <w:color w:val="auto"/>
        </w:rPr>
      </w:pPr>
      <w:r>
        <w:rPr>
          <w:rFonts w:ascii="Times New Roman" w:cs="Times New Roman" w:eastAsia="Times New Roman" w:hAnsi="Times New Roman"/>
          <w:sz w:val="22"/>
          <w:szCs w:val="22"/>
          <w:color w:val="auto"/>
        </w:rPr>
        <w:t>propanedinitrile,</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(o-Chlorobenzylidenemalononitrile) (CS) (CAS</w:t>
      </w:r>
    </w:p>
    <w:p>
      <w:pPr>
        <w:spacing w:after="0"/>
        <w:rPr>
          <w:sz w:val="20"/>
          <w:szCs w:val="20"/>
          <w:color w:val="auto"/>
        </w:rPr>
      </w:pPr>
      <w:r>
        <w:rPr>
          <w:rFonts w:ascii="Times New Roman" w:cs="Times New Roman" w:eastAsia="Times New Roman" w:hAnsi="Times New Roman"/>
          <w:sz w:val="22"/>
          <w:szCs w:val="22"/>
          <w:color w:val="auto"/>
        </w:rPr>
        <w:t>2698-41-1);</w:t>
      </w:r>
    </w:p>
    <w:p>
      <w:pPr>
        <w:spacing w:after="0" w:line="12" w:lineRule="exact"/>
        <w:rPr>
          <w:sz w:val="20"/>
          <w:szCs w:val="20"/>
          <w:color w:val="auto"/>
        </w:rPr>
      </w:pPr>
    </w:p>
    <w:p>
      <w:pPr>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a..4.c. 2-Chloro-1-phenylethanone, </w:t>
      </w:r>
      <w:r>
        <w:rPr>
          <w:rFonts w:ascii="Times New Roman" w:cs="Times New Roman" w:eastAsia="Times New Roman" w:hAnsi="Times New Roman"/>
          <w:sz w:val="22"/>
          <w:szCs w:val="22"/>
          <w:color w:val="auto"/>
        </w:rPr>
        <w:t>Phenylacyl chloride (ω</w:t>
      </w:r>
      <w:r>
        <w:rPr>
          <w:rFonts w:ascii="Times New Roman" w:cs="Times New Roman" w:eastAsia="Times New Roman" w:hAnsi="Times New Roman"/>
          <w:sz w:val="22"/>
          <w:szCs w:val="22"/>
          <w:color w:val="auto"/>
        </w:rPr>
        <w:t>-chloroacetophenone)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(CN) (CAS 532-27-4);</w:t>
      </w:r>
    </w:p>
    <w:p>
      <w:pPr>
        <w:spacing w:after="0" w:line="267" w:lineRule="exact"/>
        <w:rPr>
          <w:sz w:val="20"/>
          <w:szCs w:val="20"/>
          <w:color w:val="auto"/>
        </w:rPr>
      </w:pPr>
    </w:p>
    <w:p>
      <w:pPr>
        <w:ind w:right="220" w:firstLine="720"/>
        <w:spacing w:after="0" w:line="233" w:lineRule="auto"/>
        <w:rPr>
          <w:sz w:val="20"/>
          <w:szCs w:val="20"/>
          <w:color w:val="auto"/>
        </w:rPr>
      </w:pPr>
      <w:r>
        <w:rPr>
          <w:rFonts w:ascii="Times New Roman" w:cs="Times New Roman" w:eastAsia="Times New Roman" w:hAnsi="Times New Roman"/>
          <w:sz w:val="22"/>
          <w:szCs w:val="22"/>
          <w:color w:val="auto"/>
        </w:rPr>
        <w:t>a..4.d. Dibenz-(b,f)-1,4-oxazephine, (CR) (CAS 257-07-8);</w:t>
      </w:r>
    </w:p>
    <w:p>
      <w:pPr>
        <w:spacing w:after="0" w:line="255" w:lineRule="exact"/>
        <w:rPr>
          <w:sz w:val="20"/>
          <w:szCs w:val="20"/>
          <w:color w:val="auto"/>
        </w:rPr>
      </w:pPr>
    </w:p>
    <w:p>
      <w:pPr>
        <w:ind w:left="720"/>
        <w:spacing w:after="0"/>
        <w:tabs>
          <w:tab w:leader="none" w:pos="1500" w:val="left"/>
        </w:tabs>
        <w:rPr>
          <w:sz w:val="20"/>
          <w:szCs w:val="20"/>
          <w:color w:val="auto"/>
        </w:rPr>
      </w:pPr>
      <w:r>
        <w:rPr>
          <w:rFonts w:ascii="Times New Roman" w:cs="Times New Roman" w:eastAsia="Times New Roman" w:hAnsi="Times New Roman"/>
          <w:sz w:val="22"/>
          <w:szCs w:val="22"/>
          <w:color w:val="auto"/>
        </w:rPr>
        <w:t>a..4.e.</w:t>
      </w:r>
      <w:r>
        <w:rPr>
          <w:sz w:val="20"/>
          <w:szCs w:val="20"/>
          <w:color w:val="auto"/>
        </w:rPr>
        <w:tab/>
      </w:r>
      <w:r>
        <w:rPr>
          <w:rFonts w:ascii="Times New Roman" w:cs="Times New Roman" w:eastAsia="Times New Roman" w:hAnsi="Times New Roman"/>
          <w:sz w:val="22"/>
          <w:szCs w:val="22"/>
          <w:color w:val="auto"/>
        </w:rPr>
        <w:t>10-Chloro-5,</w:t>
      </w:r>
    </w:p>
    <w:p>
      <w:pPr>
        <w:spacing w:after="0" w:line="13"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10-dihydrophenarsazine, (Phenarsazine chloride), (Adamsite), (DM) (CAS 578-94-9);</w:t>
      </w:r>
    </w:p>
    <w:p>
      <w:pPr>
        <w:spacing w:after="0" w:line="265" w:lineRule="exact"/>
        <w:rPr>
          <w:sz w:val="20"/>
          <w:szCs w:val="20"/>
          <w:color w:val="auto"/>
        </w:rPr>
      </w:pPr>
    </w:p>
    <w:p>
      <w:pPr>
        <w:ind w:right="620" w:firstLine="720"/>
        <w:spacing w:after="0" w:line="234" w:lineRule="auto"/>
        <w:rPr>
          <w:sz w:val="20"/>
          <w:szCs w:val="20"/>
          <w:color w:val="auto"/>
        </w:rPr>
      </w:pPr>
      <w:r>
        <w:rPr>
          <w:rFonts w:ascii="Times New Roman" w:cs="Times New Roman" w:eastAsia="Times New Roman" w:hAnsi="Times New Roman"/>
          <w:sz w:val="22"/>
          <w:szCs w:val="22"/>
          <w:color w:val="auto"/>
        </w:rPr>
        <w:t>a..4.f. N-Nonanoylmorpholine, (MPA) (CAS 5299-64-9);</w:t>
      </w:r>
    </w:p>
    <w:p>
      <w:pPr>
        <w:spacing w:after="0" w:line="266" w:lineRule="exact"/>
        <w:rPr>
          <w:sz w:val="20"/>
          <w:szCs w:val="20"/>
          <w:color w:val="auto"/>
        </w:rPr>
      </w:pPr>
    </w:p>
    <w:p>
      <w:pPr>
        <w:jc w:val="both"/>
        <w:ind w:firstLine="1"/>
        <w:spacing w:after="0" w:line="235" w:lineRule="auto"/>
        <w:tabs>
          <w:tab w:leader="none" w:pos="341"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Protective suits, gloves and shoes,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specially designed</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 or modified for defense against any of the following:</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b.1. </w:t>
      </w:r>
      <w:r>
        <w:rPr>
          <w:rFonts w:ascii="Times New Roman" w:cs="Times New Roman" w:eastAsia="Times New Roman" w:hAnsi="Times New Roman"/>
          <w:sz w:val="22"/>
          <w:szCs w:val="22"/>
          <w:color w:val="auto"/>
        </w:rPr>
        <w:t>‘Biological agents’;</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b.2. </w:t>
      </w:r>
      <w:r>
        <w:rPr>
          <w:rFonts w:ascii="Times New Roman" w:cs="Times New Roman" w:eastAsia="Times New Roman" w:hAnsi="Times New Roman"/>
          <w:sz w:val="22"/>
          <w:szCs w:val="22"/>
          <w:color w:val="auto"/>
        </w:rPr>
        <w:t>‘Radioactive materials;’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b.3. Chemical warfare (CW) agents;</w:t>
      </w:r>
    </w:p>
    <w:p>
      <w:pPr>
        <w:spacing w:after="0" w:line="266" w:lineRule="exact"/>
        <w:rPr>
          <w:sz w:val="20"/>
          <w:szCs w:val="20"/>
          <w:color w:val="auto"/>
        </w:rPr>
      </w:pPr>
    </w:p>
    <w:p>
      <w:pPr>
        <w:jc w:val="both"/>
        <w:ind w:firstLine="1"/>
        <w:spacing w:after="0" w:line="236" w:lineRule="auto"/>
        <w:tabs>
          <w:tab w:leader="none" w:pos="360"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Detection systems,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specially designed</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 or modified for detection or identification of any of the following, and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specially designed</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components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therefor:</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c.1. </w:t>
      </w:r>
      <w:r>
        <w:rPr>
          <w:rFonts w:ascii="Times New Roman" w:cs="Times New Roman" w:eastAsia="Times New Roman" w:hAnsi="Times New Roman"/>
          <w:sz w:val="22"/>
          <w:szCs w:val="22"/>
          <w:color w:val="auto"/>
        </w:rPr>
        <w:t>‘Biological agents’;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c.2.</w:t>
      </w:r>
      <w:r>
        <w:rPr>
          <w:sz w:val="20"/>
          <w:szCs w:val="20"/>
          <w:color w:val="auto"/>
        </w:rPr>
        <w:tab/>
      </w:r>
      <w:r>
        <w:rPr>
          <w:rFonts w:ascii="Times New Roman" w:cs="Times New Roman" w:eastAsia="Times New Roman" w:hAnsi="Times New Roman"/>
          <w:sz w:val="22"/>
          <w:szCs w:val="22"/>
          <w:color w:val="auto"/>
        </w:rPr>
        <w:t xml:space="preserve">‘Radioactive materials;’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360"/>
        <w:spacing w:after="0"/>
        <w:tabs>
          <w:tab w:leader="none" w:pos="920" w:val="left"/>
        </w:tabs>
        <w:rPr>
          <w:sz w:val="20"/>
          <w:szCs w:val="20"/>
          <w:color w:val="auto"/>
        </w:rPr>
      </w:pPr>
      <w:r>
        <w:rPr>
          <w:rFonts w:ascii="Times New Roman" w:cs="Times New Roman" w:eastAsia="Times New Roman" w:hAnsi="Times New Roman"/>
          <w:sz w:val="22"/>
          <w:szCs w:val="22"/>
          <w:color w:val="auto"/>
        </w:rPr>
        <w:t>c.3.</w:t>
        <w:tab/>
        <w:t>Chemical warfare (CW) agents;</w:t>
      </w:r>
    </w:p>
    <w:p>
      <w:pPr>
        <w:spacing w:after="0" w:line="266"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 xml:space="preserve">d. Electronic equipment designed for automatically detecting or identifying the </w:t>
      </w:r>
      <w:r>
        <w:rPr>
          <w:rFonts w:ascii="Times New Roman" w:cs="Times New Roman" w:eastAsia="Times New Roman" w:hAnsi="Times New Roman"/>
          <w:sz w:val="22"/>
          <w:szCs w:val="22"/>
          <w:color w:val="auto"/>
        </w:rPr>
        <w:t xml:space="preserve">presence of “explosives” (as listed in the annex at </w:t>
      </w:r>
      <w:r>
        <w:rPr>
          <w:rFonts w:ascii="Times New Roman" w:cs="Times New Roman" w:eastAsia="Times New Roman" w:hAnsi="Times New Roman"/>
          <w:sz w:val="22"/>
          <w:szCs w:val="22"/>
          <w:color w:val="auto"/>
        </w:rPr>
        <w:t xml:space="preserve">the end of Category 1) residues and utilizing </w:t>
      </w:r>
      <w:r>
        <w:rPr>
          <w:rFonts w:ascii="Times New Roman" w:cs="Times New Roman" w:eastAsia="Times New Roman" w:hAnsi="Times New Roman"/>
          <w:sz w:val="22"/>
          <w:szCs w:val="22"/>
          <w:color w:val="auto"/>
        </w:rPr>
        <w:t xml:space="preserve">‘trace detection’ techniques (e.g., surface </w:t>
      </w:r>
      <w:r>
        <w:rPr>
          <w:rFonts w:ascii="Times New Roman" w:cs="Times New Roman" w:eastAsia="Times New Roman" w:hAnsi="Times New Roman"/>
          <w:sz w:val="22"/>
          <w:szCs w:val="22"/>
          <w:color w:val="auto"/>
        </w:rPr>
        <w:t>acoustic wave, ion mobility spectrometry, differential mobility spectrometry, mass spectrometry).</w:t>
      </w:r>
    </w:p>
    <w:p>
      <w:pPr>
        <w:spacing w:after="0" w:line="709"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 w:name="page5"/>
    <w:bookmarkEnd w:id="4"/>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‘Trace detection’ is defined as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capability to detect less than 1 ppm vapor, or 1 mg solid or liquid.</w:t>
      </w:r>
    </w:p>
    <w:p>
      <w:pPr>
        <w:spacing w:after="0" w:line="267"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1A004.d.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laboratory use.</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1A004.d.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non-contact walk-through security portals.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1A004 does not control:</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i w:val="1"/>
          <w:iCs w:val="1"/>
          <w:color w:val="auto"/>
        </w:rPr>
        <w:t>a. Personal radiation monitoring dosimeters;</w:t>
      </w:r>
    </w:p>
    <w:p>
      <w:pPr>
        <w:spacing w:after="0" w:line="266" w:lineRule="exact"/>
        <w:rPr>
          <w:sz w:val="20"/>
          <w:szCs w:val="20"/>
          <w:color w:val="auto"/>
        </w:rPr>
      </w:pPr>
    </w:p>
    <w:p>
      <w:pPr>
        <w:jc w:val="both"/>
        <w:ind w:left="360"/>
        <w:spacing w:after="0" w:line="236" w:lineRule="auto"/>
        <w:tabs>
          <w:tab w:leader="none" w:pos="720"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Occupational health or safety equipment limited by design or function to protect against hazards specific to residential safety or civil industries, including:</w:t>
      </w:r>
    </w:p>
    <w:p>
      <w:pPr>
        <w:spacing w:after="0" w:line="257" w:lineRule="exact"/>
        <w:rPr>
          <w:rFonts w:ascii="Times New Roman" w:cs="Times New Roman" w:eastAsia="Times New Roman" w:hAnsi="Times New Roman"/>
          <w:sz w:val="22"/>
          <w:szCs w:val="22"/>
          <w:i w:val="1"/>
          <w:iCs w:val="1"/>
          <w:color w:val="auto"/>
        </w:rPr>
      </w:pP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Mining;</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Quarrying;</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Agriculture;</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Pharmaceutical;</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Medical;</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Veterinary;</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Environmental;</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Waste management;</w:t>
      </w:r>
    </w:p>
    <w:p>
      <w:pPr>
        <w:ind w:left="1060" w:hanging="340"/>
        <w:spacing w:after="0"/>
        <w:tabs>
          <w:tab w:leader="none" w:pos="1060" w:val="left"/>
        </w:tabs>
        <w:numPr>
          <w:ilvl w:val="1"/>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Food industry.</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5" w:lineRule="exact"/>
        <w:rPr>
          <w:sz w:val="20"/>
          <w:szCs w:val="20"/>
          <w:color w:val="auto"/>
        </w:rPr>
      </w:pPr>
    </w:p>
    <w:p>
      <w:pPr>
        <w:jc w:val="both"/>
        <w:ind w:firstLine="360"/>
        <w:spacing w:after="0" w:line="251" w:lineRule="auto"/>
        <w:tabs>
          <w:tab w:leader="none" w:pos="581" w:val="left"/>
        </w:tabs>
        <w:numPr>
          <w:ilvl w:val="0"/>
          <w:numId w:val="8"/>
        </w:numPr>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1A004 includes equipment, “components” that have been ‘identified,’ successfully tested to national standards or otherwise proven effective, for the detection of or defense against</w:t>
      </w:r>
    </w:p>
    <w:p>
      <w:pPr>
        <w:spacing w:after="0" w:line="2" w:lineRule="exact"/>
        <w:rPr>
          <w:rFonts w:ascii="Times New Roman" w:cs="Times New Roman" w:eastAsia="Times New Roman" w:hAnsi="Times New Roman"/>
          <w:sz w:val="21"/>
          <w:szCs w:val="21"/>
          <w:b w:val="1"/>
          <w:bCs w:val="1"/>
          <w:i w:val="1"/>
          <w:iCs w:val="1"/>
          <w:color w:val="auto"/>
        </w:rPr>
      </w:pPr>
    </w:p>
    <w:p>
      <w:pPr>
        <w:jc w:val="both"/>
        <w:spacing w:after="0" w:line="251" w:lineRule="auto"/>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‘radioactive materials’ “”‘biological agents,’ chemical warfare agents, ‘simulants’ or “riot control agents,” even if such equipment or “components” are used in civil industries such as mining, quarrying, agriculture, pharmaceuticals, medical, veterinary, environmental, waste management, or the food industry.</w:t>
      </w:r>
    </w:p>
    <w:p>
      <w:pPr>
        <w:spacing w:after="0" w:line="255" w:lineRule="exact"/>
        <w:rPr>
          <w:rFonts w:ascii="Times New Roman" w:cs="Times New Roman" w:eastAsia="Times New Roman" w:hAnsi="Times New Roman"/>
          <w:sz w:val="21"/>
          <w:szCs w:val="21"/>
          <w:b w:val="1"/>
          <w:bCs w:val="1"/>
          <w:i w:val="1"/>
          <w:iCs w:val="1"/>
          <w:color w:val="auto"/>
        </w:rPr>
      </w:pPr>
    </w:p>
    <w:p>
      <w:pPr>
        <w:jc w:val="both"/>
        <w:ind w:firstLine="360"/>
        <w:spacing w:after="0" w:line="237" w:lineRule="auto"/>
        <w:tabs>
          <w:tab w:leader="none" w:pos="577" w:val="left"/>
        </w:tabs>
        <w:numPr>
          <w:ilvl w:val="0"/>
          <w:numId w:val="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‘Simulant’: A substance or material that is used in place of toxic agent (chemical or biological) in training, research, testing or evaluation.</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3</w:t>
      </w:r>
      <w:r>
        <w:rPr>
          <w:rFonts w:ascii="Times New Roman" w:cs="Times New Roman" w:eastAsia="Times New Roman" w:hAnsi="Times New Roman"/>
          <w:sz w:val="22"/>
          <w:szCs w:val="22"/>
          <w:i w:val="1"/>
          <w:iCs w:val="1"/>
          <w:color w:val="auto"/>
        </w:rPr>
        <w:t>. For the purposes of 1A004, ‘radioactive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materials’ are those selected or modified to increase their effectiveness in producing casualties in humans or animals, degrading equipment or damaging crops or the environment.</w:t>
      </w:r>
    </w:p>
    <w:p>
      <w:pPr>
        <w:spacing w:after="0" w:line="200" w:lineRule="exact"/>
        <w:rPr>
          <w:sz w:val="20"/>
          <w:szCs w:val="20"/>
          <w:color w:val="auto"/>
        </w:rPr>
      </w:pPr>
    </w:p>
    <w:p>
      <w:pPr>
        <w:spacing w:after="0" w:line="34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1A005 Body armor and “specially designed” “components” therefor, as follows (see List of Items Controlled).</w:t>
      </w:r>
    </w:p>
    <w:p>
      <w:pPr>
        <w:spacing w:after="0" w:line="254"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2260" w:type="dxa"/>
            <w:vAlign w:val="bottom"/>
          </w:tcPr>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160" w:type="dxa"/>
            <w:vAlign w:val="bottom"/>
          </w:tcPr>
          <w:p>
            <w:pPr>
              <w:spacing w:after="0"/>
              <w:rPr>
                <w:sz w:val="22"/>
                <w:szCs w:val="22"/>
                <w:color w:val="auto"/>
              </w:rPr>
            </w:pPr>
          </w:p>
        </w:tc>
        <w:tc>
          <w:tcPr>
            <w:tcW w:w="1920" w:type="dxa"/>
            <w:vAlign w:val="bottom"/>
          </w:tcPr>
          <w:p>
            <w:pPr>
              <w:spacing w:after="0"/>
              <w:rPr>
                <w:sz w:val="22"/>
                <w:szCs w:val="22"/>
                <w:color w:val="auto"/>
              </w:rPr>
            </w:pPr>
          </w:p>
        </w:tc>
      </w:tr>
      <w:tr>
        <w:trPr>
          <w:trHeight w:val="504"/>
        </w:trPr>
        <w:tc>
          <w:tcPr>
            <w:tcW w:w="2260" w:type="dxa"/>
            <w:vAlign w:val="bottom"/>
          </w:tcPr>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080" w:type="dxa"/>
            <w:vAlign w:val="bottom"/>
            <w:gridSpan w:val="2"/>
          </w:tcPr>
          <w:p>
            <w:pPr>
              <w:ind w:left="120"/>
              <w:spacing w:after="0"/>
              <w:rPr>
                <w:sz w:val="20"/>
                <w:szCs w:val="20"/>
                <w:color w:val="auto"/>
              </w:rPr>
            </w:pPr>
            <w:r>
              <w:rPr>
                <w:rFonts w:ascii="Times New Roman" w:cs="Times New Roman" w:eastAsia="Times New Roman" w:hAnsi="Times New Roman"/>
                <w:sz w:val="22"/>
                <w:szCs w:val="22"/>
                <w:color w:val="auto"/>
              </w:rPr>
              <w:t>NS, UN, AT</w:t>
            </w:r>
          </w:p>
        </w:tc>
      </w:tr>
      <w:tr>
        <w:trPr>
          <w:trHeight w:val="256"/>
        </w:trPr>
        <w:tc>
          <w:tcPr>
            <w:tcW w:w="2260" w:type="dxa"/>
            <w:vAlign w:val="bottom"/>
            <w:tcBorders>
              <w:bottom w:val="single" w:sz="8" w:color="auto"/>
            </w:tcBorders>
          </w:tcPr>
          <w:p>
            <w:pPr>
              <w:spacing w:after="0"/>
              <w:rPr>
                <w:sz w:val="22"/>
                <w:szCs w:val="22"/>
                <w:color w:val="auto"/>
              </w:rPr>
            </w:pPr>
          </w:p>
        </w:tc>
        <w:tc>
          <w:tcPr>
            <w:tcW w:w="160" w:type="dxa"/>
            <w:vAlign w:val="bottom"/>
            <w:tcBorders>
              <w:bottom w:val="single" w:sz="8" w:color="auto"/>
            </w:tcBorders>
          </w:tcPr>
          <w:p>
            <w:pPr>
              <w:spacing w:after="0"/>
              <w:rPr>
                <w:sz w:val="22"/>
                <w:szCs w:val="22"/>
                <w:color w:val="auto"/>
              </w:rPr>
            </w:pPr>
          </w:p>
        </w:tc>
        <w:tc>
          <w:tcPr>
            <w:tcW w:w="1920" w:type="dxa"/>
            <w:vAlign w:val="bottom"/>
            <w:tcBorders>
              <w:bottom w:val="single" w:sz="8" w:color="auto"/>
            </w:tcBorders>
          </w:tcPr>
          <w:p>
            <w:pPr>
              <w:spacing w:after="0"/>
              <w:rPr>
                <w:sz w:val="22"/>
                <w:szCs w:val="22"/>
                <w:color w:val="auto"/>
              </w:rPr>
            </w:pPr>
          </w:p>
        </w:tc>
      </w:tr>
      <w:tr>
        <w:trPr>
          <w:trHeight w:val="241"/>
        </w:trPr>
        <w:tc>
          <w:tcPr>
            <w:tcW w:w="2260" w:type="dxa"/>
            <w:vAlign w:val="bottom"/>
            <w:tcBorders>
              <w:left w:val="single" w:sz="8" w:color="auto"/>
            </w:tcBorders>
          </w:tcPr>
          <w:p>
            <w:pPr>
              <w:spacing w:after="0"/>
              <w:rPr>
                <w:sz w:val="20"/>
                <w:szCs w:val="20"/>
                <w:color w:val="auto"/>
              </w:rPr>
            </w:pPr>
          </w:p>
        </w:tc>
        <w:tc>
          <w:tcPr>
            <w:tcW w:w="160" w:type="dxa"/>
            <w:vAlign w:val="bottom"/>
            <w:tcBorders>
              <w:right w:val="single" w:sz="8" w:color="auto"/>
            </w:tcBorders>
          </w:tcPr>
          <w:p>
            <w:pPr>
              <w:spacing w:after="0"/>
              <w:rPr>
                <w:sz w:val="20"/>
                <w:szCs w:val="20"/>
                <w:color w:val="auto"/>
              </w:rPr>
            </w:pPr>
          </w:p>
        </w:tc>
        <w:tc>
          <w:tcPr>
            <w:tcW w:w="1920" w:type="dxa"/>
            <w:vAlign w:val="bottom"/>
            <w:tcBorders>
              <w:right w:val="single" w:sz="8" w:color="auto"/>
            </w:tcBorders>
          </w:tcPr>
          <w:p>
            <w:pPr>
              <w:ind w:left="300"/>
              <w:spacing w:after="0" w:line="241"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260" w:type="dxa"/>
            <w:vAlign w:val="bottom"/>
            <w:tcBorders>
              <w:lef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0" w:type="dxa"/>
            <w:vAlign w:val="bottom"/>
            <w:tcBorders>
              <w:right w:val="single" w:sz="8" w:color="auto"/>
            </w:tcBorders>
          </w:tcPr>
          <w:p>
            <w:pPr>
              <w:spacing w:after="0"/>
              <w:rPr>
                <w:sz w:val="22"/>
                <w:szCs w:val="22"/>
                <w:color w:val="auto"/>
              </w:rPr>
            </w:pPr>
          </w:p>
        </w:tc>
        <w:tc>
          <w:tcPr>
            <w:tcW w:w="192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54"/>
        </w:trPr>
        <w:tc>
          <w:tcPr>
            <w:tcW w:w="2260" w:type="dxa"/>
            <w:vAlign w:val="bottom"/>
            <w:tcBorders>
              <w:left w:val="single" w:sz="8" w:color="auto"/>
              <w:bottom w:val="single" w:sz="8" w:color="auto"/>
            </w:tcBorders>
          </w:tcPr>
          <w:p>
            <w:pPr>
              <w:spacing w:after="0"/>
              <w:rPr>
                <w:sz w:val="22"/>
                <w:szCs w:val="22"/>
                <w:color w:val="auto"/>
              </w:rPr>
            </w:pPr>
          </w:p>
        </w:tc>
        <w:tc>
          <w:tcPr>
            <w:tcW w:w="160" w:type="dxa"/>
            <w:vAlign w:val="bottom"/>
            <w:tcBorders>
              <w:bottom w:val="single" w:sz="8" w:color="auto"/>
              <w:right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ind w:left="540"/>
              <w:spacing w:after="0"/>
              <w:rPr>
                <w:sz w:val="20"/>
                <w:szCs w:val="20"/>
                <w:color w:val="auto"/>
              </w:rPr>
            </w:pPr>
            <w:r>
              <w:rPr>
                <w:rFonts w:ascii="Times New Roman" w:cs="Times New Roman" w:eastAsia="Times New Roman" w:hAnsi="Times New Roman"/>
                <w:sz w:val="22"/>
                <w:szCs w:val="22"/>
                <w:i w:val="1"/>
                <w:iCs w:val="1"/>
                <w:color w:val="auto"/>
              </w:rPr>
              <w:t>part 738)</w:t>
            </w:r>
          </w:p>
        </w:tc>
      </w:tr>
      <w:tr>
        <w:trPr>
          <w:trHeight w:val="241"/>
        </w:trPr>
        <w:tc>
          <w:tcPr>
            <w:tcW w:w="226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60" w:type="dxa"/>
            <w:vAlign w:val="bottom"/>
            <w:tcBorders>
              <w:right w:val="single" w:sz="8" w:color="auto"/>
            </w:tcBorders>
          </w:tcPr>
          <w:p>
            <w:pPr>
              <w:spacing w:after="0"/>
              <w:rPr>
                <w:sz w:val="20"/>
                <w:szCs w:val="20"/>
                <w:color w:val="auto"/>
              </w:rPr>
            </w:pPr>
          </w:p>
        </w:tc>
        <w:tc>
          <w:tcPr>
            <w:tcW w:w="19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2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60" w:type="dxa"/>
            <w:vAlign w:val="bottom"/>
            <w:tcBorders>
              <w:bottom w:val="single" w:sz="8" w:color="auto"/>
              <w:right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2"/>
                <w:szCs w:val="22"/>
                <w:color w:val="auto"/>
              </w:rPr>
            </w:pPr>
          </w:p>
        </w:tc>
      </w:tr>
      <w:tr>
        <w:trPr>
          <w:trHeight w:val="241"/>
        </w:trPr>
        <w:tc>
          <w:tcPr>
            <w:tcW w:w="226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 applies to entire</w:t>
            </w:r>
          </w:p>
        </w:tc>
        <w:tc>
          <w:tcPr>
            <w:tcW w:w="160" w:type="dxa"/>
            <w:vAlign w:val="bottom"/>
            <w:tcBorders>
              <w:right w:val="single" w:sz="8" w:color="auto"/>
            </w:tcBorders>
          </w:tcPr>
          <w:p>
            <w:pPr>
              <w:spacing w:after="0"/>
              <w:rPr>
                <w:sz w:val="20"/>
                <w:szCs w:val="20"/>
                <w:color w:val="auto"/>
              </w:rPr>
            </w:pPr>
          </w:p>
        </w:tc>
        <w:tc>
          <w:tcPr>
            <w:tcW w:w="19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See § 746.1(b) for</w:t>
            </w:r>
          </w:p>
        </w:tc>
      </w:tr>
      <w:tr>
        <w:trPr>
          <w:trHeight w:val="255"/>
        </w:trPr>
        <w:tc>
          <w:tcPr>
            <w:tcW w:w="22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60" w:type="dxa"/>
            <w:vAlign w:val="bottom"/>
            <w:tcBorders>
              <w:bottom w:val="single" w:sz="8" w:color="auto"/>
              <w:right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UN controls.</w:t>
            </w:r>
          </w:p>
        </w:tc>
      </w:tr>
      <w:tr>
        <w:trPr>
          <w:trHeight w:val="241"/>
        </w:trPr>
        <w:tc>
          <w:tcPr>
            <w:tcW w:w="226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60" w:type="dxa"/>
            <w:vAlign w:val="bottom"/>
            <w:tcBorders>
              <w:right w:val="single" w:sz="8" w:color="auto"/>
            </w:tcBorders>
          </w:tcPr>
          <w:p>
            <w:pPr>
              <w:spacing w:after="0"/>
              <w:rPr>
                <w:sz w:val="20"/>
                <w:szCs w:val="20"/>
                <w:color w:val="auto"/>
              </w:rPr>
            </w:pPr>
          </w:p>
        </w:tc>
        <w:tc>
          <w:tcPr>
            <w:tcW w:w="19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2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60" w:type="dxa"/>
            <w:vAlign w:val="bottom"/>
            <w:tcBorders>
              <w:bottom w:val="single" w:sz="8" w:color="auto"/>
              <w:right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Notes</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1. Soft body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armor not manufactured to military standards or specifications must provide ballistic protection equal to or less than NIJ level III (NIJ 0101.06, July 2008) to be controlled under 1A005.a. 2. For purposes of 1A005.a, military standards and specifications include, at a minimum, specifications for fragmentation protection.</w:t>
      </w:r>
    </w:p>
    <w:p>
      <w:pPr>
        <w:spacing w:after="0" w:line="200" w:lineRule="exact"/>
        <w:rPr>
          <w:sz w:val="20"/>
          <w:szCs w:val="20"/>
          <w:color w:val="auto"/>
        </w:rPr>
      </w:pPr>
    </w:p>
    <w:p>
      <w:pPr>
        <w:spacing w:after="0" w:line="32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except UN</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Bulletproof and bullet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resistant vests (body armor) providing NIJ Type IV protection or greater are “subject to the ITAR” (see 22 CFR 121.1 Category X(a)). (2) Soft body armor and protective</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4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 w:name="page6"/>
    <w:bookmarkEnd w:id="5"/>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garments manufactured to military standards or specifications that provide protection equal to NIJ level III or less are classified under ECCN 1A613.d.1. (3) Hard armor plates providing NIJ level III ballistic protection are classified under ECCN 1A613.d.2. (4) Police helmets and shields are classified under ECCN 0A979. (5) Other personal protective “equipment” “specially designed” for military applications not controlled by the USML or elsewhere in the CCL is classified under ECCN 1A613.e.</w:t>
      </w:r>
    </w:p>
    <w:p>
      <w:pPr>
        <w:spacing w:after="0" w:line="13" w:lineRule="exact"/>
        <w:rPr>
          <w:sz w:val="20"/>
          <w:szCs w:val="20"/>
          <w:color w:val="auto"/>
        </w:rPr>
      </w:pPr>
    </w:p>
    <w:p>
      <w:pPr>
        <w:jc w:val="both"/>
        <w:ind w:left="360"/>
        <w:spacing w:after="0" w:line="236" w:lineRule="auto"/>
        <w:tabs>
          <w:tab w:leader="none" w:pos="732"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“fibrous or filamentary materials” used in the manufacture of body armor, see ECCN 1C010.</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tabs>
          <w:tab w:leader="none" w:pos="329"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Soft body armor not manufactured to military standards or specifications, or to their</w:t>
      </w:r>
    </w:p>
    <w:p>
      <w:pPr>
        <w:spacing w:after="0" w:line="11" w:lineRule="exact"/>
        <w:rPr>
          <w:rFonts w:ascii="Times New Roman" w:cs="Times New Roman" w:eastAsia="Times New Roman" w:hAnsi="Times New Roman"/>
          <w:sz w:val="22"/>
          <w:szCs w:val="22"/>
          <w:color w:val="auto"/>
        </w:rPr>
      </w:pPr>
    </w:p>
    <w:p>
      <w:pPr>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equivalents, and “specially designed” “components” therefor;</w:t>
      </w:r>
    </w:p>
    <w:p>
      <w:pPr>
        <w:spacing w:after="0" w:line="266" w:lineRule="exact"/>
        <w:rPr>
          <w:rFonts w:ascii="Times New Roman" w:cs="Times New Roman" w:eastAsia="Times New Roman" w:hAnsi="Times New Roman"/>
          <w:sz w:val="22"/>
          <w:szCs w:val="22"/>
          <w:color w:val="auto"/>
        </w:rPr>
      </w:pPr>
    </w:p>
    <w:p>
      <w:pPr>
        <w:jc w:val="both"/>
        <w:spacing w:after="0" w:line="235" w:lineRule="auto"/>
        <w:tabs>
          <w:tab w:leader="none" w:pos="360"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Hard body armor plates that provide ballistic protection less than NIJ level III (NIJ 0101.06, July 2008) or national equivalents.</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Notes to ECCN 1A005</w:t>
      </w:r>
      <w:r>
        <w:rPr>
          <w:rFonts w:ascii="Times New Roman" w:cs="Times New Roman" w:eastAsia="Times New Roman" w:hAnsi="Times New Roman"/>
          <w:sz w:val="22"/>
          <w:szCs w:val="22"/>
          <w:i w:val="1"/>
          <w:iCs w:val="1"/>
          <w:color w:val="auto"/>
        </w:rPr>
        <w:t>:</w:t>
      </w:r>
    </w:p>
    <w:p>
      <w:pPr>
        <w:spacing w:after="0" w:line="266" w:lineRule="exact"/>
        <w:rPr>
          <w:sz w:val="20"/>
          <w:szCs w:val="20"/>
          <w:color w:val="auto"/>
        </w:rPr>
      </w:pPr>
    </w:p>
    <w:p>
      <w:pPr>
        <w:jc w:val="both"/>
        <w:spacing w:after="0" w:line="235" w:lineRule="auto"/>
        <w:tabs>
          <w:tab w:leader="none" w:pos="342" w:val="left"/>
        </w:tabs>
        <w:numPr>
          <w:ilvl w:val="0"/>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entry does not control body armor when accompanying its user for the user’s own personal protection.</w:t>
      </w:r>
    </w:p>
    <w:p>
      <w:pPr>
        <w:spacing w:after="0" w:line="268" w:lineRule="exact"/>
        <w:rPr>
          <w:rFonts w:ascii="Times New Roman" w:cs="Times New Roman" w:eastAsia="Times New Roman" w:hAnsi="Times New Roman"/>
          <w:sz w:val="22"/>
          <w:szCs w:val="22"/>
          <w:i w:val="1"/>
          <w:iCs w:val="1"/>
          <w:color w:val="auto"/>
        </w:rPr>
      </w:pPr>
    </w:p>
    <w:p>
      <w:pPr>
        <w:jc w:val="both"/>
        <w:spacing w:after="0" w:line="236" w:lineRule="auto"/>
        <w:tabs>
          <w:tab w:leader="none" w:pos="432" w:val="left"/>
        </w:tabs>
        <w:numPr>
          <w:ilvl w:val="0"/>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entry does not control body armor designed to provide frontal protection only from both fragment and blast from non-military explosive devices.</w:t>
      </w:r>
    </w:p>
    <w:p>
      <w:pPr>
        <w:spacing w:after="0" w:line="269" w:lineRule="exact"/>
        <w:rPr>
          <w:rFonts w:ascii="Times New Roman" w:cs="Times New Roman" w:eastAsia="Times New Roman" w:hAnsi="Times New Roman"/>
          <w:sz w:val="22"/>
          <w:szCs w:val="22"/>
          <w:i w:val="1"/>
          <w:iCs w:val="1"/>
          <w:color w:val="auto"/>
        </w:rPr>
      </w:pPr>
    </w:p>
    <w:p>
      <w:pPr>
        <w:jc w:val="both"/>
        <w:spacing w:after="0" w:line="236" w:lineRule="auto"/>
        <w:tabs>
          <w:tab w:leader="none" w:pos="291" w:val="left"/>
        </w:tabs>
        <w:numPr>
          <w:ilvl w:val="0"/>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entry does not apply to body armor designed to provide protection only from knife, spike, needle or blunt trauma.</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1A006 Equipment, “specially designed” or modified for the disposal of improvised explosive devices, as follows (see List of Items Controlled), and “specially designed” “components” and “accessories” therefor.</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AT</w:t>
      </w:r>
    </w:p>
    <w:p>
      <w:pPr>
        <w:spacing w:after="0" w:line="237"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License Requirement Note: </w:t>
      </w:r>
      <w:r>
        <w:rPr>
          <w:rFonts w:ascii="Times New Roman" w:cs="Times New Roman" w:eastAsia="Times New Roman" w:hAnsi="Times New Roman"/>
          <w:sz w:val="22"/>
          <w:szCs w:val="22"/>
          <w:i w:val="1"/>
          <w:iCs w:val="1"/>
          <w:color w:val="auto"/>
        </w:rPr>
        <w:t>1A006 does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not apply to equipment when accompanying its operator.</w:t>
      </w:r>
    </w:p>
    <w:p>
      <w:pPr>
        <w:spacing w:after="0" w:line="265"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Equipment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“specially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designed” for military use for the disposal of improvised explosive devices is “subject to the ITAR” (see 22 CFR parts 120 through 130, including USML Category IV).</w:t>
      </w:r>
    </w:p>
    <w:p>
      <w:pPr>
        <w:spacing w:after="0" w:line="16"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‘Disruptors’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Devices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“specially designed” for the purpose of preventing the operation of an explosive device by projecting a liquid, solid or frangible projectile.</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2" w:lineRule="exact"/>
        <w:rPr>
          <w:sz w:val="20"/>
          <w:szCs w:val="20"/>
          <w:color w:val="auto"/>
        </w:rPr>
      </w:pPr>
    </w:p>
    <w:p>
      <w:pPr>
        <w:ind w:left="360" w:hanging="359"/>
        <w:spacing w:after="0"/>
        <w:tabs>
          <w:tab w:leader="none" w:pos="36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Remotely operated vehicles;</w:t>
      </w:r>
    </w:p>
    <w:p>
      <w:pPr>
        <w:spacing w:after="0" w:line="252" w:lineRule="exact"/>
        <w:rPr>
          <w:rFonts w:ascii="Times New Roman" w:cs="Times New Roman" w:eastAsia="Times New Roman" w:hAnsi="Times New Roman"/>
          <w:sz w:val="22"/>
          <w:szCs w:val="22"/>
          <w:color w:val="auto"/>
        </w:rPr>
      </w:pPr>
    </w:p>
    <w:p>
      <w:pPr>
        <w:ind w:left="360" w:hanging="359"/>
        <w:spacing w:after="0"/>
        <w:tabs>
          <w:tab w:leader="none" w:pos="36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‘Disruptors’.</w:t>
      </w:r>
    </w:p>
    <w:p>
      <w:pPr>
        <w:spacing w:after="0" w:line="200" w:lineRule="exact"/>
        <w:rPr>
          <w:sz w:val="20"/>
          <w:szCs w:val="20"/>
          <w:color w:val="auto"/>
        </w:rPr>
      </w:pPr>
    </w:p>
    <w:p>
      <w:pPr>
        <w:spacing w:after="0" w:line="320"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1A007 Equipment and devices, “specially designed” to initiate charges and devices containing “energetic materials,” by electrical means, as follows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3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 w:name="page7"/>
    <w:bookmarkEnd w:id="6"/>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tbl>
      <w:tblPr>
        <w:tblLayout w:type="fixed"/>
        <w:tblInd w:w="110" w:type="dxa"/>
        <w:tblCellMar>
          <w:top w:w="0" w:type="dxa"/>
          <w:left w:w="0" w:type="dxa"/>
          <w:bottom w:w="0" w:type="dxa"/>
          <w:right w:w="0" w:type="dxa"/>
        </w:tblCellMar>
      </w:tblPr>
      <w:tr>
        <w:trPr>
          <w:trHeight w:val="253"/>
        </w:trPr>
        <w:tc>
          <w:tcPr>
            <w:tcW w:w="2240" w:type="dxa"/>
            <w:vAlign w:val="bottom"/>
            <w:gridSpan w:val="3"/>
          </w:tcPr>
          <w:p>
            <w:pPr>
              <w:ind w:left="2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000" w:type="dxa"/>
            <w:vAlign w:val="bottom"/>
            <w:gridSpan w:val="2"/>
          </w:tcPr>
          <w:p>
            <w:pPr>
              <w:ind w:left="40"/>
              <w:spacing w:after="0"/>
              <w:rPr>
                <w:sz w:val="20"/>
                <w:szCs w:val="20"/>
                <w:color w:val="auto"/>
              </w:rPr>
            </w:pPr>
            <w:r>
              <w:rPr>
                <w:rFonts w:ascii="Times New Roman" w:cs="Times New Roman" w:eastAsia="Times New Roman" w:hAnsi="Times New Roman"/>
                <w:sz w:val="22"/>
                <w:szCs w:val="22"/>
                <w:color w:val="auto"/>
              </w:rPr>
              <w:t>NS, NP, AT</w:t>
            </w:r>
          </w:p>
        </w:tc>
      </w:tr>
      <w:tr>
        <w:trPr>
          <w:trHeight w:val="256"/>
        </w:trPr>
        <w:tc>
          <w:tcPr>
            <w:tcW w:w="660" w:type="dxa"/>
            <w:vAlign w:val="bottom"/>
            <w:tcBorders>
              <w:bottom w:val="single" w:sz="8" w:color="auto"/>
            </w:tcBorders>
          </w:tcPr>
          <w:p>
            <w:pPr>
              <w:spacing w:after="0"/>
              <w:rPr>
                <w:sz w:val="22"/>
                <w:szCs w:val="22"/>
                <w:color w:val="auto"/>
              </w:rPr>
            </w:pPr>
          </w:p>
        </w:tc>
        <w:tc>
          <w:tcPr>
            <w:tcW w:w="620" w:type="dxa"/>
            <w:vAlign w:val="bottom"/>
            <w:tcBorders>
              <w:bottom w:val="single" w:sz="8" w:color="auto"/>
            </w:tcBorders>
          </w:tcPr>
          <w:p>
            <w:pPr>
              <w:spacing w:after="0"/>
              <w:rPr>
                <w:sz w:val="22"/>
                <w:szCs w:val="22"/>
                <w:color w:val="auto"/>
              </w:rPr>
            </w:pPr>
          </w:p>
        </w:tc>
        <w:tc>
          <w:tcPr>
            <w:tcW w:w="96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900" w:type="dxa"/>
            <w:vAlign w:val="bottom"/>
            <w:tcBorders>
              <w:bottom w:val="single" w:sz="8" w:color="auto"/>
            </w:tcBorders>
          </w:tcPr>
          <w:p>
            <w:pPr>
              <w:spacing w:after="0"/>
              <w:rPr>
                <w:sz w:val="22"/>
                <w:szCs w:val="22"/>
                <w:color w:val="auto"/>
              </w:rPr>
            </w:pPr>
          </w:p>
        </w:tc>
      </w:tr>
      <w:tr>
        <w:trPr>
          <w:trHeight w:val="241"/>
        </w:trPr>
        <w:tc>
          <w:tcPr>
            <w:tcW w:w="660" w:type="dxa"/>
            <w:vAlign w:val="bottom"/>
            <w:tcBorders>
              <w:left w:val="single" w:sz="8" w:color="auto"/>
            </w:tcBorders>
          </w:tcPr>
          <w:p>
            <w:pPr>
              <w:spacing w:after="0"/>
              <w:rPr>
                <w:sz w:val="20"/>
                <w:szCs w:val="20"/>
                <w:color w:val="auto"/>
              </w:rPr>
            </w:pPr>
          </w:p>
        </w:tc>
        <w:tc>
          <w:tcPr>
            <w:tcW w:w="620" w:type="dxa"/>
            <w:vAlign w:val="bottom"/>
          </w:tcPr>
          <w:p>
            <w:pPr>
              <w:spacing w:after="0"/>
              <w:rPr>
                <w:sz w:val="20"/>
                <w:szCs w:val="20"/>
                <w:color w:val="auto"/>
              </w:rPr>
            </w:pPr>
          </w:p>
        </w:tc>
        <w:tc>
          <w:tcPr>
            <w:tcW w:w="960" w:type="dxa"/>
            <w:vAlign w:val="bottom"/>
          </w:tcPr>
          <w:p>
            <w:pPr>
              <w:spacing w:after="0"/>
              <w:rPr>
                <w:sz w:val="20"/>
                <w:szCs w:val="20"/>
                <w:color w:val="auto"/>
              </w:rPr>
            </w:pPr>
          </w:p>
        </w:tc>
        <w:tc>
          <w:tcPr>
            <w:tcW w:w="100" w:type="dxa"/>
            <w:vAlign w:val="bottom"/>
            <w:tcBorders>
              <w:right w:val="single" w:sz="8" w:color="auto"/>
            </w:tcBorders>
          </w:tcPr>
          <w:p>
            <w:pPr>
              <w:spacing w:after="0"/>
              <w:rPr>
                <w:sz w:val="20"/>
                <w:szCs w:val="20"/>
                <w:color w:val="auto"/>
              </w:rPr>
            </w:pPr>
          </w:p>
        </w:tc>
        <w:tc>
          <w:tcPr>
            <w:tcW w:w="1900" w:type="dxa"/>
            <w:vAlign w:val="bottom"/>
            <w:tcBorders>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4"/>
        </w:trPr>
        <w:tc>
          <w:tcPr>
            <w:tcW w:w="660" w:type="dxa"/>
            <w:vAlign w:val="bottom"/>
            <w:tcBorders>
              <w:left w:val="single" w:sz="8" w:color="auto"/>
            </w:tcBorders>
          </w:tcPr>
          <w:p>
            <w:pPr>
              <w:spacing w:after="0"/>
              <w:rPr>
                <w:sz w:val="22"/>
                <w:szCs w:val="22"/>
                <w:color w:val="auto"/>
              </w:rPr>
            </w:pPr>
          </w:p>
        </w:tc>
        <w:tc>
          <w:tcPr>
            <w:tcW w:w="1580" w:type="dxa"/>
            <w:vAlign w:val="bottom"/>
            <w:gridSpan w:val="2"/>
          </w:tcPr>
          <w:p>
            <w:pPr>
              <w:jc w:val="right"/>
              <w:ind w:right="51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00" w:type="dxa"/>
            <w:vAlign w:val="bottom"/>
            <w:tcBorders>
              <w:right w:val="single" w:sz="8" w:color="auto"/>
            </w:tcBorders>
          </w:tcPr>
          <w:p>
            <w:pPr>
              <w:spacing w:after="0"/>
              <w:rPr>
                <w:sz w:val="22"/>
                <w:szCs w:val="22"/>
                <w:color w:val="auto"/>
              </w:rPr>
            </w:pP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660" w:type="dxa"/>
            <w:vAlign w:val="bottom"/>
            <w:tcBorders>
              <w:left w:val="single" w:sz="8" w:color="auto"/>
              <w:bottom w:val="single" w:sz="8" w:color="auto"/>
            </w:tcBorders>
          </w:tcPr>
          <w:p>
            <w:pPr>
              <w:spacing w:after="0"/>
              <w:rPr>
                <w:sz w:val="22"/>
                <w:szCs w:val="22"/>
                <w:color w:val="auto"/>
              </w:rPr>
            </w:pPr>
          </w:p>
        </w:tc>
        <w:tc>
          <w:tcPr>
            <w:tcW w:w="620" w:type="dxa"/>
            <w:vAlign w:val="bottom"/>
            <w:tcBorders>
              <w:bottom w:val="single" w:sz="8" w:color="auto"/>
            </w:tcBorders>
          </w:tcPr>
          <w:p>
            <w:pPr>
              <w:spacing w:after="0"/>
              <w:rPr>
                <w:sz w:val="22"/>
                <w:szCs w:val="22"/>
                <w:color w:val="auto"/>
              </w:rPr>
            </w:pPr>
          </w:p>
        </w:tc>
        <w:tc>
          <w:tcPr>
            <w:tcW w:w="960" w:type="dxa"/>
            <w:vAlign w:val="bottom"/>
            <w:tcBorders>
              <w:bottom w:val="single" w:sz="8" w:color="auto"/>
            </w:tcBorders>
          </w:tcPr>
          <w:p>
            <w:pPr>
              <w:spacing w:after="0"/>
              <w:rPr>
                <w:sz w:val="22"/>
                <w:szCs w:val="22"/>
                <w:color w:val="auto"/>
              </w:rPr>
            </w:pPr>
          </w:p>
        </w:tc>
        <w:tc>
          <w:tcPr>
            <w:tcW w:w="100" w:type="dxa"/>
            <w:vAlign w:val="bottom"/>
            <w:tcBorders>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240" w:type="dxa"/>
            <w:vAlign w:val="bottom"/>
            <w:tcBorders>
              <w:left w:val="single" w:sz="8" w:color="auto"/>
            </w:tcBorders>
            <w:gridSpan w:val="3"/>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00" w:type="dxa"/>
            <w:vAlign w:val="bottom"/>
            <w:tcBorders>
              <w:right w:val="single" w:sz="8" w:color="auto"/>
            </w:tcBorders>
          </w:tcPr>
          <w:p>
            <w:pPr>
              <w:spacing w:after="0"/>
              <w:rPr>
                <w:sz w:val="20"/>
                <w:szCs w:val="20"/>
                <w:color w:val="auto"/>
              </w:rPr>
            </w:pPr>
          </w:p>
        </w:tc>
        <w:tc>
          <w:tcPr>
            <w:tcW w:w="190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6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620" w:type="dxa"/>
            <w:vAlign w:val="bottom"/>
            <w:tcBorders>
              <w:bottom w:val="single" w:sz="8" w:color="auto"/>
            </w:tcBorders>
          </w:tcPr>
          <w:p>
            <w:pPr>
              <w:spacing w:after="0"/>
              <w:rPr>
                <w:sz w:val="22"/>
                <w:szCs w:val="22"/>
                <w:color w:val="auto"/>
              </w:rPr>
            </w:pPr>
          </w:p>
        </w:tc>
        <w:tc>
          <w:tcPr>
            <w:tcW w:w="960" w:type="dxa"/>
            <w:vAlign w:val="bottom"/>
            <w:tcBorders>
              <w:bottom w:val="single" w:sz="8" w:color="auto"/>
            </w:tcBorders>
          </w:tcPr>
          <w:p>
            <w:pPr>
              <w:spacing w:after="0"/>
              <w:rPr>
                <w:sz w:val="22"/>
                <w:szCs w:val="22"/>
                <w:color w:val="auto"/>
              </w:rPr>
            </w:pPr>
          </w:p>
        </w:tc>
        <w:tc>
          <w:tcPr>
            <w:tcW w:w="100" w:type="dxa"/>
            <w:vAlign w:val="bottom"/>
            <w:tcBorders>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spacing w:after="0"/>
              <w:rPr>
                <w:sz w:val="22"/>
                <w:szCs w:val="22"/>
                <w:color w:val="auto"/>
              </w:rPr>
            </w:pPr>
          </w:p>
        </w:tc>
      </w:tr>
      <w:tr>
        <w:trPr>
          <w:trHeight w:val="241"/>
        </w:trPr>
        <w:tc>
          <w:tcPr>
            <w:tcW w:w="2240" w:type="dxa"/>
            <w:vAlign w:val="bottom"/>
            <w:tcBorders>
              <w:left w:val="single" w:sz="8" w:color="auto"/>
            </w:tcBorders>
            <w:gridSpan w:val="3"/>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1A007.b,</w:t>
            </w:r>
          </w:p>
        </w:tc>
        <w:tc>
          <w:tcPr>
            <w:tcW w:w="100" w:type="dxa"/>
            <w:vAlign w:val="bottom"/>
            <w:tcBorders>
              <w:right w:val="single" w:sz="8" w:color="auto"/>
            </w:tcBorders>
          </w:tcPr>
          <w:p>
            <w:pPr>
              <w:spacing w:after="0"/>
              <w:rPr>
                <w:sz w:val="20"/>
                <w:szCs w:val="20"/>
                <w:color w:val="auto"/>
              </w:rPr>
            </w:pPr>
          </w:p>
        </w:tc>
        <w:tc>
          <w:tcPr>
            <w:tcW w:w="190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128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as  well  as</w:t>
            </w:r>
          </w:p>
        </w:tc>
        <w:tc>
          <w:tcPr>
            <w:tcW w:w="9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1A007.a</w:t>
            </w:r>
          </w:p>
        </w:tc>
        <w:tc>
          <w:tcPr>
            <w:tcW w:w="100" w:type="dxa"/>
            <w:vAlign w:val="bottom"/>
            <w:tcBorders>
              <w:right w:val="single" w:sz="8" w:color="auto"/>
            </w:tcBorders>
          </w:tcPr>
          <w:p>
            <w:pPr>
              <w:spacing w:after="0"/>
              <w:rPr>
                <w:sz w:val="22"/>
                <w:szCs w:val="22"/>
                <w:color w:val="auto"/>
              </w:rPr>
            </w:pPr>
          </w:p>
        </w:tc>
        <w:tc>
          <w:tcPr>
            <w:tcW w:w="1900" w:type="dxa"/>
            <w:vAlign w:val="bottom"/>
            <w:tcBorders>
              <w:right w:val="single" w:sz="8" w:color="auto"/>
            </w:tcBorders>
          </w:tcPr>
          <w:p>
            <w:pPr>
              <w:spacing w:after="0"/>
              <w:rPr>
                <w:sz w:val="22"/>
                <w:szCs w:val="22"/>
                <w:color w:val="auto"/>
              </w:rPr>
            </w:pPr>
          </w:p>
        </w:tc>
      </w:tr>
      <w:tr>
        <w:trPr>
          <w:trHeight w:val="253"/>
        </w:trPr>
        <w:tc>
          <w:tcPr>
            <w:tcW w:w="6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when</w:t>
            </w:r>
          </w:p>
        </w:tc>
        <w:tc>
          <w:tcPr>
            <w:tcW w:w="620" w:type="dxa"/>
            <w:vAlign w:val="bottom"/>
          </w:tcPr>
          <w:p>
            <w:pPr>
              <w:ind w:left="200"/>
              <w:spacing w:after="0"/>
              <w:rPr>
                <w:sz w:val="20"/>
                <w:szCs w:val="20"/>
                <w:color w:val="auto"/>
              </w:rPr>
            </w:pPr>
            <w:r>
              <w:rPr>
                <w:rFonts w:ascii="Times New Roman" w:cs="Times New Roman" w:eastAsia="Times New Roman" w:hAnsi="Times New Roman"/>
                <w:sz w:val="22"/>
                <w:szCs w:val="22"/>
                <w:color w:val="auto"/>
              </w:rPr>
              <w:t>the</w:t>
            </w:r>
          </w:p>
        </w:tc>
        <w:tc>
          <w:tcPr>
            <w:tcW w:w="9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detonator</w:t>
            </w:r>
          </w:p>
        </w:tc>
        <w:tc>
          <w:tcPr>
            <w:tcW w:w="100" w:type="dxa"/>
            <w:vAlign w:val="bottom"/>
            <w:tcBorders>
              <w:right w:val="single" w:sz="8" w:color="auto"/>
            </w:tcBorders>
          </w:tcPr>
          <w:p>
            <w:pPr>
              <w:spacing w:after="0"/>
              <w:rPr>
                <w:sz w:val="22"/>
                <w:szCs w:val="22"/>
                <w:color w:val="auto"/>
              </w:rPr>
            </w:pPr>
          </w:p>
        </w:tc>
        <w:tc>
          <w:tcPr>
            <w:tcW w:w="1900" w:type="dxa"/>
            <w:vAlign w:val="bottom"/>
            <w:tcBorders>
              <w:right w:val="single" w:sz="8" w:color="auto"/>
            </w:tcBorders>
          </w:tcPr>
          <w:p>
            <w:pPr>
              <w:spacing w:after="0"/>
              <w:rPr>
                <w:sz w:val="22"/>
                <w:szCs w:val="22"/>
                <w:color w:val="auto"/>
              </w:rPr>
            </w:pPr>
          </w:p>
        </w:tc>
      </w:tr>
      <w:tr>
        <w:trPr>
          <w:trHeight w:val="252"/>
        </w:trPr>
        <w:tc>
          <w:tcPr>
            <w:tcW w:w="6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firing</w:t>
            </w:r>
          </w:p>
        </w:tc>
        <w:tc>
          <w:tcPr>
            <w:tcW w:w="620" w:type="dxa"/>
            <w:vAlign w:val="bottom"/>
          </w:tcPr>
          <w:p>
            <w:pPr>
              <w:ind w:left="180"/>
              <w:spacing w:after="0"/>
              <w:rPr>
                <w:sz w:val="20"/>
                <w:szCs w:val="20"/>
                <w:color w:val="auto"/>
              </w:rPr>
            </w:pPr>
            <w:r>
              <w:rPr>
                <w:rFonts w:ascii="Times New Roman" w:cs="Times New Roman" w:eastAsia="Times New Roman" w:hAnsi="Times New Roman"/>
                <w:sz w:val="22"/>
                <w:szCs w:val="22"/>
                <w:color w:val="auto"/>
              </w:rPr>
              <w:t>set</w:t>
            </w:r>
          </w:p>
        </w:tc>
        <w:tc>
          <w:tcPr>
            <w:tcW w:w="9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meets   or</w:t>
            </w:r>
          </w:p>
        </w:tc>
        <w:tc>
          <w:tcPr>
            <w:tcW w:w="100" w:type="dxa"/>
            <w:vAlign w:val="bottom"/>
            <w:tcBorders>
              <w:right w:val="single" w:sz="8" w:color="auto"/>
            </w:tcBorders>
          </w:tcPr>
          <w:p>
            <w:pPr>
              <w:spacing w:after="0"/>
              <w:rPr>
                <w:sz w:val="21"/>
                <w:szCs w:val="21"/>
                <w:color w:val="auto"/>
              </w:rPr>
            </w:pPr>
          </w:p>
        </w:tc>
        <w:tc>
          <w:tcPr>
            <w:tcW w:w="1900" w:type="dxa"/>
            <w:vAlign w:val="bottom"/>
            <w:tcBorders>
              <w:right w:val="single" w:sz="8" w:color="auto"/>
            </w:tcBorders>
          </w:tcPr>
          <w:p>
            <w:pPr>
              <w:spacing w:after="0"/>
              <w:rPr>
                <w:sz w:val="21"/>
                <w:szCs w:val="21"/>
                <w:color w:val="auto"/>
              </w:rPr>
            </w:pPr>
          </w:p>
        </w:tc>
      </w:tr>
      <w:tr>
        <w:trPr>
          <w:trHeight w:val="253"/>
        </w:trPr>
        <w:tc>
          <w:tcPr>
            <w:tcW w:w="2240" w:type="dxa"/>
            <w:vAlign w:val="bottom"/>
            <w:tcBorders>
              <w:left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exceeds the parameters</w:t>
            </w:r>
          </w:p>
        </w:tc>
        <w:tc>
          <w:tcPr>
            <w:tcW w:w="100" w:type="dxa"/>
            <w:vAlign w:val="bottom"/>
            <w:tcBorders>
              <w:right w:val="single" w:sz="8" w:color="auto"/>
            </w:tcBorders>
          </w:tcPr>
          <w:p>
            <w:pPr>
              <w:spacing w:after="0"/>
              <w:rPr>
                <w:sz w:val="22"/>
                <w:szCs w:val="22"/>
                <w:color w:val="auto"/>
              </w:rPr>
            </w:pPr>
          </w:p>
        </w:tc>
        <w:tc>
          <w:tcPr>
            <w:tcW w:w="1900" w:type="dxa"/>
            <w:vAlign w:val="bottom"/>
            <w:tcBorders>
              <w:right w:val="single" w:sz="8" w:color="auto"/>
            </w:tcBorders>
          </w:tcPr>
          <w:p>
            <w:pPr>
              <w:spacing w:after="0"/>
              <w:rPr>
                <w:sz w:val="22"/>
                <w:szCs w:val="22"/>
                <w:color w:val="auto"/>
              </w:rPr>
            </w:pPr>
          </w:p>
        </w:tc>
      </w:tr>
      <w:tr>
        <w:trPr>
          <w:trHeight w:val="255"/>
        </w:trPr>
        <w:tc>
          <w:tcPr>
            <w:tcW w:w="128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of 3A229.</w:t>
            </w:r>
          </w:p>
        </w:tc>
        <w:tc>
          <w:tcPr>
            <w:tcW w:w="960" w:type="dxa"/>
            <w:vAlign w:val="bottom"/>
            <w:tcBorders>
              <w:bottom w:val="single" w:sz="8" w:color="auto"/>
            </w:tcBorders>
          </w:tcPr>
          <w:p>
            <w:pPr>
              <w:spacing w:after="0"/>
              <w:rPr>
                <w:sz w:val="22"/>
                <w:szCs w:val="22"/>
                <w:color w:val="auto"/>
              </w:rPr>
            </w:pPr>
          </w:p>
        </w:tc>
        <w:tc>
          <w:tcPr>
            <w:tcW w:w="100" w:type="dxa"/>
            <w:vAlign w:val="bottom"/>
            <w:tcBorders>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spacing w:after="0"/>
              <w:rPr>
                <w:sz w:val="22"/>
                <w:szCs w:val="22"/>
                <w:color w:val="auto"/>
              </w:rPr>
            </w:pPr>
          </w:p>
        </w:tc>
      </w:tr>
      <w:tr>
        <w:trPr>
          <w:trHeight w:val="241"/>
        </w:trPr>
        <w:tc>
          <w:tcPr>
            <w:tcW w:w="2240" w:type="dxa"/>
            <w:vAlign w:val="bottom"/>
            <w:tcBorders>
              <w:left w:val="single" w:sz="8" w:color="auto"/>
            </w:tcBorders>
            <w:gridSpan w:val="3"/>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00" w:type="dxa"/>
            <w:vAlign w:val="bottom"/>
            <w:tcBorders>
              <w:right w:val="single" w:sz="8" w:color="auto"/>
            </w:tcBorders>
          </w:tcPr>
          <w:p>
            <w:pPr>
              <w:spacing w:after="0"/>
              <w:rPr>
                <w:sz w:val="20"/>
                <w:szCs w:val="20"/>
                <w:color w:val="auto"/>
              </w:rPr>
            </w:pPr>
          </w:p>
        </w:tc>
        <w:tc>
          <w:tcPr>
            <w:tcW w:w="190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6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620" w:type="dxa"/>
            <w:vAlign w:val="bottom"/>
            <w:tcBorders>
              <w:bottom w:val="single" w:sz="8" w:color="auto"/>
            </w:tcBorders>
          </w:tcPr>
          <w:p>
            <w:pPr>
              <w:spacing w:after="0"/>
              <w:rPr>
                <w:sz w:val="22"/>
                <w:szCs w:val="22"/>
                <w:color w:val="auto"/>
              </w:rPr>
            </w:pPr>
          </w:p>
        </w:tc>
        <w:tc>
          <w:tcPr>
            <w:tcW w:w="960" w:type="dxa"/>
            <w:vAlign w:val="bottom"/>
            <w:tcBorders>
              <w:bottom w:val="single" w:sz="8" w:color="auto"/>
            </w:tcBorders>
          </w:tcPr>
          <w:p>
            <w:pPr>
              <w:spacing w:after="0"/>
              <w:rPr>
                <w:sz w:val="22"/>
                <w:szCs w:val="22"/>
                <w:color w:val="auto"/>
              </w:rPr>
            </w:pPr>
          </w:p>
        </w:tc>
        <w:tc>
          <w:tcPr>
            <w:tcW w:w="100" w:type="dxa"/>
            <w:vAlign w:val="bottom"/>
            <w:tcBorders>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High explosives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related equipment “specially designed” for military use are “subject to the ITAR” (see 22 CFR parts 120 through 130). This entry does not control detonators using only primary explosives, such as lead azide. See also ECCNs 0A604, 3A229, and 3A232. See 1E001 for “development” and “production” technology controls, and 1E201 for “use” technology controls.</w:t>
      </w:r>
    </w:p>
    <w:p>
      <w:pPr>
        <w:spacing w:after="0" w:line="8"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spacing w:after="0" w:line="250" w:lineRule="auto"/>
        <w:tabs>
          <w:tab w:leader="none" w:pos="360" w:val="left"/>
        </w:tabs>
        <w:numPr>
          <w:ilvl w:val="0"/>
          <w:numId w:val="1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Explosive detonator firing sets designed to drive explosive detonators specified by 1A007.b;</w:t>
      </w:r>
    </w:p>
    <w:p>
      <w:pPr>
        <w:spacing w:after="0" w:line="255" w:lineRule="exact"/>
        <w:rPr>
          <w:rFonts w:ascii="Times New Roman" w:cs="Times New Roman" w:eastAsia="Times New Roman" w:hAnsi="Times New Roman"/>
          <w:sz w:val="21"/>
          <w:szCs w:val="21"/>
          <w:color w:val="auto"/>
        </w:rPr>
      </w:pPr>
    </w:p>
    <w:p>
      <w:pPr>
        <w:spacing w:after="0" w:line="234" w:lineRule="auto"/>
        <w:tabs>
          <w:tab w:leader="none" w:pos="36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Electrically driven explosive detonators as follows:</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b.1. Exploding bridge (EB);</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b.2. Exploding bridge wire (EBW);</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b.3. Slapper;</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b.4. Exploding foil initiators (EFI).</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66" w:lineRule="exact"/>
        <w:rPr>
          <w:sz w:val="20"/>
          <w:szCs w:val="20"/>
          <w:color w:val="auto"/>
        </w:rPr>
      </w:pPr>
    </w:p>
    <w:p>
      <w:pPr>
        <w:ind w:firstLine="721"/>
        <w:spacing w:after="0" w:line="233" w:lineRule="auto"/>
        <w:tabs>
          <w:tab w:leader="none" w:pos="1080" w:val="left"/>
        </w:tabs>
        <w:numPr>
          <w:ilvl w:val="0"/>
          <w:numId w:val="1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word initiator or igniter is sometimes used in place of the word detonator.</w:t>
      </w:r>
    </w:p>
    <w:p>
      <w:pPr>
        <w:spacing w:after="0" w:line="267" w:lineRule="exact"/>
        <w:rPr>
          <w:rFonts w:ascii="Times New Roman" w:cs="Times New Roman" w:eastAsia="Times New Roman" w:hAnsi="Times New Roman"/>
          <w:sz w:val="22"/>
          <w:szCs w:val="22"/>
          <w:i w:val="1"/>
          <w:iCs w:val="1"/>
          <w:color w:val="auto"/>
        </w:rPr>
      </w:pPr>
    </w:p>
    <w:p>
      <w:pPr>
        <w:jc w:val="both"/>
        <w:ind w:firstLine="721"/>
        <w:spacing w:after="0" w:line="251" w:lineRule="auto"/>
        <w:tabs>
          <w:tab w:leader="none" w:pos="1080" w:val="left"/>
        </w:tabs>
        <w:numPr>
          <w:ilvl w:val="0"/>
          <w:numId w:val="14"/>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For the purpose of 1A007.b the detonators of concern all utilize a small electrical conductor (bridge, bridge wire, or foil) that explosively vaporizes when a fast, high-current electrical pulse is passed through it. In non slapper types, the exploding conductor starts a chemical detonation in a contacting high</w:t>
      </w:r>
    </w:p>
    <w:p>
      <w:pPr>
        <w:spacing w:after="0"/>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explosivematerialsuchasPETN</w:t>
      </w:r>
    </w:p>
    <w:p>
      <w:pPr>
        <w:spacing w:after="0" w:line="13"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i w:val="1"/>
          <w:iCs w:val="1"/>
          <w:color w:val="auto"/>
        </w:rPr>
        <w:t>(pentaerythritoltetranitrate). In slapper detonators, the explosive vaporization of the electrical conductor drives a flyer or slapper across a gap, and the impact of the slapper on an explosive starts a chemical detonation. The slapper in some designs is driven by magnetic force. The term exploding foil detonator may refer to either an EB or a slapper-type detonator.</w:t>
      </w:r>
    </w:p>
    <w:p>
      <w:pPr>
        <w:spacing w:after="0" w:line="200" w:lineRule="exact"/>
        <w:rPr>
          <w:sz w:val="20"/>
          <w:szCs w:val="20"/>
          <w:color w:val="auto"/>
        </w:rPr>
      </w:pPr>
    </w:p>
    <w:p>
      <w:pPr>
        <w:spacing w:after="0" w:line="310"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1A008 Charges, devices and “components,” as follows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jc w:val="center"/>
        <w:ind w:right="680"/>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NS, UN,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See § 746.1(b) for</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6" w:lineRule="exact"/>
        <w:rPr>
          <w:sz w:val="20"/>
          <w:szCs w:val="20"/>
          <w:color w:val="auto"/>
        </w:rPr>
      </w:pPr>
    </w:p>
    <w:p>
      <w:pPr>
        <w:ind w:left="1080" w:right="1100" w:hanging="719"/>
        <w:spacing w:after="0" w:line="233"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 for .a through .c; $6,000 for .d.</w:t>
      </w:r>
    </w:p>
    <w:p>
      <w:pPr>
        <w:spacing w:after="0" w:line="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2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 w:name="page8"/>
    <w:bookmarkEnd w:id="7"/>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w:t>
      </w:r>
    </w:p>
    <w:p>
      <w:pPr>
        <w:sectPr>
          <w:pgSz w:w="12240" w:h="15840" w:orient="portrait"/>
          <w:cols w:equalWidth="0" w:num="1">
            <w:col w:w="9360"/>
          </w:cols>
          <w:pgMar w:left="1440" w:top="1293" w:right="1440" w:bottom="124"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All of the following</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are “subject to the ITAR” (see 22 CFR parts 120 through 130):</w:t>
      </w:r>
    </w:p>
    <w:p>
      <w:pPr>
        <w:spacing w:after="0" w:line="266" w:lineRule="exact"/>
        <w:rPr>
          <w:sz w:val="20"/>
          <w:szCs w:val="20"/>
          <w:color w:val="auto"/>
        </w:rPr>
      </w:pPr>
    </w:p>
    <w:p>
      <w:pPr>
        <w:ind w:left="720" w:hanging="360"/>
        <w:spacing w:after="0" w:line="234" w:lineRule="auto"/>
        <w:tabs>
          <w:tab w:leader="none" w:pos="720"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High explosives and related equipment “specially designed” for military use;</w:t>
      </w:r>
    </w:p>
    <w:p>
      <w:pPr>
        <w:spacing w:after="0" w:line="266" w:lineRule="exact"/>
        <w:rPr>
          <w:rFonts w:ascii="Times New Roman" w:cs="Times New Roman" w:eastAsia="Times New Roman" w:hAnsi="Times New Roman"/>
          <w:sz w:val="22"/>
          <w:szCs w:val="22"/>
          <w:color w:val="auto"/>
        </w:rPr>
      </w:pPr>
    </w:p>
    <w:p>
      <w:pPr>
        <w:jc w:val="both"/>
        <w:ind w:left="360"/>
        <w:spacing w:after="0" w:line="238" w:lineRule="auto"/>
        <w:tabs>
          <w:tab w:leader="none" w:pos="720"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Explosive devices or charges in this entry that utilize USML controlled energetic materials (See 22 CFR 121.1 Category V), if they have been specifically designed, developed, configured, adapted, or modified for a military application;</w:t>
      </w:r>
    </w:p>
    <w:p>
      <w:pPr>
        <w:spacing w:after="0" w:line="264" w:lineRule="exact"/>
        <w:rPr>
          <w:rFonts w:ascii="Times New Roman" w:cs="Times New Roman" w:eastAsia="Times New Roman" w:hAnsi="Times New Roman"/>
          <w:sz w:val="22"/>
          <w:szCs w:val="22"/>
          <w:color w:val="auto"/>
        </w:rPr>
      </w:pPr>
    </w:p>
    <w:p>
      <w:pPr>
        <w:jc w:val="both"/>
        <w:ind w:left="360"/>
        <w:spacing w:after="0" w:line="237" w:lineRule="auto"/>
        <w:tabs>
          <w:tab w:leader="none" w:pos="788"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Shaped charges that have all of the following a uniform shaped conical liner with an included angle of 90 degrees or less, more than 2.0 kg of controlled materials, and a diameter exceeding 4.5 inches;</w:t>
      </w:r>
    </w:p>
    <w:p>
      <w:pPr>
        <w:spacing w:after="0" w:line="268" w:lineRule="exact"/>
        <w:rPr>
          <w:rFonts w:ascii="Times New Roman" w:cs="Times New Roman" w:eastAsia="Times New Roman" w:hAnsi="Times New Roman"/>
          <w:sz w:val="22"/>
          <w:szCs w:val="22"/>
          <w:color w:val="auto"/>
        </w:rPr>
      </w:pPr>
    </w:p>
    <w:p>
      <w:pPr>
        <w:jc w:val="both"/>
        <w:ind w:left="360"/>
        <w:spacing w:after="0" w:line="236" w:lineRule="auto"/>
        <w:tabs>
          <w:tab w:leader="none" w:pos="720"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Detonating cord containing greater than 0.1 kg per meter (470 grains per foot) of controlled materials;</w:t>
      </w:r>
    </w:p>
    <w:p>
      <w:pPr>
        <w:spacing w:after="0" w:line="265" w:lineRule="exact"/>
        <w:rPr>
          <w:rFonts w:ascii="Times New Roman" w:cs="Times New Roman" w:eastAsia="Times New Roman" w:hAnsi="Times New Roman"/>
          <w:sz w:val="22"/>
          <w:szCs w:val="22"/>
          <w:color w:val="auto"/>
        </w:rPr>
      </w:pPr>
    </w:p>
    <w:p>
      <w:pPr>
        <w:ind w:left="360"/>
        <w:spacing w:after="0" w:line="234" w:lineRule="auto"/>
        <w:tabs>
          <w:tab w:leader="none" w:pos="771"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Cutters and severing tools containing greater than 10 kg of controlled materials;</w:t>
      </w:r>
    </w:p>
    <w:p>
      <w:pPr>
        <w:spacing w:after="0" w:line="266" w:lineRule="exact"/>
        <w:rPr>
          <w:rFonts w:ascii="Times New Roman" w:cs="Times New Roman" w:eastAsia="Times New Roman" w:hAnsi="Times New Roman"/>
          <w:sz w:val="22"/>
          <w:szCs w:val="22"/>
          <w:color w:val="auto"/>
        </w:rPr>
      </w:pPr>
    </w:p>
    <w:p>
      <w:pPr>
        <w:jc w:val="both"/>
        <w:ind w:left="360"/>
        <w:spacing w:after="0" w:line="237" w:lineRule="auto"/>
        <w:tabs>
          <w:tab w:leader="none" w:pos="665"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With the exception of cutters and severing tools, devices or charges controlled by this entry where the USML controlled materials can be easily extracted without destroying the device or charge; </w:t>
      </w:r>
      <w:r>
        <w:rPr>
          <w:rFonts w:ascii="Times New Roman" w:cs="Times New Roman" w:eastAsia="Times New Roman" w:hAnsi="Times New Roman"/>
          <w:sz w:val="22"/>
          <w:szCs w:val="22"/>
          <w:i w:val="1"/>
          <w:iCs w:val="1"/>
          <w:color w:val="auto"/>
        </w:rPr>
        <w:t>and</w:t>
      </w:r>
    </w:p>
    <w:p>
      <w:pPr>
        <w:spacing w:after="0" w:line="268" w:lineRule="exact"/>
        <w:rPr>
          <w:rFonts w:ascii="Times New Roman" w:cs="Times New Roman" w:eastAsia="Times New Roman" w:hAnsi="Times New Roman"/>
          <w:sz w:val="22"/>
          <w:szCs w:val="22"/>
          <w:color w:val="auto"/>
        </w:rPr>
      </w:pPr>
    </w:p>
    <w:p>
      <w:pPr>
        <w:jc w:val="both"/>
        <w:ind w:left="360"/>
        <w:spacing w:after="0" w:line="237" w:lineRule="auto"/>
        <w:tabs>
          <w:tab w:leader="none" w:pos="670"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Individual USML controlled energetic materials in this entry, even when compounded with other materials, when not incorporated into explosive devices or charges controlled by this entry or 1C992.</w:t>
      </w:r>
    </w:p>
    <w:p>
      <w:pPr>
        <w:spacing w:after="0" w:line="269" w:lineRule="exact"/>
        <w:rPr>
          <w:sz w:val="20"/>
          <w:szCs w:val="20"/>
          <w:color w:val="auto"/>
        </w:rPr>
      </w:pPr>
    </w:p>
    <w:p>
      <w:pPr>
        <w:jc w:val="both"/>
        <w:ind w:left="360"/>
        <w:spacing w:after="0" w:line="250" w:lineRule="auto"/>
        <w:tabs>
          <w:tab w:leader="none" w:pos="688" w:val="left"/>
        </w:tabs>
        <w:numPr>
          <w:ilvl w:val="0"/>
          <w:numId w:val="16"/>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 xml:space="preserve">See also ECCNs </w:t>
      </w:r>
      <w:r>
        <w:rPr>
          <w:rFonts w:ascii="Times New Roman" w:cs="Times New Roman" w:eastAsia="Times New Roman" w:hAnsi="Times New Roman"/>
          <w:sz w:val="21"/>
          <w:szCs w:val="21"/>
          <w:u w:val="single" w:color="auto"/>
          <w:color w:val="0000FF"/>
        </w:rPr>
        <w:t>1C011</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u w:val="single" w:color="auto"/>
          <w:color w:val="0000FF"/>
        </w:rPr>
        <w:t>1C018</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u w:val="single" w:color="auto"/>
          <w:color w:val="0000FF"/>
        </w:rPr>
        <w:t>1C111</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u w:val="single" w:color="auto"/>
          <w:color w:val="0000FF"/>
        </w:rPr>
        <w:t>1C239, and 1C608</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for additional controlled</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 xml:space="preserve">energetic materials. See ECCN </w:t>
      </w:r>
      <w:r>
        <w:rPr>
          <w:rFonts w:ascii="Times New Roman" w:cs="Times New Roman" w:eastAsia="Times New Roman" w:hAnsi="Times New Roman"/>
          <w:sz w:val="21"/>
          <w:szCs w:val="21"/>
          <w:u w:val="single" w:color="auto"/>
          <w:color w:val="0000FF"/>
        </w:rPr>
        <w:t>1E001</w:t>
      </w:r>
      <w:r>
        <w:rPr>
          <w:rFonts w:ascii="Times New Roman" w:cs="Times New Roman" w:eastAsia="Times New Roman" w:hAnsi="Times New Roman"/>
          <w:sz w:val="21"/>
          <w:szCs w:val="21"/>
          <w:color w:val="000000"/>
        </w:rPr>
        <w:t xml:space="preserve"> for the</w:t>
      </w:r>
    </w:p>
    <w:p>
      <w:pPr>
        <w:spacing w:after="0" w:line="3" w:lineRule="exact"/>
        <w:rPr>
          <w:rFonts w:ascii="Times New Roman" w:cs="Times New Roman" w:eastAsia="Times New Roman" w:hAnsi="Times New Roman"/>
          <w:sz w:val="21"/>
          <w:szCs w:val="21"/>
          <w:color w:val="auto"/>
        </w:rPr>
      </w:pPr>
    </w:p>
    <w:p>
      <w:pPr>
        <w:jc w:val="both"/>
        <w:ind w:left="360"/>
        <w:spacing w:after="0" w:line="237"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“development” or “production” “technology” for the commodities controlled by ECCN 1A008, but not for explosives or commodities that are “subject to the ITAR” (see 22 CFR parts 120 through 130).</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4"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1"/>
          <w:szCs w:val="21"/>
          <w:color w:val="auto"/>
        </w:rPr>
        <w:t>a.</w:t>
        <w:tab/>
        <w:t>‘Shaped charges’ having all of the following:</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a.1. Net Explosive Quantity (NEQ) greater than 90 g;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a.2. Outer casing diameter equal to or greater than 75 mm;</w:t>
      </w:r>
    </w:p>
    <w:p>
      <w:pPr>
        <w:spacing w:after="0" w:line="265" w:lineRule="exact"/>
        <w:rPr>
          <w:sz w:val="20"/>
          <w:szCs w:val="20"/>
          <w:color w:val="auto"/>
        </w:rPr>
      </w:pPr>
    </w:p>
    <w:p>
      <w:pPr>
        <w:jc w:val="both"/>
        <w:ind w:firstLine="1"/>
        <w:spacing w:after="0" w:line="236" w:lineRule="auto"/>
        <w:tabs>
          <w:tab w:leader="none" w:pos="345"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Linear shaped cutting charges having all of the following, and “specially designed” “components” therefor:</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b.1. An explosive load greater than 40 g/m;</w:t>
      </w:r>
    </w:p>
    <w:p>
      <w:pPr>
        <w:spacing w:after="0"/>
        <w:rPr>
          <w:sz w:val="20"/>
          <w:szCs w:val="20"/>
          <w:color w:val="auto"/>
        </w:rPr>
      </w:pPr>
      <w:r>
        <w:rPr>
          <w:rFonts w:ascii="Times New Roman" w:cs="Times New Roman" w:eastAsia="Times New Roman" w:hAnsi="Times New Roman"/>
          <w:sz w:val="22"/>
          <w:szCs w:val="22"/>
          <w:i w:val="1"/>
          <w:iCs w:val="1"/>
          <w:color w:val="auto"/>
        </w:rPr>
        <w:t>and</w:t>
      </w:r>
    </w:p>
    <w:p>
      <w:pPr>
        <w:spacing w:after="0" w:line="25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b.2.</w:t>
      </w:r>
      <w:r>
        <w:rPr>
          <w:sz w:val="20"/>
          <w:szCs w:val="20"/>
          <w:color w:val="auto"/>
        </w:rPr>
        <w:tab/>
      </w:r>
      <w:r>
        <w:rPr>
          <w:rFonts w:ascii="Times New Roman" w:cs="Times New Roman" w:eastAsia="Times New Roman" w:hAnsi="Times New Roman"/>
          <w:sz w:val="22"/>
          <w:szCs w:val="22"/>
          <w:color w:val="auto"/>
        </w:rPr>
        <w:t>A width of 10 mm or more;</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c. Detonating cord with explosive core load greater than 64 g/m;</w:t>
      </w:r>
    </w:p>
    <w:p>
      <w:pPr>
        <w:spacing w:after="0" w:line="26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d. Cutters, other than those specified by 1A008.b, and severing tools, having a NEQ greater than 3.5 kg.</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‘Shaped charges’ 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explosive charges shaped to focus the effects of the explosive blast.</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only charges and devices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specified in 1A008 are those containing “explosives” (see list of explosives in the Annex at the end of Category 1) and mixtures thereof.</w:t>
      </w:r>
    </w:p>
    <w:p>
      <w:pPr>
        <w:spacing w:after="0" w:line="200" w:lineRule="exact"/>
        <w:rPr>
          <w:sz w:val="20"/>
          <w:szCs w:val="20"/>
          <w:color w:val="auto"/>
        </w:rPr>
      </w:pPr>
    </w:p>
    <w:p>
      <w:pPr>
        <w:spacing w:after="0" w:line="322"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1A101 Devices for reduced observables such as radar reflectivity, ultraviolet/infrared signatures and acoustic signatures, for applications usable in rockets, missiles, or unmanned aerial vehicles capable of achieving a “range” equal to or greater than 300 km or their complete subsystems.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5" w:lineRule="exact"/>
        <w:rPr>
          <w:sz w:val="20"/>
          <w:szCs w:val="20"/>
          <w:color w:val="auto"/>
        </w:rPr>
      </w:pPr>
    </w:p>
    <w:tbl>
      <w:tblPr>
        <w:tblLayout w:type="fixed"/>
        <w:tblInd w:w="110" w:type="dxa"/>
        <w:tblCellMar>
          <w:top w:w="0" w:type="dxa"/>
          <w:left w:w="0" w:type="dxa"/>
          <w:bottom w:w="0" w:type="dxa"/>
          <w:right w:w="0" w:type="dxa"/>
        </w:tblCellMar>
      </w:tblPr>
      <w:tr>
        <w:trPr>
          <w:trHeight w:val="263"/>
        </w:trPr>
        <w:tc>
          <w:tcPr>
            <w:tcW w:w="2420" w:type="dxa"/>
            <w:vAlign w:val="bottom"/>
            <w:tcBorders>
              <w:top w:val="single" w:sz="8" w:color="auto"/>
              <w:left w:val="single" w:sz="8" w:color="auto"/>
              <w:bottom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top w:val="single" w:sz="8" w:color="auto"/>
              <w:bottom w:val="single" w:sz="8" w:color="auto"/>
              <w:right w:val="single" w:sz="8" w:color="auto"/>
            </w:tcBorders>
          </w:tcPr>
          <w:p>
            <w:pPr>
              <w:ind w:left="240"/>
              <w:spacing w:after="0"/>
              <w:rPr>
                <w:sz w:val="20"/>
                <w:szCs w:val="20"/>
                <w:color w:val="auto"/>
              </w:rPr>
            </w:pPr>
            <w:r>
              <w:rPr>
                <w:rFonts w:ascii="Times New Roman" w:cs="Times New Roman" w:eastAsia="Times New Roman" w:hAnsi="Times New Roman"/>
                <w:sz w:val="22"/>
                <w:szCs w:val="22"/>
                <w:i w:val="1"/>
                <w:iCs w:val="1"/>
                <w:color w:val="auto"/>
              </w:rPr>
              <w:t>Country Chart</w:t>
            </w:r>
          </w:p>
        </w:tc>
      </w:tr>
    </w:tbl>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9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 w:name="page9"/>
    <w:bookmarkEnd w:id="8"/>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9</w:t>
      </w:r>
    </w:p>
    <w:p>
      <w:pPr>
        <w:sectPr>
          <w:pgSz w:w="12240" w:h="15840" w:orient="portrait"/>
          <w:cols w:equalWidth="0" w:num="1">
            <w:col w:w="9360"/>
          </w:cols>
          <w:pgMar w:left="1440" w:top="1293" w:right="1440" w:bottom="124" w:gutter="0" w:footer="0" w:header="0"/>
        </w:sectPr>
      </w:pPr>
    </w:p>
    <w:p>
      <w:pPr>
        <w:spacing w:after="0" w:line="258"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1C101</w:t>
      </w:r>
      <w:r>
        <w:rPr>
          <w:rFonts w:ascii="Times New Roman" w:cs="Times New Roman" w:eastAsia="Times New Roman" w:hAnsi="Times New Roman"/>
          <w:sz w:val="22"/>
          <w:szCs w:val="22"/>
          <w:color w:val="auto"/>
        </w:rPr>
        <w:t>. (2)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commodities that meet the definition of defense articles under 22 CFR 120.3 of the International Traffic in Arms Regulations (ITAR), describes similar commodities “subject to the ITAR” (See 22 CFR parts 120 through 130, including USML Category XIII).</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1A102 Resaturated pyrolized carbon-carbon “parts” and “components” designed for rockets, missiles, or unmanned aerial vehicles capable of achieving a “range” equal to or</w:t>
      </w:r>
    </w:p>
    <w:p>
      <w:pPr>
        <w:spacing w:after="0" w:line="1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greater than 300km. (These items are “subject to the ITAR.” See 22 CFR parts 120 through 130).</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1A202 Composite structures, other than those controlled by 1A002, in the form of tubes and having both of the following characteristics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bottom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top w:val="single" w:sz="8" w:color="auto"/>
              <w:bottom w:val="single" w:sz="8" w:color="auto"/>
              <w:right w:val="single" w:sz="8" w:color="auto"/>
            </w:tcBorders>
          </w:tcPr>
          <w:p>
            <w:pPr>
              <w:ind w:left="240"/>
              <w:spacing w:after="0"/>
              <w:rPr>
                <w:sz w:val="20"/>
                <w:szCs w:val="20"/>
                <w:color w:val="auto"/>
              </w:rPr>
            </w:pPr>
            <w:r>
              <w:rPr>
                <w:rFonts w:ascii="Times New Roman" w:cs="Times New Roman" w:eastAsia="Times New Roman" w:hAnsi="Times New Roman"/>
                <w:sz w:val="22"/>
                <w:szCs w:val="22"/>
                <w:i w:val="1"/>
                <w:iCs w:val="1"/>
                <w:color w:val="auto"/>
              </w:rPr>
              <w:t>Country Chart</w:t>
            </w:r>
          </w:p>
        </w:tc>
      </w:tr>
    </w:tbl>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(“use”) and </w:t>
      </w:r>
      <w:r>
        <w:rPr>
          <w:rFonts w:ascii="Times New Roman" w:cs="Times New Roman" w:eastAsia="Times New Roman" w:hAnsi="Times New Roman"/>
          <w:sz w:val="22"/>
          <w:szCs w:val="22"/>
          <w:u w:val="single" w:color="auto"/>
          <w:color w:val="0000FF"/>
        </w:rPr>
        <w:t>1E202</w:t>
      </w:r>
      <w:r>
        <w:rPr>
          <w:rFonts w:ascii="Times New Roman" w:cs="Times New Roman" w:eastAsia="Times New Roman" w:hAnsi="Times New Roman"/>
          <w:sz w:val="22"/>
          <w:szCs w:val="22"/>
          <w:color w:val="auto"/>
        </w:rPr>
        <w:t xml:space="preserve"> (“development” and “production”) for technology for items controlled by this entry. (2) Also see ECCNs </w:t>
      </w:r>
      <w:r>
        <w:rPr>
          <w:rFonts w:ascii="Times New Roman" w:cs="Times New Roman" w:eastAsia="Times New Roman" w:hAnsi="Times New Roman"/>
          <w:sz w:val="22"/>
          <w:szCs w:val="22"/>
          <w:u w:val="single" w:color="auto"/>
          <w:color w:val="0000FF"/>
        </w:rPr>
        <w:t>1A002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1C010</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1C210</w:t>
      </w:r>
      <w:r>
        <w:rPr>
          <w:rFonts w:ascii="Times New Roman" w:cs="Times New Roman" w:eastAsia="Times New Roman" w:hAnsi="Times New Roman"/>
          <w:sz w:val="22"/>
          <w:szCs w:val="22"/>
          <w:color w:val="auto"/>
        </w:rPr>
        <w:t>, 9A010, and</w:t>
      </w:r>
    </w:p>
    <w:p>
      <w:pPr>
        <w:spacing w:after="0" w:line="16"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9A110. (3) “Composite” structures “specially designed” or prepared for use in separating uranium isotopes are subject to the export licensing authority of the Nuclear Regulatory Commission (see 10 CFR part 110).</w:t>
      </w:r>
    </w:p>
    <w:p>
      <w:pPr>
        <w:spacing w:after="0" w:line="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firstLine="1"/>
        <w:spacing w:after="0" w:line="234" w:lineRule="auto"/>
        <w:tabs>
          <w:tab w:leader="none" w:pos="342"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An inside diameter of between 75 mm and 400 mm; </w:t>
      </w:r>
      <w:r>
        <w:rPr>
          <w:rFonts w:ascii="Times New Roman" w:cs="Times New Roman" w:eastAsia="Times New Roman" w:hAnsi="Times New Roman"/>
          <w:sz w:val="22"/>
          <w:szCs w:val="22"/>
          <w:i w:val="1"/>
          <w:iCs w:val="1"/>
          <w:color w:val="auto"/>
        </w:rPr>
        <w:t>and</w:t>
      </w:r>
    </w:p>
    <w:p>
      <w:pPr>
        <w:spacing w:after="0" w:line="13" w:lineRule="exact"/>
        <w:rPr>
          <w:rFonts w:ascii="Times New Roman" w:cs="Times New Roman" w:eastAsia="Times New Roman" w:hAnsi="Times New Roman"/>
          <w:sz w:val="22"/>
          <w:szCs w:val="22"/>
          <w:color w:val="auto"/>
        </w:rPr>
      </w:pPr>
    </w:p>
    <w:p>
      <w:pPr>
        <w:jc w:val="both"/>
        <w:ind w:firstLine="1"/>
        <w:spacing w:after="0" w:line="236" w:lineRule="auto"/>
        <w:tabs>
          <w:tab w:leader="none" w:pos="341"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Made with any of the “fibrous or filamentary materials” specified in 1C010.a or .b or 1C210.a or with carbon prepreg materials specified in 1C210.c.</w:t>
      </w:r>
    </w:p>
    <w:p>
      <w:pPr>
        <w:spacing w:after="0" w:line="200" w:lineRule="exact"/>
        <w:rPr>
          <w:sz w:val="20"/>
          <w:szCs w:val="20"/>
          <w:color w:val="auto"/>
        </w:rPr>
      </w:pPr>
    </w:p>
    <w:p>
      <w:pPr>
        <w:spacing w:after="0" w:line="324"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1A225 Platinized catalysts “specially designed” or prepared for promoting the hydrogen isotope exchange reaction between hydrogen and water for the recovery of tritium from heavy water or for the production of heavy water.</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bottom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top w:val="single" w:sz="8" w:color="auto"/>
              <w:bottom w:val="single" w:sz="8" w:color="auto"/>
              <w:right w:val="single" w:sz="8" w:color="auto"/>
            </w:tcBorders>
          </w:tcPr>
          <w:p>
            <w:pPr>
              <w:ind w:left="240"/>
              <w:spacing w:after="0"/>
              <w:rPr>
                <w:sz w:val="20"/>
                <w:szCs w:val="20"/>
                <w:color w:val="auto"/>
              </w:rPr>
            </w:pPr>
            <w:r>
              <w:rPr>
                <w:rFonts w:ascii="Times New Roman" w:cs="Times New Roman" w:eastAsia="Times New Roman" w:hAnsi="Times New Roman"/>
                <w:sz w:val="22"/>
                <w:szCs w:val="22"/>
                <w:i w:val="1"/>
                <w:iCs w:val="1"/>
                <w:color w:val="auto"/>
              </w:rPr>
              <w:t>Country Chart</w:t>
            </w:r>
          </w:p>
        </w:tc>
      </w:tr>
    </w:tbl>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9" w:name="page10"/>
    <w:bookmarkEnd w:id="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10</w:t>
      </w:r>
    </w:p>
    <w:p>
      <w:pPr>
        <w:sectPr>
          <w:pgSz w:w="12240" w:h="15840" w:orient="portrait"/>
          <w:cols w:equalWidth="0" w:num="1">
            <w:col w:w="9360"/>
          </w:cols>
          <w:pgMar w:left="1440" w:top="1293" w:right="1440" w:bottom="124" w:gutter="0" w:footer="0" w:header="0"/>
        </w:sectPr>
      </w:pPr>
    </w:p>
    <w:p>
      <w:pPr>
        <w:spacing w:after="0" w:line="258"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(“use”) and </w:t>
      </w:r>
      <w:r>
        <w:rPr>
          <w:rFonts w:ascii="Times New Roman" w:cs="Times New Roman" w:eastAsia="Times New Roman" w:hAnsi="Times New Roman"/>
          <w:sz w:val="22"/>
          <w:szCs w:val="22"/>
          <w:u w:val="single" w:color="auto"/>
          <w:color w:val="0000FF"/>
        </w:rPr>
        <w:t>1E202</w:t>
      </w:r>
      <w:r>
        <w:rPr>
          <w:rFonts w:ascii="Times New Roman" w:cs="Times New Roman" w:eastAsia="Times New Roman" w:hAnsi="Times New Roman"/>
          <w:sz w:val="22"/>
          <w:szCs w:val="22"/>
          <w:color w:val="auto"/>
        </w:rPr>
        <w:t xml:space="preserve"> (“development” and “production”) for technology for items controlled by this entry. (2) Equipment “specially designed” or prepared for the production of heavy water is subject to the export licensing authority of the Nuclear Regulatory Commission (see 10 CFR part 110).</w:t>
      </w:r>
    </w:p>
    <w:p>
      <w:pPr>
        <w:spacing w:after="0" w:line="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1A226 Specialized packings, which may be used in separating heavy water from ordinary water, having both of the following characteristics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(“use”) and </w:t>
      </w:r>
      <w:r>
        <w:rPr>
          <w:rFonts w:ascii="Times New Roman" w:cs="Times New Roman" w:eastAsia="Times New Roman" w:hAnsi="Times New Roman"/>
          <w:sz w:val="22"/>
          <w:szCs w:val="22"/>
          <w:u w:val="single" w:color="auto"/>
          <w:color w:val="0000FF"/>
        </w:rPr>
        <w:t>1E202</w:t>
      </w:r>
      <w:r>
        <w:rPr>
          <w:rFonts w:ascii="Times New Roman" w:cs="Times New Roman" w:eastAsia="Times New Roman" w:hAnsi="Times New Roman"/>
          <w:sz w:val="22"/>
          <w:szCs w:val="22"/>
          <w:color w:val="auto"/>
        </w:rPr>
        <w:t xml:space="preserve"> (“development” and “production”) for technology for items controlled by this entry. (2) Equipment “specially designed” or prepared for the production of heavy water is subject to the export licensing authority of the Nuclear Regulatory Commission (see 10 CFR part 110).</w:t>
      </w:r>
    </w:p>
    <w:p>
      <w:pPr>
        <w:spacing w:after="0" w:line="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firstLine="1"/>
        <w:spacing w:after="0" w:line="234" w:lineRule="auto"/>
        <w:tabs>
          <w:tab w:leader="none" w:pos="342"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Made of phosphor bronze mesh chemically treated to improve wettability; </w:t>
      </w:r>
      <w:r>
        <w:rPr>
          <w:rFonts w:ascii="Times New Roman" w:cs="Times New Roman" w:eastAsia="Times New Roman" w:hAnsi="Times New Roman"/>
          <w:sz w:val="22"/>
          <w:szCs w:val="22"/>
          <w:i w:val="1"/>
          <w:iCs w:val="1"/>
          <w:color w:val="auto"/>
        </w:rPr>
        <w:t>and</w:t>
      </w:r>
    </w:p>
    <w:p>
      <w:pPr>
        <w:spacing w:after="0" w:line="266" w:lineRule="exact"/>
        <w:rPr>
          <w:rFonts w:ascii="Times New Roman" w:cs="Times New Roman" w:eastAsia="Times New Roman" w:hAnsi="Times New Roman"/>
          <w:sz w:val="22"/>
          <w:szCs w:val="22"/>
          <w:color w:val="auto"/>
        </w:rPr>
      </w:pPr>
    </w:p>
    <w:p>
      <w:pPr>
        <w:ind w:firstLine="1"/>
        <w:spacing w:after="0" w:line="234" w:lineRule="auto"/>
        <w:tabs>
          <w:tab w:leader="none" w:pos="269"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to be used in vacuum distillation towers.</w:t>
      </w:r>
    </w:p>
    <w:p>
      <w:pPr>
        <w:spacing w:after="0" w:line="200" w:lineRule="exact"/>
        <w:rPr>
          <w:sz w:val="20"/>
          <w:szCs w:val="20"/>
          <w:color w:val="auto"/>
        </w:rPr>
      </w:pPr>
    </w:p>
    <w:p>
      <w:pPr>
        <w:spacing w:after="0" w:line="320"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1A227 High-density (lead glass or other) radiation shielding windows, having all of the following characteristics (see List of Items Controlled), and “specially designed” frames therefor.</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0" w:name="page11"/>
    <w:bookmarkEnd w:id="1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11</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(“use”) and </w:t>
      </w:r>
      <w:r>
        <w:rPr>
          <w:rFonts w:ascii="Times New Roman" w:cs="Times New Roman" w:eastAsia="Times New Roman" w:hAnsi="Times New Roman"/>
          <w:sz w:val="22"/>
          <w:szCs w:val="22"/>
          <w:u w:val="single" w:color="auto"/>
          <w:color w:val="0000FF"/>
        </w:rPr>
        <w:t>1E202</w:t>
      </w:r>
      <w:r>
        <w:rPr>
          <w:rFonts w:ascii="Times New Roman" w:cs="Times New Roman" w:eastAsia="Times New Roman" w:hAnsi="Times New Roman"/>
          <w:sz w:val="22"/>
          <w:szCs w:val="22"/>
          <w:color w:val="auto"/>
        </w:rPr>
        <w:t xml:space="preserve"> (“development” and “production”) for technology for items controlled by this entry. (2) Equipment “specially designed” or prepared for nuclear reactors and reprocessing facilities is subject to the export licensing authority of the Nuclear Regulatory Commission (see 10 CFR part 110).</w:t>
      </w:r>
    </w:p>
    <w:p>
      <w:pPr>
        <w:spacing w:after="0" w:line="20"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In 1A227.a, the term</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“cold area” means the viewing area of the window exposed to the lowest level of radiation in the design application.</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47" w:lineRule="exact"/>
        <w:rPr>
          <w:sz w:val="20"/>
          <w:szCs w:val="20"/>
          <w:color w:val="auto"/>
        </w:rPr>
      </w:pPr>
    </w:p>
    <w:p>
      <w:pPr>
        <w:ind w:left="320" w:hanging="320"/>
        <w:spacing w:after="0"/>
        <w:tabs>
          <w:tab w:leader="none" w:pos="32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“cold area” greater than 0.09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183"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density greater than 3 g/cm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and</w:t>
      </w:r>
    </w:p>
    <w:p>
      <w:pPr>
        <w:spacing w:after="0" w:line="190" w:lineRule="exact"/>
        <w:rPr>
          <w:rFonts w:ascii="Times New Roman" w:cs="Times New Roman" w:eastAsia="Times New Roman" w:hAnsi="Times New Roman"/>
          <w:sz w:val="22"/>
          <w:szCs w:val="22"/>
          <w:color w:val="auto"/>
        </w:rPr>
      </w:pPr>
    </w:p>
    <w:p>
      <w:pPr>
        <w:ind w:left="320" w:hanging="320"/>
        <w:spacing w:after="0"/>
        <w:tabs>
          <w:tab w:leader="none" w:pos="32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thickness of 100 mm or greater.</w:t>
      </w:r>
    </w:p>
    <w:p>
      <w:pPr>
        <w:spacing w:after="0" w:line="200" w:lineRule="exact"/>
        <w:rPr>
          <w:sz w:val="20"/>
          <w:szCs w:val="20"/>
          <w:color w:val="auto"/>
        </w:rPr>
      </w:pPr>
    </w:p>
    <w:p>
      <w:pPr>
        <w:spacing w:after="0" w:line="32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1A231 Target assemblies and components for the production of tritium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 N/A</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 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(“production”) and 1E201 (“use”) for technology for items controlled by this entry.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jc w:val="both"/>
        <w:ind w:firstLine="1"/>
        <w:spacing w:after="0" w:line="234" w:lineRule="auto"/>
        <w:tabs>
          <w:tab w:leader="none" w:pos="360" w:val="left"/>
        </w:tabs>
        <w:numPr>
          <w:ilvl w:val="0"/>
          <w:numId w:val="2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Target assemblies made of or containing lithium enriched in the lithium-6 isotope</w:t>
      </w:r>
    </w:p>
    <w:p>
      <w:pPr>
        <w:spacing w:after="0" w:line="11" w:lineRule="exact"/>
        <w:rPr>
          <w:rFonts w:ascii="Times New Roman" w:cs="Times New Roman" w:eastAsia="Times New Roman" w:hAnsi="Times New Roman"/>
          <w:sz w:val="22"/>
          <w:szCs w:val="22"/>
          <w:color w:val="auto"/>
        </w:rPr>
      </w:pPr>
    </w:p>
    <w:p>
      <w:pPr>
        <w:jc w:val="both"/>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“specially designed” for the “production” of tritium through irradiation, including insertion in</w:t>
      </w:r>
    </w:p>
    <w:p>
      <w:pPr>
        <w:ind w:left="160" w:hanging="159"/>
        <w:spacing w:after="0"/>
        <w:tabs>
          <w:tab w:leader="none" w:pos="160" w:val="left"/>
        </w:tabs>
        <w:numPr>
          <w:ilvl w:val="0"/>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nuclear reactor;</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360" w:val="left"/>
        </w:tabs>
        <w:numPr>
          <w:ilvl w:val="0"/>
          <w:numId w:val="2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Components “specially designed” for the target assemblies specified in item a.</w:t>
      </w:r>
    </w:p>
    <w:p>
      <w:pPr>
        <w:spacing w:after="0" w:line="266"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ECCN 1A231.b.: </w:t>
      </w:r>
      <w:r>
        <w:rPr>
          <w:rFonts w:ascii="Times New Roman" w:cs="Times New Roman" w:eastAsia="Times New Roman" w:hAnsi="Times New Roman"/>
          <w:sz w:val="22"/>
          <w:szCs w:val="22"/>
          <w:i w:val="1"/>
          <w:iCs w:val="1"/>
          <w:color w:val="auto"/>
        </w:rPr>
        <w:t>Components “specially designed” for target assemblies for the “production” of tritium may include lithium pellets, tritium getters, and specially-coated cladding.</w:t>
      </w:r>
    </w:p>
    <w:p>
      <w:pPr>
        <w:spacing w:after="0" w:line="200" w:lineRule="exact"/>
        <w:rPr>
          <w:sz w:val="20"/>
          <w:szCs w:val="20"/>
          <w:color w:val="auto"/>
        </w:rPr>
      </w:pPr>
    </w:p>
    <w:p>
      <w:pPr>
        <w:spacing w:after="0" w:line="32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1A290 Depleted uranium (any uranium containing less than 0.711% of the isotope U-</w:t>
      </w:r>
    </w:p>
    <w:p>
      <w:pPr>
        <w:spacing w:after="0" w:line="12" w:lineRule="exact"/>
        <w:rPr>
          <w:sz w:val="20"/>
          <w:szCs w:val="20"/>
          <w:color w:val="auto"/>
        </w:rPr>
      </w:pPr>
    </w:p>
    <w:p>
      <w:pPr>
        <w:jc w:val="both"/>
        <w:ind w:firstLine="1"/>
        <w:spacing w:after="0" w:line="236" w:lineRule="auto"/>
        <w:tabs>
          <w:tab w:leader="none" w:pos="602" w:val="left"/>
        </w:tabs>
        <w:numPr>
          <w:ilvl w:val="0"/>
          <w:numId w:val="2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in shipments of more than 1,000 kilograms in the form of shielding contained in X-ray units, radiographic exposure or</w:t>
      </w:r>
    </w:p>
    <w:p>
      <w:pPr>
        <w:spacing w:after="0" w:line="13" w:lineRule="exact"/>
        <w:rPr>
          <w:rFonts w:ascii="Times New Roman" w:cs="Times New Roman" w:eastAsia="Times New Roman" w:hAnsi="Times New Roman"/>
          <w:sz w:val="22"/>
          <w:szCs w:val="22"/>
          <w:b w:val="1"/>
          <w:bCs w:val="1"/>
          <w:color w:val="auto"/>
        </w:rPr>
      </w:pPr>
    </w:p>
    <w:p>
      <w:pPr>
        <w:jc w:val="both"/>
        <w:spacing w:after="0" w:line="236"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teletherapy devices, radioactive thermoelectric generators, or packaging for the transportation of radioactive materials.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NP Column 2</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1" w:name="page12"/>
    <w:bookmarkEnd w:id="1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12</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 depleted uranium in fabricated forms for use in munitions. See 22 CFR part 121 for depleted uranium “subject to the ITAR”</w:t>
      </w:r>
    </w:p>
    <w:p>
      <w:pPr>
        <w:spacing w:after="0" w:line="17" w:lineRule="exact"/>
        <w:rPr>
          <w:sz w:val="20"/>
          <w:szCs w:val="20"/>
          <w:color w:val="auto"/>
        </w:rPr>
      </w:pPr>
    </w:p>
    <w:p>
      <w:pPr>
        <w:jc w:val="both"/>
        <w:ind w:left="360"/>
        <w:spacing w:after="0" w:line="238" w:lineRule="auto"/>
        <w:tabs>
          <w:tab w:leader="none" w:pos="706" w:val="left"/>
        </w:tabs>
        <w:numPr>
          <w:ilvl w:val="0"/>
          <w:numId w:val="2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Depleted uranium that is not fabricated for use in munitions or fabricated into commodities solely to take advantage of its high density (e.g., aircraft, ship, or other counterweights) or in the forms listed in this entry are subject to the export licensing authority of the Nuclear Regulatory Commission. (See 10 CFR part 110.) (3)</w:t>
      </w:r>
    </w:p>
    <w:p>
      <w:pPr>
        <w:spacing w:after="0" w:line="16" w:lineRule="exact"/>
        <w:rPr>
          <w:rFonts w:ascii="Times New Roman" w:cs="Times New Roman" w:eastAsia="Times New Roman" w:hAnsi="Times New Roman"/>
          <w:sz w:val="22"/>
          <w:szCs w:val="22"/>
          <w:color w:val="auto"/>
        </w:rPr>
      </w:pPr>
    </w:p>
    <w:p>
      <w:pPr>
        <w:jc w:val="both"/>
        <w:ind w:left="360"/>
        <w:spacing w:after="0" w:line="238"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“Natural uranium” or “depleted uranium” or thorium in the form of metal, alloy, chemical compound or concentrate and any other material containing one or more of the foregoing are subject to the export licensing authority of the Nuclear Regulatory Commission. (See 10 CFR part 110.)</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ind w:right="80"/>
        <w:spacing w:after="0" w:line="238" w:lineRule="auto"/>
        <w:rPr>
          <w:sz w:val="20"/>
          <w:szCs w:val="20"/>
          <w:color w:val="auto"/>
        </w:rPr>
      </w:pPr>
      <w:r>
        <w:rPr>
          <w:rFonts w:ascii="Times New Roman" w:cs="Times New Roman" w:eastAsia="Times New Roman" w:hAnsi="Times New Roman"/>
          <w:sz w:val="22"/>
          <w:szCs w:val="22"/>
          <w:b w:val="1"/>
          <w:bCs w:val="1"/>
          <w:color w:val="auto"/>
        </w:rPr>
        <w:t>1A607 Military dissemination “equipment” for riot control agents, military detection and protection “equipment” for toxicological agents (including chemical, biological, and riot control agents), and related commodities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RS, AT, UN</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9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42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9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 entire</w:t>
            </w:r>
          </w:p>
        </w:tc>
        <w:tc>
          <w:tcPr>
            <w:tcW w:w="19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20" w:type="dxa"/>
            <w:vAlign w:val="bottom"/>
            <w:tcBorders>
              <w:bottom w:val="single" w:sz="8" w:color="auto"/>
              <w:right w:val="single" w:sz="8" w:color="auto"/>
            </w:tcBorders>
          </w:tcPr>
          <w:p>
            <w:pPr>
              <w:spacing w:after="0"/>
              <w:rPr>
                <w:sz w:val="22"/>
                <w:szCs w:val="22"/>
                <w:color w:val="auto"/>
              </w:rPr>
            </w:pPr>
          </w:p>
        </w:tc>
      </w:tr>
    </w:tbl>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AT applies to entire</w:t>
            </w:r>
          </w:p>
        </w:tc>
        <w:tc>
          <w:tcPr>
            <w:tcW w:w="192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UN applies to entire</w:t>
            </w:r>
          </w:p>
        </w:tc>
        <w:tc>
          <w:tcPr>
            <w:tcW w:w="1920" w:type="dxa"/>
            <w:vAlign w:val="bottom"/>
            <w:tcBorders>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See § 746.1(b) for</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92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3" w:lineRule="exact"/>
        <w:rPr>
          <w:sz w:val="20"/>
          <w:szCs w:val="20"/>
          <w:color w:val="auto"/>
        </w:rPr>
      </w:pPr>
    </w:p>
    <w:p>
      <w:pPr>
        <w:jc w:val="both"/>
        <w:ind w:right="200"/>
        <w:spacing w:after="0" w:line="250" w:lineRule="auto"/>
        <w:rPr>
          <w:sz w:val="20"/>
          <w:szCs w:val="20"/>
          <w:color w:val="auto"/>
        </w:rPr>
      </w:pPr>
      <w:r>
        <w:rPr>
          <w:rFonts w:ascii="Times New Roman" w:cs="Times New Roman" w:eastAsia="Times New Roman" w:hAnsi="Times New Roman"/>
          <w:sz w:val="21"/>
          <w:szCs w:val="21"/>
          <w:b w:val="1"/>
          <w:bCs w:val="1"/>
          <w:color w:val="auto"/>
        </w:rPr>
        <w:t>List Based License Exceptions (See Part 740 for a description of all license exceptions)</w:t>
      </w:r>
    </w:p>
    <w:p>
      <w:pPr>
        <w:spacing w:after="0" w:line="243"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Special Conditions for STA</w:t>
      </w:r>
    </w:p>
    <w:p>
      <w:pPr>
        <w:spacing w:after="0" w:line="265" w:lineRule="exact"/>
        <w:rPr>
          <w:sz w:val="20"/>
          <w:szCs w:val="20"/>
          <w:color w:val="auto"/>
        </w:rPr>
      </w:pPr>
    </w:p>
    <w:p>
      <w:pPr>
        <w:ind w:left="960" w:hanging="629"/>
        <w:spacing w:after="0" w:line="236" w:lineRule="auto"/>
        <w:tabs>
          <w:tab w:leader="none" w:pos="940" w:val="left"/>
        </w:tabs>
        <w:rPr>
          <w:sz w:val="20"/>
          <w:szCs w:val="20"/>
          <w:color w:val="auto"/>
        </w:rPr>
      </w:pPr>
      <w:r>
        <w:rPr>
          <w:rFonts w:ascii="Times New Roman" w:cs="Times New Roman" w:eastAsia="Times New Roman" w:hAnsi="Times New Roman"/>
          <w:sz w:val="22"/>
          <w:szCs w:val="22"/>
          <w:i w:val="1"/>
          <w:iCs w:val="1"/>
          <w:color w:val="auto"/>
        </w:rPr>
        <w:t>STA</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1A607.</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Vaccines identified in</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ECCN 1C991 are not controlled by this ECCN. (2) See 22 CFR § 121.1 (USML), Category XIV(h), for vaccines that are subject to the ITAR. (3) Protection and detection equipment and related items identified in ECCN 1A004, 1A995, or 2B351 are not controlled by this ECCN. (4) See 22 CFR § 121.1 (USML), Category XIV(f), for dissemination, detection and protection equipment that is subject to the ITAR. (5)</w:t>
      </w:r>
    </w:p>
    <w:p>
      <w:pPr>
        <w:spacing w:after="0" w:line="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 xml:space="preserve">See ECCN 0A919 for “military commodities” located and produced outside the United States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US-origin “600 series” controlled content.</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through d. [Reserved]</w:t>
      </w:r>
    </w:p>
    <w:p>
      <w:pPr>
        <w:spacing w:after="0" w:line="265" w:lineRule="exact"/>
        <w:rPr>
          <w:sz w:val="20"/>
          <w:szCs w:val="20"/>
          <w:color w:val="auto"/>
        </w:rPr>
      </w:pPr>
    </w:p>
    <w:p>
      <w:pPr>
        <w:jc w:val="both"/>
        <w:ind w:firstLine="1"/>
        <w:spacing w:after="0" w:line="237" w:lineRule="auto"/>
        <w:tabs>
          <w:tab w:leader="none" w:pos="555" w:val="left"/>
        </w:tabs>
        <w:numPr>
          <w:ilvl w:val="0"/>
          <w:numId w:val="2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for military use and for the dissemination of any of the riot control agents controlled in ECCN 1C607.a.</w:t>
      </w:r>
    </w:p>
    <w:p>
      <w:pPr>
        <w:spacing w:after="0" w:line="265" w:lineRule="exact"/>
        <w:rPr>
          <w:rFonts w:ascii="Times New Roman" w:cs="Times New Roman" w:eastAsia="Times New Roman" w:hAnsi="Times New Roman"/>
          <w:sz w:val="22"/>
          <w:szCs w:val="22"/>
          <w:color w:val="auto"/>
        </w:rPr>
      </w:pPr>
    </w:p>
    <w:p>
      <w:pPr>
        <w:jc w:val="both"/>
        <w:ind w:firstLine="1"/>
        <w:spacing w:after="0" w:line="234" w:lineRule="auto"/>
        <w:tabs>
          <w:tab w:leader="none" w:pos="546" w:val="left"/>
        </w:tabs>
        <w:numPr>
          <w:ilvl w:val="0"/>
          <w:numId w:val="2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Protection “equipment” (including air conditioning units, protective coatings, and</w:t>
      </w:r>
    </w:p>
    <w:p>
      <w:pPr>
        <w:spacing w:after="0" w:line="214"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5"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2" w:name="page13"/>
    <w:bookmarkEnd w:id="1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13</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protective clothing):</w:t>
      </w:r>
    </w:p>
    <w:p>
      <w:pPr>
        <w:spacing w:after="0" w:line="266"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 xml:space="preserve">f.1. Not controlled by USML Category XIV(f);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f.2. “Specially designed” for military use and for defense against:</w:t>
      </w:r>
    </w:p>
    <w:p>
      <w:pPr>
        <w:spacing w:after="0" w:line="266" w:lineRule="exact"/>
        <w:rPr>
          <w:sz w:val="20"/>
          <w:szCs w:val="20"/>
          <w:color w:val="auto"/>
        </w:rPr>
      </w:pPr>
    </w:p>
    <w:p>
      <w:pPr>
        <w:ind w:left="280" w:firstLine="288"/>
        <w:spacing w:after="0" w:line="234" w:lineRule="auto"/>
        <w:rPr>
          <w:sz w:val="20"/>
          <w:szCs w:val="20"/>
          <w:color w:val="auto"/>
        </w:rPr>
      </w:pPr>
      <w:r>
        <w:rPr>
          <w:rFonts w:ascii="Times New Roman" w:cs="Times New Roman" w:eastAsia="Times New Roman" w:hAnsi="Times New Roman"/>
          <w:sz w:val="22"/>
          <w:szCs w:val="22"/>
          <w:color w:val="auto"/>
        </w:rPr>
        <w:t xml:space="preserve">f.2.a. Materials specified by USML Category XIV (a) or (b);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ind w:left="280" w:firstLine="288"/>
        <w:spacing w:after="0" w:line="234" w:lineRule="auto"/>
        <w:rPr>
          <w:sz w:val="20"/>
          <w:szCs w:val="20"/>
          <w:color w:val="auto"/>
        </w:rPr>
      </w:pPr>
      <w:r>
        <w:rPr>
          <w:rFonts w:ascii="Times New Roman" w:cs="Times New Roman" w:eastAsia="Times New Roman" w:hAnsi="Times New Roman"/>
          <w:sz w:val="22"/>
          <w:szCs w:val="22"/>
          <w:color w:val="auto"/>
        </w:rPr>
        <w:t>f.2.b. Riot control agents controlled in 1C607.a.</w:t>
      </w:r>
    </w:p>
    <w:p>
      <w:pPr>
        <w:spacing w:after="0" w:line="254"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g.</w:t>
        <w:tab/>
        <w:t>Decontamination “equipment”:</w:t>
      </w:r>
    </w:p>
    <w:p>
      <w:pPr>
        <w:spacing w:after="0" w:line="265"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 xml:space="preserve">g.1. Not controlled by USML Category XIV(f);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288"/>
        <w:spacing w:after="0" w:line="236" w:lineRule="auto"/>
        <w:rPr>
          <w:sz w:val="20"/>
          <w:szCs w:val="20"/>
          <w:color w:val="auto"/>
        </w:rPr>
      </w:pPr>
      <w:r>
        <w:rPr>
          <w:rFonts w:ascii="Times New Roman" w:cs="Times New Roman" w:eastAsia="Times New Roman" w:hAnsi="Times New Roman"/>
          <w:sz w:val="22"/>
          <w:szCs w:val="22"/>
          <w:color w:val="auto"/>
        </w:rPr>
        <w:t>g.2. “Specially designed” for military use and for decontamination of objects contaminated with materials controlled by USML Category XIV(a) or (b).</w:t>
      </w:r>
    </w:p>
    <w:p>
      <w:pPr>
        <w:spacing w:after="0" w:line="257"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h.</w:t>
        <w:tab/>
        <w:t>“Equipment”:</w:t>
      </w:r>
    </w:p>
    <w:p>
      <w:pPr>
        <w:spacing w:after="0" w:line="265"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 xml:space="preserve">h.1. Not controlled by USML Category XIV(f);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h.2. “Specially designed” for military use and for the detection or identification of:</w:t>
      </w:r>
    </w:p>
    <w:p>
      <w:pPr>
        <w:spacing w:after="0" w:line="265" w:lineRule="exact"/>
        <w:rPr>
          <w:sz w:val="20"/>
          <w:szCs w:val="20"/>
          <w:color w:val="auto"/>
        </w:rPr>
      </w:pPr>
    </w:p>
    <w:p>
      <w:pPr>
        <w:ind w:left="280" w:firstLine="288"/>
        <w:spacing w:after="0" w:line="234" w:lineRule="auto"/>
        <w:rPr>
          <w:sz w:val="20"/>
          <w:szCs w:val="20"/>
          <w:color w:val="auto"/>
        </w:rPr>
      </w:pPr>
      <w:r>
        <w:rPr>
          <w:rFonts w:ascii="Times New Roman" w:cs="Times New Roman" w:eastAsia="Times New Roman" w:hAnsi="Times New Roman"/>
          <w:sz w:val="22"/>
          <w:szCs w:val="22"/>
          <w:color w:val="auto"/>
        </w:rPr>
        <w:t xml:space="preserve">h.2.a. Materials specified by USML Category XIV(a) or (b);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ind w:left="280" w:firstLine="288"/>
        <w:spacing w:after="0" w:line="234" w:lineRule="auto"/>
        <w:rPr>
          <w:sz w:val="20"/>
          <w:szCs w:val="20"/>
          <w:color w:val="auto"/>
        </w:rPr>
      </w:pPr>
      <w:r>
        <w:rPr>
          <w:rFonts w:ascii="Times New Roman" w:cs="Times New Roman" w:eastAsia="Times New Roman" w:hAnsi="Times New Roman"/>
          <w:sz w:val="22"/>
          <w:szCs w:val="22"/>
          <w:color w:val="auto"/>
        </w:rPr>
        <w:t>h.2.b. Riot control agents controlled by ECCN 1C607.a.</w:t>
      </w:r>
    </w:p>
    <w:p>
      <w:pPr>
        <w:spacing w:after="0" w:line="253" w:lineRule="exact"/>
        <w:rPr>
          <w:sz w:val="20"/>
          <w:szCs w:val="20"/>
          <w:color w:val="auto"/>
        </w:rPr>
      </w:pPr>
    </w:p>
    <w:p>
      <w:pPr>
        <w:ind w:left="300" w:hanging="300"/>
        <w:spacing w:after="0"/>
        <w:tabs>
          <w:tab w:leader="none" w:pos="300" w:val="left"/>
        </w:tabs>
        <w:numPr>
          <w:ilvl w:val="0"/>
          <w:numId w:val="2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300" w:hanging="300"/>
        <w:spacing w:after="0"/>
        <w:tabs>
          <w:tab w:leader="none" w:pos="300" w:val="left"/>
        </w:tabs>
        <w:numPr>
          <w:ilvl w:val="0"/>
          <w:numId w:val="2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to:</w:t>
      </w:r>
    </w:p>
    <w:p>
      <w:pPr>
        <w:spacing w:after="0" w:line="266" w:lineRule="exact"/>
        <w:rPr>
          <w:sz w:val="20"/>
          <w:szCs w:val="20"/>
          <w:color w:val="auto"/>
        </w:rPr>
      </w:pPr>
    </w:p>
    <w:p>
      <w:pPr>
        <w:jc w:val="both"/>
        <w:ind w:firstLine="288"/>
        <w:spacing w:after="0" w:line="235" w:lineRule="auto"/>
        <w:rPr>
          <w:sz w:val="20"/>
          <w:szCs w:val="20"/>
          <w:color w:val="auto"/>
        </w:rPr>
      </w:pPr>
      <w:r>
        <w:rPr>
          <w:rFonts w:ascii="Times New Roman" w:cs="Times New Roman" w:eastAsia="Times New Roman" w:hAnsi="Times New Roman"/>
          <w:sz w:val="22"/>
          <w:szCs w:val="22"/>
          <w:color w:val="auto"/>
        </w:rPr>
        <w:t xml:space="preserve">j.1. Interface with a detector, shelter, vehicle, vessel, or aircraft controlled by the USML or a “600 series” ECCN; </w:t>
      </w:r>
      <w:r>
        <w:rPr>
          <w:rFonts w:ascii="Times New Roman" w:cs="Times New Roman" w:eastAsia="Times New Roman" w:hAnsi="Times New Roman"/>
          <w:sz w:val="22"/>
          <w:szCs w:val="22"/>
          <w:i w:val="1"/>
          <w:iCs w:val="1"/>
          <w:color w:val="auto"/>
        </w:rPr>
        <w:t>and</w:t>
      </w:r>
    </w:p>
    <w:p>
      <w:pPr>
        <w:spacing w:after="0" w:line="268" w:lineRule="exact"/>
        <w:rPr>
          <w:sz w:val="20"/>
          <w:szCs w:val="20"/>
          <w:color w:val="auto"/>
        </w:rPr>
      </w:pPr>
    </w:p>
    <w:p>
      <w:pPr>
        <w:jc w:val="both"/>
        <w:ind w:firstLine="288"/>
        <w:spacing w:after="0" w:line="234" w:lineRule="auto"/>
        <w:rPr>
          <w:sz w:val="20"/>
          <w:szCs w:val="20"/>
          <w:color w:val="auto"/>
        </w:rPr>
      </w:pPr>
      <w:r>
        <w:rPr>
          <w:rFonts w:ascii="Times New Roman" w:cs="Times New Roman" w:eastAsia="Times New Roman" w:hAnsi="Times New Roman"/>
          <w:sz w:val="22"/>
          <w:szCs w:val="22"/>
          <w:color w:val="auto"/>
        </w:rPr>
        <w:t>j.2. Collect and process samples of articles controlled in USML Category XIV(a) or (b).</w:t>
      </w:r>
    </w:p>
    <w:p>
      <w:pPr>
        <w:spacing w:after="0" w:line="253"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k.</w:t>
        <w:tab/>
        <w:t>Medical countermeasures that are “specially</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designed” for military use (including pre- and</w:t>
      </w:r>
    </w:p>
    <w:p>
      <w:pPr>
        <w:spacing w:after="0" w:line="1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post-treatments, antidotes, and medical diagnostics) and “specially designed” to counter chemical agents controlled by the USML Category XIV(a).</w:t>
      </w:r>
    </w:p>
    <w:p>
      <w:pPr>
        <w:spacing w:after="0" w:line="267" w:lineRule="exact"/>
        <w:rPr>
          <w:sz w:val="20"/>
          <w:szCs w:val="20"/>
          <w:color w:val="auto"/>
        </w:rPr>
      </w:pPr>
    </w:p>
    <w:p>
      <w:pPr>
        <w:jc w:val="both"/>
        <w:ind w:firstLine="288"/>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Examples of “equipment” controlled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by this entry are barrier and non-barrier creams and filled autoinjectors (e.g., combopens where one injector contains 2-PAM and the other atropine) if “specially designed” to counter such agents.</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l. through w. [Reserved]</w:t>
      </w:r>
    </w:p>
    <w:p>
      <w:pPr>
        <w:spacing w:after="0" w:line="266" w:lineRule="exact"/>
        <w:rPr>
          <w:sz w:val="20"/>
          <w:szCs w:val="20"/>
          <w:color w:val="auto"/>
        </w:rPr>
      </w:pPr>
    </w:p>
    <w:p>
      <w:pPr>
        <w:jc w:val="both"/>
        <w:ind w:firstLine="1"/>
        <w:spacing w:after="0" w:line="235" w:lineRule="auto"/>
        <w:tabs>
          <w:tab w:leader="none" w:pos="410" w:val="left"/>
        </w:tabs>
        <w:numPr>
          <w:ilvl w:val="0"/>
          <w:numId w:val="2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that are “specially designed” for a commodity controlled by ECCN 1A607.e, .f, .g,</w:t>
      </w:r>
    </w:p>
    <w:p>
      <w:pPr>
        <w:spacing w:after="0" w:line="15" w:lineRule="exact"/>
        <w:rPr>
          <w:rFonts w:ascii="Times New Roman" w:cs="Times New Roman" w:eastAsia="Times New Roman" w:hAnsi="Times New Roman"/>
          <w:sz w:val="22"/>
          <w:szCs w:val="22"/>
          <w:color w:val="auto"/>
        </w:rPr>
      </w:pPr>
    </w:p>
    <w:p>
      <w:pPr>
        <w:jc w:val="both"/>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 or .j or for a defense article controlled by USML Category XIV(f) and that are not enumerated or otherwise described elsewhere in the USML.</w:t>
      </w:r>
    </w:p>
    <w:p>
      <w:pPr>
        <w:spacing w:after="0" w:line="200" w:lineRule="exact"/>
        <w:rPr>
          <w:sz w:val="20"/>
          <w:szCs w:val="20"/>
          <w:color w:val="auto"/>
        </w:rPr>
      </w:pPr>
    </w:p>
    <w:p>
      <w:pPr>
        <w:spacing w:after="0" w:line="324"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1A613 Armored and protective “equipment” and related commodities,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NS, RS, AT, UN</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7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7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60" w:type="dxa"/>
            <w:vAlign w:val="bottom"/>
            <w:tcBorders>
              <w:left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70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55"/>
        </w:trPr>
        <w:tc>
          <w:tcPr>
            <w:tcW w:w="24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except 1A613.y</w:t>
            </w:r>
          </w:p>
        </w:tc>
        <w:tc>
          <w:tcPr>
            <w:tcW w:w="1700" w:type="dxa"/>
            <w:vAlign w:val="bottom"/>
            <w:tcBorders>
              <w:bottom w:val="single" w:sz="8" w:color="auto"/>
              <w:right w:val="single" w:sz="8" w:color="auto"/>
            </w:tcBorders>
          </w:tcPr>
          <w:p>
            <w:pPr>
              <w:spacing w:after="0"/>
              <w:rPr>
                <w:sz w:val="22"/>
                <w:szCs w:val="22"/>
                <w:color w:val="auto"/>
              </w:rPr>
            </w:pPr>
          </w:p>
        </w:tc>
      </w:tr>
      <w:tr>
        <w:trPr>
          <w:trHeight w:val="241"/>
        </w:trPr>
        <w:tc>
          <w:tcPr>
            <w:tcW w:w="2460" w:type="dxa"/>
            <w:vAlign w:val="bottom"/>
            <w:tcBorders>
              <w:left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RS applies to entire entry</w:t>
            </w:r>
          </w:p>
        </w:tc>
        <w:tc>
          <w:tcPr>
            <w:tcW w:w="170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55"/>
        </w:trPr>
        <w:tc>
          <w:tcPr>
            <w:tcW w:w="24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except 1A613.y</w:t>
            </w:r>
          </w:p>
        </w:tc>
        <w:tc>
          <w:tcPr>
            <w:tcW w:w="1700" w:type="dxa"/>
            <w:vAlign w:val="bottom"/>
            <w:tcBorders>
              <w:bottom w:val="single" w:sz="8" w:color="auto"/>
              <w:right w:val="single" w:sz="8" w:color="auto"/>
            </w:tcBorders>
          </w:tcPr>
          <w:p>
            <w:pPr>
              <w:spacing w:after="0"/>
              <w:rPr>
                <w:sz w:val="22"/>
                <w:szCs w:val="22"/>
                <w:color w:val="auto"/>
              </w:rPr>
            </w:pPr>
          </w:p>
        </w:tc>
      </w:tr>
      <w:tr>
        <w:trPr>
          <w:trHeight w:val="243"/>
        </w:trPr>
        <w:tc>
          <w:tcPr>
            <w:tcW w:w="246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42"/>
        </w:trPr>
        <w:tc>
          <w:tcPr>
            <w:tcW w:w="2460" w:type="dxa"/>
            <w:vAlign w:val="bottom"/>
            <w:tcBorders>
              <w:left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UN applies to entire entry,</w:t>
            </w:r>
          </w:p>
        </w:tc>
        <w:tc>
          <w:tcPr>
            <w:tcW w:w="1700" w:type="dxa"/>
            <w:vAlign w:val="bottom"/>
            <w:tcBorders>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See § 746.1(b) for</w:t>
            </w:r>
          </w:p>
        </w:tc>
      </w:tr>
      <w:tr>
        <w:trPr>
          <w:trHeight w:val="254"/>
        </w:trPr>
        <w:tc>
          <w:tcPr>
            <w:tcW w:w="24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except 1A613.y</w:t>
            </w:r>
          </w:p>
        </w:tc>
        <w:tc>
          <w:tcPr>
            <w:tcW w:w="170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2"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39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3" w:name="page14"/>
    <w:bookmarkEnd w:id="1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14</w:t>
      </w:r>
    </w:p>
    <w:p>
      <w:pPr>
        <w:sectPr>
          <w:pgSz w:w="12240" w:h="15840" w:orient="portrait"/>
          <w:cols w:equalWidth="0" w:num="1">
            <w:col w:w="9360"/>
          </w:cols>
          <w:pgMar w:left="1440" w:top="1293" w:right="1440" w:bottom="124"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080" w:hanging="719"/>
        <w:spacing w:after="0" w:line="236"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1A613.</w:t>
      </w:r>
    </w:p>
    <w:p>
      <w:pPr>
        <w:spacing w:after="0" w:line="25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720"/>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Defense articles,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such as materials made from classified information, that are controlled by USML Category X or XIII of the ITAR, and technical data (including software) directly related thereto, are “subject to the ITAR.” (2) See ECCN 0A919 for foreign-made “military commodities”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US-origin “600 series” controlled content. (3) See ECCN 9A610.g for anti-gravity suits (“G-suits”) and pressure suits capable of operating at altitudes higher than 55,000 feet above sea level.</w:t>
      </w:r>
    </w:p>
    <w:p>
      <w:pPr>
        <w:spacing w:after="0" w:line="16" w:lineRule="exact"/>
        <w:rPr>
          <w:sz w:val="20"/>
          <w:szCs w:val="20"/>
          <w:color w:val="auto"/>
        </w:rPr>
      </w:pPr>
    </w:p>
    <w:p>
      <w:pPr>
        <w:jc w:val="both"/>
        <w:ind w:left="72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References to “NIJ</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Type” protection are to the National Institute of Justice Classification guide at NIJ Standard 0101.06, Ballistic Resistance of Body Armor, and NIJ Standard 0108.01, Ballistic Resistant Protective Materials.</w:t>
      </w:r>
    </w:p>
    <w:p>
      <w:pPr>
        <w:spacing w:after="0" w:line="256"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2" w:lineRule="exact"/>
        <w:rPr>
          <w:sz w:val="20"/>
          <w:szCs w:val="20"/>
          <w:color w:val="auto"/>
        </w:rPr>
      </w:pPr>
    </w:p>
    <w:p>
      <w:pPr>
        <w:ind w:left="800" w:hanging="440"/>
        <w:spacing w:after="0"/>
        <w:tabs>
          <w:tab w:leader="none" w:pos="800" w:val="left"/>
        </w:tabs>
        <w:numPr>
          <w:ilvl w:val="0"/>
          <w:numId w:val="2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Metallic or non-metallic armored plate</w:t>
      </w:r>
    </w:p>
    <w:p>
      <w:pPr>
        <w:spacing w:after="0" w:line="12" w:lineRule="exact"/>
        <w:rPr>
          <w:rFonts w:ascii="Times New Roman" w:cs="Times New Roman" w:eastAsia="Times New Roman" w:hAnsi="Times New Roman"/>
          <w:sz w:val="22"/>
          <w:szCs w:val="22"/>
          <w:color w:val="auto"/>
        </w:rPr>
      </w:pPr>
    </w:p>
    <w:p>
      <w:pPr>
        <w:ind w:left="36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“specially designed” for military use and not controlled by the USML.</w:t>
      </w:r>
    </w:p>
    <w:p>
      <w:pPr>
        <w:spacing w:after="0" w:line="266"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 to paragraph a</w:t>
      </w:r>
      <w:r>
        <w:rPr>
          <w:rFonts w:ascii="Times New Roman" w:cs="Times New Roman" w:eastAsia="Times New Roman" w:hAnsi="Times New Roman"/>
          <w:sz w:val="22"/>
          <w:szCs w:val="22"/>
          <w:i w:val="1"/>
          <w:iCs w:val="1"/>
          <w:color w:val="auto"/>
        </w:rPr>
        <w:t>: For controls 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body armor plates, see ECCN 1A613.d.2 and USML Category X(a)(1).</w:t>
      </w:r>
    </w:p>
    <w:p>
      <w:pPr>
        <w:spacing w:after="0" w:line="253" w:lineRule="exact"/>
        <w:rPr>
          <w:sz w:val="20"/>
          <w:szCs w:val="20"/>
          <w:color w:val="auto"/>
        </w:rPr>
      </w:pPr>
    </w:p>
    <w:p>
      <w:pPr>
        <w:ind w:left="720" w:hanging="360"/>
        <w:spacing w:after="0"/>
        <w:tabs>
          <w:tab w:leader="none" w:pos="720" w:val="left"/>
        </w:tabs>
        <w:numPr>
          <w:ilvl w:val="0"/>
          <w:numId w:val="3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Shelters “specially designed” to:</w:t>
      </w:r>
    </w:p>
    <w:p>
      <w:pPr>
        <w:spacing w:after="0" w:line="265"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 xml:space="preserve">b.1. Provide ballistic protection for military systems;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ind w:left="360" w:firstLine="360"/>
        <w:spacing w:after="0" w:line="233" w:lineRule="auto"/>
        <w:rPr>
          <w:sz w:val="20"/>
          <w:szCs w:val="20"/>
          <w:color w:val="auto"/>
        </w:rPr>
      </w:pPr>
      <w:r>
        <w:rPr>
          <w:rFonts w:ascii="Times New Roman" w:cs="Times New Roman" w:eastAsia="Times New Roman" w:hAnsi="Times New Roman"/>
          <w:sz w:val="22"/>
          <w:szCs w:val="22"/>
          <w:color w:val="auto"/>
        </w:rPr>
        <w:t>b.2. Protect against nuclear, biological, or chemical contamination.</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c. Military helmets (other than helmets controlled under 1A613.y.1) providing less than NIJ Type IV protection and “specially designed” helmet shells, liners, or comfort pads therefor.</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See ECCN 0A979 for controls 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police helmets.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See USML Category X(a)(5)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(a)(6) for controls on other military helmets.</w:t>
      </w:r>
    </w:p>
    <w:p>
      <w:pPr>
        <w:spacing w:after="0" w:line="264" w:lineRule="exact"/>
        <w:rPr>
          <w:sz w:val="20"/>
          <w:szCs w:val="20"/>
          <w:color w:val="auto"/>
        </w:rPr>
      </w:pPr>
    </w:p>
    <w:p>
      <w:pPr>
        <w:ind w:left="360" w:firstLine="1"/>
        <w:spacing w:after="0" w:line="234" w:lineRule="auto"/>
        <w:tabs>
          <w:tab w:leader="none" w:pos="720" w:val="left"/>
        </w:tabs>
        <w:numPr>
          <w:ilvl w:val="0"/>
          <w:numId w:val="3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Body armor and protective garments, as follows:</w:t>
      </w:r>
    </w:p>
    <w:p>
      <w:pPr>
        <w:spacing w:after="0" w:line="266" w:lineRule="exact"/>
        <w:rPr>
          <w:sz w:val="20"/>
          <w:szCs w:val="20"/>
          <w:color w:val="auto"/>
        </w:rPr>
      </w:pPr>
    </w:p>
    <w:p>
      <w:pPr>
        <w:jc w:val="both"/>
        <w:ind w:left="360" w:firstLine="360"/>
        <w:spacing w:after="0" w:line="238" w:lineRule="auto"/>
        <w:rPr>
          <w:sz w:val="20"/>
          <w:szCs w:val="20"/>
          <w:color w:val="auto"/>
        </w:rPr>
      </w:pPr>
      <w:r>
        <w:rPr>
          <w:rFonts w:ascii="Times New Roman" w:cs="Times New Roman" w:eastAsia="Times New Roman" w:hAnsi="Times New Roman"/>
          <w:sz w:val="22"/>
          <w:szCs w:val="22"/>
          <w:color w:val="auto"/>
        </w:rPr>
        <w:t xml:space="preserve">d.1. Soft body armor and protective garments manufactured to military standards or specifications, or to their equivalents, that provide ballistic protection equal to or less than NIJ level III (NIJ 0101.06, July 2008);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For 1A613.d.1, military standards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or specifications include, at a minimum, specifications for fragmentation protection.</w:t>
      </w:r>
    </w:p>
    <w:p>
      <w:pPr>
        <w:spacing w:after="0" w:line="266" w:lineRule="exact"/>
        <w:rPr>
          <w:sz w:val="20"/>
          <w:szCs w:val="20"/>
          <w:color w:val="auto"/>
        </w:rPr>
      </w:pPr>
    </w:p>
    <w:p>
      <w:pPr>
        <w:jc w:val="both"/>
        <w:ind w:left="360" w:firstLine="360"/>
        <w:spacing w:after="0" w:line="250" w:lineRule="auto"/>
        <w:rPr>
          <w:sz w:val="20"/>
          <w:szCs w:val="20"/>
          <w:color w:val="auto"/>
        </w:rPr>
      </w:pPr>
      <w:r>
        <w:rPr>
          <w:rFonts w:ascii="Times New Roman" w:cs="Times New Roman" w:eastAsia="Times New Roman" w:hAnsi="Times New Roman"/>
          <w:sz w:val="21"/>
          <w:szCs w:val="21"/>
          <w:color w:val="auto"/>
        </w:rPr>
        <w:t>d.2. Hard body armor plates that provide ballistic protection equal to NIJ level III (NIJ 0101.06, July 2008) or national equivalents.</w:t>
      </w:r>
    </w:p>
    <w:p>
      <w:pPr>
        <w:spacing w:after="0" w:line="258" w:lineRule="exact"/>
        <w:rPr>
          <w:sz w:val="20"/>
          <w:szCs w:val="20"/>
          <w:color w:val="auto"/>
        </w:rPr>
      </w:pPr>
    </w:p>
    <w:p>
      <w:pPr>
        <w:jc w:val="both"/>
        <w:ind w:left="36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See ECCN 1A005 for controls 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soft body armor not manufactured to military standards or specifications and hard body armor plates providing less than NIJ level III protection. For body armor providing NIJ Type IV protection or greater, see USML Category X(a)(1).</w:t>
      </w:r>
    </w:p>
    <w:p>
      <w:pPr>
        <w:spacing w:after="0" w:line="266"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e. Atmospheric diving suits “specially designed” for rescue operations for submarines controlled by the USML or the CCL.</w:t>
      </w:r>
    </w:p>
    <w:p>
      <w:pPr>
        <w:spacing w:after="0" w:line="267" w:lineRule="exact"/>
        <w:rPr>
          <w:sz w:val="20"/>
          <w:szCs w:val="20"/>
          <w:color w:val="auto"/>
        </w:rPr>
      </w:pPr>
    </w:p>
    <w:p>
      <w:pPr>
        <w:jc w:val="both"/>
        <w:ind w:left="360" w:firstLine="1"/>
        <w:spacing w:after="0" w:line="236" w:lineRule="auto"/>
        <w:tabs>
          <w:tab w:leader="none" w:pos="720" w:val="left"/>
        </w:tabs>
        <w:numPr>
          <w:ilvl w:val="0"/>
          <w:numId w:val="3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personal protective “equipment” “specially designed” for military applications not controlled by the USML, not elsewhere controlled on the CCL.</w:t>
      </w:r>
    </w:p>
    <w:p>
      <w:pPr>
        <w:spacing w:after="0" w:line="257" w:lineRule="exact"/>
        <w:rPr>
          <w:rFonts w:ascii="Times New Roman" w:cs="Times New Roman" w:eastAsia="Times New Roman" w:hAnsi="Times New Roman"/>
          <w:sz w:val="22"/>
          <w:szCs w:val="22"/>
          <w:color w:val="auto"/>
        </w:rPr>
      </w:pPr>
    </w:p>
    <w:p>
      <w:pPr>
        <w:ind w:left="580" w:hanging="219"/>
        <w:spacing w:after="0"/>
        <w:tabs>
          <w:tab w:leader="none" w:pos="580" w:val="left"/>
        </w:tabs>
        <w:numPr>
          <w:ilvl w:val="0"/>
          <w:numId w:val="3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to w.  [Reserved]</w:t>
      </w:r>
    </w:p>
    <w:p>
      <w:pPr>
        <w:spacing w:after="0" w:line="45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7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4" w:name="page15"/>
    <w:bookmarkEnd w:id="1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3200400</wp:posOffset>
                </wp:positionH>
                <wp:positionV relativeFrom="paragraph">
                  <wp:posOffset>179070</wp:posOffset>
                </wp:positionV>
                <wp:extent cx="274383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2pt,14.1pt" to="468.05pt,14.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3203575</wp:posOffset>
                </wp:positionH>
                <wp:positionV relativeFrom="paragraph">
                  <wp:posOffset>175895</wp:posOffset>
                </wp:positionV>
                <wp:extent cx="0" cy="82296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9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2.25pt,13.85pt" to="252.25pt,78.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3200400</wp:posOffset>
                </wp:positionH>
                <wp:positionV relativeFrom="paragraph">
                  <wp:posOffset>667385</wp:posOffset>
                </wp:positionV>
                <wp:extent cx="2743835"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2pt,52.55pt" to="468.05pt,5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4681220</wp:posOffset>
                </wp:positionH>
                <wp:positionV relativeFrom="paragraph">
                  <wp:posOffset>175895</wp:posOffset>
                </wp:positionV>
                <wp:extent cx="0" cy="82296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96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68.6pt,13.85pt" to="368.6pt,78.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5941060</wp:posOffset>
                </wp:positionH>
                <wp:positionV relativeFrom="paragraph">
                  <wp:posOffset>175895</wp:posOffset>
                </wp:positionV>
                <wp:extent cx="0" cy="82296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96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7.8pt,13.85pt" to="467.8pt,78.65pt" o:allowincell="f" strokecolor="#000000" strokeweight="0.4799pt"/>
            </w:pict>
          </mc:Fallback>
        </mc:AlternateConten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x. “Parts,” “components,” “accessories,” and “attachments” that are “specially designed” for a commodity controlled by ECCN 1A613 (except for 1A613.y) or an article enumerated in USML Category X, and not controlled elsewhere in the USML.</w:t>
      </w:r>
    </w:p>
    <w:p>
      <w:pPr>
        <w:spacing w:after="0" w:line="268" w:lineRule="exact"/>
        <w:rPr>
          <w:sz w:val="20"/>
          <w:szCs w:val="20"/>
          <w:color w:val="auto"/>
        </w:rPr>
      </w:pPr>
    </w:p>
    <w:p>
      <w:pPr>
        <w:jc w:val="both"/>
        <w:ind w:left="36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Forgings, castings, and other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unfinished products, such as extrusions and machined bodies, that have reached a stage in manufacturing where they are clearly identifiable by mechanical properties, material composition, geometry, or function as commodities controlled by ECCN 1A613.x are controlled by ECCN 1A613.x.</w:t>
      </w:r>
    </w:p>
    <w:p>
      <w:pPr>
        <w:spacing w:after="0" w:line="256" w:lineRule="exact"/>
        <w:rPr>
          <w:sz w:val="20"/>
          <w:szCs w:val="20"/>
          <w:color w:val="auto"/>
        </w:rPr>
      </w:pPr>
    </w:p>
    <w:p>
      <w:pPr>
        <w:ind w:left="700" w:hanging="340"/>
        <w:spacing w:after="0"/>
        <w:tabs>
          <w:tab w:leader="none" w:pos="700" w:val="left"/>
        </w:tabs>
        <w:numPr>
          <w:ilvl w:val="0"/>
          <w:numId w:val="3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commodities as follows:</w:t>
      </w:r>
    </w:p>
    <w:p>
      <w:pPr>
        <w:spacing w:after="0" w:line="253" w:lineRule="exact"/>
        <w:rPr>
          <w:rFonts w:ascii="Times New Roman" w:cs="Times New Roman" w:eastAsia="Times New Roman" w:hAnsi="Times New Roman"/>
          <w:sz w:val="22"/>
          <w:szCs w:val="22"/>
          <w:color w:val="auto"/>
        </w:rPr>
      </w:pPr>
    </w:p>
    <w:p>
      <w:pPr>
        <w:ind w:left="72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y.1  Conventional military steel helmets.</w:t>
      </w:r>
    </w:p>
    <w:p>
      <w:pPr>
        <w:spacing w:after="0" w:line="255" w:lineRule="exact"/>
        <w:rPr>
          <w:sz w:val="20"/>
          <w:szCs w:val="20"/>
          <w:color w:val="auto"/>
        </w:rPr>
      </w:pPr>
    </w:p>
    <w:p>
      <w:pPr>
        <w:jc w:val="center"/>
        <w:ind w:left="720"/>
        <w:spacing w:after="0"/>
        <w:tabs>
          <w:tab w:leader="none" w:pos="120" w:val="left"/>
          <w:tab w:leader="none" w:pos="140" w:val="left"/>
          <w:tab w:leader="none" w:pos="140" w:val="left"/>
          <w:tab w:leader="none" w:pos="300" w:val="left"/>
          <w:tab w:leader="none" w:pos="140" w:val="left"/>
        </w:tabs>
        <w:rPr>
          <w:sz w:val="20"/>
          <w:szCs w:val="20"/>
          <w:color w:val="auto"/>
        </w:rPr>
      </w:pPr>
      <w:r>
        <w:rPr>
          <w:rFonts w:ascii="Times New Roman" w:cs="Times New Roman" w:eastAsia="Times New Roman" w:hAnsi="Times New Roman"/>
          <w:sz w:val="22"/>
          <w:szCs w:val="22"/>
          <w:b w:val="1"/>
          <w:bCs w:val="1"/>
          <w:i w:val="1"/>
          <w:iCs w:val="1"/>
          <w:color w:val="auto"/>
        </w:rPr>
        <w:t>N.B.</w:t>
        <w:tab/>
        <w:t>to</w:t>
        <w:tab/>
        <w:t>paragraph</w:t>
        <w:tab/>
        <w:t>y.1:</w:t>
      </w:r>
      <w:r>
        <w:rPr>
          <w:sz w:val="20"/>
          <w:szCs w:val="20"/>
          <w:color w:val="auto"/>
        </w:rPr>
        <w:tab/>
      </w:r>
      <w:r>
        <w:rPr>
          <w:rFonts w:ascii="Times New Roman" w:cs="Times New Roman" w:eastAsia="Times New Roman" w:hAnsi="Times New Roman"/>
          <w:sz w:val="22"/>
          <w:szCs w:val="22"/>
          <w:i w:val="1"/>
          <w:iCs w:val="1"/>
          <w:color w:val="auto"/>
        </w:rPr>
        <w:t>For</w:t>
      </w:r>
      <w:r>
        <w:rPr>
          <w:sz w:val="20"/>
          <w:szCs w:val="20"/>
          <w:color w:val="auto"/>
        </w:rPr>
        <w:tab/>
      </w:r>
      <w:r>
        <w:rPr>
          <w:rFonts w:ascii="Times New Roman" w:cs="Times New Roman" w:eastAsia="Times New Roman" w:hAnsi="Times New Roman"/>
          <w:sz w:val="21"/>
          <w:szCs w:val="21"/>
          <w:i w:val="1"/>
          <w:iCs w:val="1"/>
          <w:color w:val="auto"/>
        </w:rPr>
        <w:t>other</w:t>
      </w:r>
    </w:p>
    <w:p>
      <w:pPr>
        <w:spacing w:after="0" w:line="12"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military helmet “components” or “accessories,” see the relevant ECCN in the CCL or USML Entry.</w:t>
      </w:r>
    </w:p>
    <w:p>
      <w:pPr>
        <w:spacing w:after="0" w:line="253" w:lineRule="exact"/>
        <w:rPr>
          <w:sz w:val="20"/>
          <w:szCs w:val="20"/>
          <w:color w:val="auto"/>
        </w:rPr>
      </w:pPr>
    </w:p>
    <w:p>
      <w:pPr>
        <w:ind w:left="720"/>
        <w:spacing w:after="0"/>
        <w:tabs>
          <w:tab w:leader="none" w:pos="1160" w:val="left"/>
        </w:tabs>
        <w:rPr>
          <w:sz w:val="20"/>
          <w:szCs w:val="20"/>
          <w:color w:val="auto"/>
        </w:rPr>
      </w:pPr>
      <w:r>
        <w:rPr>
          <w:rFonts w:ascii="Times New Roman" w:cs="Times New Roman" w:eastAsia="Times New Roman" w:hAnsi="Times New Roman"/>
          <w:sz w:val="22"/>
          <w:szCs w:val="22"/>
          <w:color w:val="auto"/>
        </w:rPr>
        <w:t>y.2</w:t>
        <w:tab/>
        <w:t>[Reserved]</w:t>
      </w: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1A984 Chemical agents, including tear gas formulation containing 1 percent or less of orthochlorobenzalmalononitrile (CS), or 1 percent or less of chloroacetophenone (CN), except in individual containers with a net weight of 20 grams or less; liquid pepper except when packaged in individual containers with a net weight of 3 ounces (85.05 grams) or less; smoke bombs; non-irritant smoke flares, canisters, grenades and charges; and other pyrotechnic articles (excluding shotgun shells, unless the shotgun shells contain only chemical irritants) having dual military and</w:t>
      </w:r>
    </w:p>
    <w:p>
      <w:pPr>
        <w:spacing w:after="0" w:line="6"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commercial use, and “parts” and “components” “specially designed” therefor, n.e.s.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CC</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ind w:left="246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80" w:right="160" w:hanging="2411"/>
        <w:spacing w:after="0" w:line="234" w:lineRule="auto"/>
        <w:tabs>
          <w:tab w:leader="none" w:pos="24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580" w:hanging="466"/>
        <w:spacing w:after="0"/>
        <w:tabs>
          <w:tab w:leader="none" w:pos="580" w:val="left"/>
        </w:tabs>
        <w:numPr>
          <w:ilvl w:val="0"/>
          <w:numId w:val="3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CC Column 1</w:t>
      </w:r>
    </w:p>
    <w:p>
      <w:pPr>
        <w:ind w:left="12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entry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5715</wp:posOffset>
                </wp:positionV>
                <wp:extent cx="2743835"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0.45pt" to="216.05pt,0.45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1A985 Fingerprinting powders, dyes, and inks.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CC</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165735</wp:posOffset>
                </wp:positionV>
                <wp:extent cx="2743835"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3.05pt" to="216.05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162560</wp:posOffset>
                </wp:positionV>
                <wp:extent cx="0" cy="82232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5pt,12.8pt" to="0.25pt,77.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654050</wp:posOffset>
                </wp:positionV>
                <wp:extent cx="274383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51.5pt" to="216.05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1480820</wp:posOffset>
                </wp:positionH>
                <wp:positionV relativeFrom="paragraph">
                  <wp:posOffset>162560</wp:posOffset>
                </wp:positionV>
                <wp:extent cx="0" cy="822325"/>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6.6pt,12.8pt" to="116.6pt,77.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2740660</wp:posOffset>
                </wp:positionH>
                <wp:positionV relativeFrom="paragraph">
                  <wp:posOffset>162560</wp:posOffset>
                </wp:positionV>
                <wp:extent cx="0" cy="822325"/>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5.8pt,12.8pt" to="215.8pt,77.55pt" o:allowincell="f" strokecolor="#000000" strokeweight="0.4799pt"/>
            </w:pict>
          </mc:Fallback>
        </mc:AlternateContent>
      </w:r>
    </w:p>
    <w:p>
      <w:pPr>
        <w:spacing w:after="0" w:line="244" w:lineRule="exact"/>
        <w:rPr>
          <w:sz w:val="20"/>
          <w:szCs w:val="20"/>
          <w:color w:val="auto"/>
        </w:rPr>
      </w:pPr>
    </w:p>
    <w:p>
      <w:pPr>
        <w:ind w:left="246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80" w:right="160" w:hanging="2411"/>
        <w:spacing w:after="0" w:line="234" w:lineRule="auto"/>
        <w:tabs>
          <w:tab w:leader="none" w:pos="24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580" w:hanging="466"/>
        <w:spacing w:after="0"/>
        <w:tabs>
          <w:tab w:leader="none" w:pos="580" w:val="left"/>
        </w:tabs>
        <w:numPr>
          <w:ilvl w:val="0"/>
          <w:numId w:val="3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CC Column 1</w:t>
      </w:r>
    </w:p>
    <w:p>
      <w:pPr>
        <w:ind w:left="12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entry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4445</wp:posOffset>
                </wp:positionV>
                <wp:extent cx="2743835"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8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0.35pt" to="216.05pt,0.35pt" o:allowincell="f" strokecolor="#000000" strokeweight="0.48pt"/>
            </w:pict>
          </mc:Fallback>
        </mc:AlternateContent>
      </w:r>
    </w:p>
    <w:p>
      <w:pPr>
        <w:spacing w:after="0" w:line="256"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13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3A981.</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39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7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5" w:name="page16"/>
    <w:bookmarkEnd w:id="1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1A995 Protective and detection equipment not “specially designed” for military use and not controlled by ECCN 1A004 or ECCN 2B351, as follows (see List of Items Controlled), and “parts” and “components” not “specially designed” for military use and not controlled by ECCN 1A004 or ECCN 2B351 therefor.</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p>
      <w:pPr>
        <w:spacing w:after="0" w:line="235"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1A004</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2B351, and 2B352.</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360" w:hanging="360"/>
        <w:spacing w:after="0"/>
        <w:tabs>
          <w:tab w:leader="none" w:pos="360" w:val="left"/>
        </w:tabs>
        <w:numPr>
          <w:ilvl w:val="0"/>
          <w:numId w:val="3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Personal radiation monitoring dosimeters;</w:t>
      </w:r>
    </w:p>
    <w:p>
      <w:pPr>
        <w:spacing w:after="0" w:line="265" w:lineRule="exact"/>
        <w:rPr>
          <w:rFonts w:ascii="Times New Roman" w:cs="Times New Roman" w:eastAsia="Times New Roman" w:hAnsi="Times New Roman"/>
          <w:sz w:val="22"/>
          <w:szCs w:val="22"/>
          <w:color w:val="auto"/>
        </w:rPr>
      </w:pPr>
    </w:p>
    <w:p>
      <w:pPr>
        <w:jc w:val="both"/>
        <w:spacing w:after="0" w:line="251" w:lineRule="auto"/>
        <w:tabs>
          <w:tab w:leader="none" w:pos="360" w:val="left"/>
        </w:tabs>
        <w:numPr>
          <w:ilvl w:val="0"/>
          <w:numId w:val="36"/>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Equipment limited by design or function to protect against hazards specific to civil industries, such as mining, quarrying, agriculture,</w:t>
      </w:r>
    </w:p>
    <w:p>
      <w:pPr>
        <w:spacing w:after="0" w:line="1" w:lineRule="exact"/>
        <w:rPr>
          <w:rFonts w:ascii="Times New Roman" w:cs="Times New Roman" w:eastAsia="Times New Roman" w:hAnsi="Times New Roman"/>
          <w:sz w:val="21"/>
          <w:szCs w:val="21"/>
          <w:color w:val="auto"/>
        </w:rPr>
      </w:pPr>
    </w:p>
    <w:p>
      <w:pPr>
        <w:jc w:val="both"/>
        <w:spacing w:after="0" w:line="235"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pharmaceuticals, medical, veterinary, environmental, waste management, or to the food industry.</w:t>
      </w:r>
    </w:p>
    <w:p>
      <w:pPr>
        <w:spacing w:after="0" w:line="291"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3"/>
          <w:szCs w:val="23"/>
          <w:b w:val="1"/>
          <w:bCs w:val="1"/>
          <w:i w:val="1"/>
          <w:iCs w:val="1"/>
          <w:color w:val="auto"/>
        </w:rPr>
        <w:t xml:space="preserve">Note: </w:t>
      </w:r>
      <w:r>
        <w:rPr>
          <w:rFonts w:ascii="Times New Roman" w:cs="Times New Roman" w:eastAsia="Times New Roman" w:hAnsi="Times New Roman"/>
          <w:sz w:val="23"/>
          <w:szCs w:val="23"/>
          <w:i w:val="1"/>
          <w:iCs w:val="1"/>
          <w:color w:val="auto"/>
        </w:rPr>
        <w:t>This entry (1A995) does not control</w:t>
      </w:r>
      <w:r>
        <w:rPr>
          <w:rFonts w:ascii="Times New Roman" w:cs="Times New Roman" w:eastAsia="Times New Roman" w:hAnsi="Times New Roman"/>
          <w:sz w:val="23"/>
          <w:szCs w:val="23"/>
          <w:b w:val="1"/>
          <w:bCs w:val="1"/>
          <w:i w:val="1"/>
          <w:iCs w:val="1"/>
          <w:color w:val="auto"/>
        </w:rPr>
        <w:t xml:space="preserve"> </w:t>
      </w:r>
      <w:r>
        <w:rPr>
          <w:rFonts w:ascii="Times New Roman" w:cs="Times New Roman" w:eastAsia="Times New Roman" w:hAnsi="Times New Roman"/>
          <w:sz w:val="23"/>
          <w:szCs w:val="23"/>
          <w:i w:val="1"/>
          <w:iCs w:val="1"/>
          <w:color w:val="auto"/>
        </w:rPr>
        <w:t>items for protection against chemical or biological agents that are consumer goods, packaged for retail sale or personal use, or</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4"/>
          <w:szCs w:val="24"/>
          <w:i w:val="1"/>
          <w:iCs w:val="1"/>
          <w:color w:val="auto"/>
        </w:rPr>
        <w:t>medical products, such as latex exam gloves, latex surgical gloves, liquid disinfectant soap, disposable surgical drapes, surgical gowns, surgical foot covers, and surgical masks. Such items are classified as EAR99</w:t>
      </w:r>
      <w:r>
        <w:rPr>
          <w:rFonts w:ascii="Times New Roman" w:cs="Times New Roman" w:eastAsia="Times New Roman" w:hAnsi="Times New Roman"/>
          <w:sz w:val="24"/>
          <w:szCs w:val="24"/>
          <w:color w:val="auto"/>
        </w:rPr>
        <w:t>.</w:t>
      </w:r>
    </w:p>
    <w:p>
      <w:pPr>
        <w:spacing w:after="0" w:line="200" w:lineRule="exact"/>
        <w:rPr>
          <w:sz w:val="20"/>
          <w:szCs w:val="20"/>
          <w:color w:val="auto"/>
        </w:rPr>
      </w:pPr>
    </w:p>
    <w:p>
      <w:pPr>
        <w:spacing w:after="0" w:line="32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1A999 Specific processing equipment, n.e.s.,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North Korea</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for anti-terrorism reasons. The Commerce Country Chart is not designed to determine AT licensing requirements for this entry. See §742.19 of the EAR for additional information.</w:t>
      </w:r>
    </w:p>
    <w:p>
      <w:pPr>
        <w:spacing w:after="0" w:line="270"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Radiation detection, monitoring and measurement equipment, n.e.s.;</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Radiographic detection equipment such as x-ray converters, and storage phosphor image plates.</w:t>
      </w:r>
    </w:p>
    <w:p>
      <w:pPr>
        <w:spacing w:after="0" w:line="200" w:lineRule="exact"/>
        <w:rPr>
          <w:sz w:val="20"/>
          <w:szCs w:val="20"/>
          <w:color w:val="auto"/>
        </w:rPr>
      </w:pPr>
    </w:p>
    <w:p>
      <w:pPr>
        <w:spacing w:after="0" w:line="320" w:lineRule="exact"/>
        <w:rPr>
          <w:sz w:val="20"/>
          <w:szCs w:val="20"/>
          <w:color w:val="auto"/>
        </w:rPr>
      </w:pPr>
    </w:p>
    <w:p>
      <w:pPr>
        <w:ind w:left="600" w:right="600" w:firstLine="80"/>
        <w:spacing w:after="0" w:line="250" w:lineRule="auto"/>
        <w:tabs>
          <w:tab w:leader="none" w:pos="1076" w:val="left"/>
        </w:tabs>
        <w:numPr>
          <w:ilvl w:val="0"/>
          <w:numId w:val="37"/>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TEST, INSPECTION AND “PRODUCTION EQUIPMENT”</w:t>
      </w:r>
    </w:p>
    <w:p>
      <w:pPr>
        <w:spacing w:after="0" w:line="200" w:lineRule="exact"/>
        <w:rPr>
          <w:sz w:val="20"/>
          <w:szCs w:val="20"/>
          <w:color w:val="auto"/>
        </w:rPr>
      </w:pPr>
    </w:p>
    <w:p>
      <w:pPr>
        <w:spacing w:after="0" w:line="30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1B001 Equipment for the production or inspection of “composite” structures or</w:t>
      </w:r>
    </w:p>
    <w:p>
      <w:pPr>
        <w:spacing w:after="0" w:line="239"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16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6" w:name="page17"/>
    <w:bookmarkEnd w:id="1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17</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laminates controlled by 1A002 or “fibrous or filamentary materials” controlled by 1C010, as follows (see List of Items Controlled), and “specially designed” “components” and “accessories” therefor.</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tbl>
      <w:tblPr>
        <w:tblLayout w:type="fixed"/>
        <w:tblInd w:w="110" w:type="dxa"/>
        <w:tblCellMar>
          <w:top w:w="0" w:type="dxa"/>
          <w:left w:w="0" w:type="dxa"/>
          <w:bottom w:w="0" w:type="dxa"/>
          <w:right w:w="0" w:type="dxa"/>
        </w:tblCellMar>
      </w:tblPr>
      <w:tr>
        <w:trPr>
          <w:trHeight w:val="253"/>
        </w:trPr>
        <w:tc>
          <w:tcPr>
            <w:tcW w:w="2220" w:type="dxa"/>
            <w:vAlign w:val="bottom"/>
            <w:gridSpan w:val="3"/>
          </w:tcPr>
          <w:p>
            <w:pPr>
              <w:ind w:left="2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020" w:type="dxa"/>
            <w:vAlign w:val="bottom"/>
            <w:gridSpan w:val="2"/>
          </w:tcPr>
          <w:p>
            <w:pPr>
              <w:ind w:left="60"/>
              <w:spacing w:after="0"/>
              <w:rPr>
                <w:sz w:val="20"/>
                <w:szCs w:val="20"/>
                <w:color w:val="auto"/>
              </w:rPr>
            </w:pPr>
            <w:r>
              <w:rPr>
                <w:rFonts w:ascii="Times New Roman" w:cs="Times New Roman" w:eastAsia="Times New Roman" w:hAnsi="Times New Roman"/>
                <w:sz w:val="22"/>
                <w:szCs w:val="22"/>
                <w:color w:val="auto"/>
              </w:rPr>
              <w:t>NS, MT, NP, AT</w:t>
            </w:r>
          </w:p>
        </w:tc>
        <w:tc>
          <w:tcPr>
            <w:tcW w:w="0" w:type="dxa"/>
            <w:vAlign w:val="bottom"/>
          </w:tcPr>
          <w:p>
            <w:pPr>
              <w:spacing w:after="0"/>
              <w:rPr>
                <w:sz w:val="1"/>
                <w:szCs w:val="1"/>
                <w:color w:val="auto"/>
              </w:rPr>
            </w:pPr>
          </w:p>
        </w:tc>
      </w:tr>
      <w:tr>
        <w:trPr>
          <w:trHeight w:val="508"/>
        </w:trPr>
        <w:tc>
          <w:tcPr>
            <w:tcW w:w="640" w:type="dxa"/>
            <w:vAlign w:val="bottom"/>
            <w:tcBorders>
              <w:bottom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520" w:type="dxa"/>
            <w:vAlign w:val="bottom"/>
            <w:tcBorders>
              <w:bottom w:val="single" w:sz="8" w:color="auto"/>
            </w:tcBorders>
          </w:tcPr>
          <w:p>
            <w:pPr>
              <w:spacing w:after="0"/>
              <w:rPr>
                <w:sz w:val="24"/>
                <w:szCs w:val="24"/>
                <w:color w:val="auto"/>
              </w:rPr>
            </w:pPr>
          </w:p>
        </w:tc>
        <w:tc>
          <w:tcPr>
            <w:tcW w:w="150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2"/>
        </w:trPr>
        <w:tc>
          <w:tcPr>
            <w:tcW w:w="640" w:type="dxa"/>
            <w:vAlign w:val="bottom"/>
            <w:tcBorders>
              <w:left w:val="single" w:sz="8" w:color="auto"/>
            </w:tcBorders>
          </w:tcPr>
          <w:p>
            <w:pPr>
              <w:spacing w:after="0"/>
              <w:rPr>
                <w:sz w:val="21"/>
                <w:szCs w:val="21"/>
                <w:color w:val="auto"/>
              </w:rPr>
            </w:pPr>
          </w:p>
        </w:tc>
        <w:tc>
          <w:tcPr>
            <w:tcW w:w="72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520" w:type="dxa"/>
            <w:vAlign w:val="bottom"/>
            <w:tcBorders>
              <w:right w:val="single" w:sz="8" w:color="auto"/>
            </w:tcBorders>
          </w:tcPr>
          <w:p>
            <w:pPr>
              <w:spacing w:after="0"/>
              <w:rPr>
                <w:sz w:val="21"/>
                <w:szCs w:val="21"/>
                <w:color w:val="auto"/>
              </w:rPr>
            </w:pPr>
          </w:p>
        </w:tc>
        <w:tc>
          <w:tcPr>
            <w:tcW w:w="1500" w:type="dxa"/>
            <w:vAlign w:val="bottom"/>
            <w:tcBorders>
              <w:right w:val="single" w:sz="8" w:color="auto"/>
            </w:tcBorders>
          </w:tcPr>
          <w:p>
            <w:pPr>
              <w:jc w:val="center"/>
              <w:spacing w:after="0" w:line="242" w:lineRule="exact"/>
              <w:rPr>
                <w:sz w:val="20"/>
                <w:szCs w:val="20"/>
                <w:color w:val="auto"/>
              </w:rPr>
            </w:pPr>
            <w:r>
              <w:rPr>
                <w:rFonts w:ascii="Times New Roman" w:cs="Times New Roman" w:eastAsia="Times New Roman" w:hAnsi="Times New Roman"/>
                <w:sz w:val="22"/>
                <w:szCs w:val="22"/>
                <w:i w:val="1"/>
                <w:iCs w:val="1"/>
                <w:color w:val="auto"/>
                <w:w w:val="99"/>
              </w:rPr>
              <w:t>Country</w:t>
            </w:r>
          </w:p>
        </w:tc>
        <w:tc>
          <w:tcPr>
            <w:tcW w:w="0" w:type="dxa"/>
            <w:vAlign w:val="bottom"/>
          </w:tcPr>
          <w:p>
            <w:pPr>
              <w:spacing w:after="0"/>
              <w:rPr>
                <w:sz w:val="1"/>
                <w:szCs w:val="1"/>
                <w:color w:val="auto"/>
              </w:rPr>
            </w:pPr>
          </w:p>
        </w:tc>
      </w:tr>
      <w:tr>
        <w:trPr>
          <w:trHeight w:val="252"/>
        </w:trPr>
        <w:tc>
          <w:tcPr>
            <w:tcW w:w="640" w:type="dxa"/>
            <w:vAlign w:val="bottom"/>
            <w:tcBorders>
              <w:left w:val="single" w:sz="8" w:color="auto"/>
            </w:tcBorders>
          </w:tcPr>
          <w:p>
            <w:pPr>
              <w:spacing w:after="0"/>
              <w:rPr>
                <w:sz w:val="21"/>
                <w:szCs w:val="21"/>
                <w:color w:val="auto"/>
              </w:rPr>
            </w:pPr>
          </w:p>
        </w:tc>
        <w:tc>
          <w:tcPr>
            <w:tcW w:w="1580" w:type="dxa"/>
            <w:vAlign w:val="bottom"/>
            <w:gridSpan w:val="2"/>
            <w:vMerge w:val="restart"/>
          </w:tcPr>
          <w:p>
            <w:pPr>
              <w:ind w:left="2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520" w:type="dxa"/>
            <w:vAlign w:val="bottom"/>
            <w:tcBorders>
              <w:right w:val="single" w:sz="8" w:color="auto"/>
            </w:tcBorders>
          </w:tcPr>
          <w:p>
            <w:pPr>
              <w:spacing w:after="0"/>
              <w:rPr>
                <w:sz w:val="21"/>
                <w:szCs w:val="21"/>
                <w:color w:val="auto"/>
              </w:rPr>
            </w:pPr>
          </w:p>
        </w:tc>
        <w:tc>
          <w:tcPr>
            <w:tcW w:w="15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Chart (See</w:t>
            </w:r>
          </w:p>
        </w:tc>
        <w:tc>
          <w:tcPr>
            <w:tcW w:w="0" w:type="dxa"/>
            <w:vAlign w:val="bottom"/>
          </w:tcPr>
          <w:p>
            <w:pPr>
              <w:spacing w:after="0"/>
              <w:rPr>
                <w:sz w:val="1"/>
                <w:szCs w:val="1"/>
                <w:color w:val="auto"/>
              </w:rPr>
            </w:pPr>
          </w:p>
        </w:tc>
      </w:tr>
      <w:tr>
        <w:trPr>
          <w:trHeight w:val="127"/>
        </w:trPr>
        <w:tc>
          <w:tcPr>
            <w:tcW w:w="640" w:type="dxa"/>
            <w:vAlign w:val="bottom"/>
            <w:tcBorders>
              <w:left w:val="single" w:sz="8" w:color="auto"/>
            </w:tcBorders>
          </w:tcPr>
          <w:p>
            <w:pPr>
              <w:spacing w:after="0"/>
              <w:rPr>
                <w:sz w:val="11"/>
                <w:szCs w:val="11"/>
                <w:color w:val="auto"/>
              </w:rPr>
            </w:pPr>
          </w:p>
        </w:tc>
        <w:tc>
          <w:tcPr>
            <w:tcW w:w="1580" w:type="dxa"/>
            <w:vAlign w:val="bottom"/>
            <w:gridSpan w:val="2"/>
            <w:vMerge w:val="continue"/>
          </w:tcPr>
          <w:p>
            <w:pPr>
              <w:spacing w:after="0"/>
              <w:rPr>
                <w:sz w:val="11"/>
                <w:szCs w:val="11"/>
                <w:color w:val="auto"/>
              </w:rPr>
            </w:pPr>
          </w:p>
        </w:tc>
        <w:tc>
          <w:tcPr>
            <w:tcW w:w="520" w:type="dxa"/>
            <w:vAlign w:val="bottom"/>
            <w:tcBorders>
              <w:right w:val="single" w:sz="8" w:color="auto"/>
            </w:tcBorders>
          </w:tcPr>
          <w:p>
            <w:pPr>
              <w:spacing w:after="0"/>
              <w:rPr>
                <w:sz w:val="11"/>
                <w:szCs w:val="11"/>
                <w:color w:val="auto"/>
              </w:rPr>
            </w:pPr>
          </w:p>
        </w:tc>
        <w:tc>
          <w:tcPr>
            <w:tcW w:w="150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w:t>
            </w:r>
          </w:p>
        </w:tc>
        <w:tc>
          <w:tcPr>
            <w:tcW w:w="0" w:type="dxa"/>
            <w:vAlign w:val="bottom"/>
          </w:tcPr>
          <w:p>
            <w:pPr>
              <w:spacing w:after="0"/>
              <w:rPr>
                <w:sz w:val="1"/>
                <w:szCs w:val="1"/>
                <w:color w:val="auto"/>
              </w:rPr>
            </w:pPr>
          </w:p>
        </w:tc>
      </w:tr>
      <w:tr>
        <w:trPr>
          <w:trHeight w:val="126"/>
        </w:trPr>
        <w:tc>
          <w:tcPr>
            <w:tcW w:w="640" w:type="dxa"/>
            <w:vAlign w:val="bottom"/>
            <w:tcBorders>
              <w:left w:val="single" w:sz="8" w:color="auto"/>
            </w:tcBorders>
          </w:tcPr>
          <w:p>
            <w:pPr>
              <w:spacing w:after="0"/>
              <w:rPr>
                <w:sz w:val="10"/>
                <w:szCs w:val="10"/>
                <w:color w:val="auto"/>
              </w:rPr>
            </w:pPr>
          </w:p>
        </w:tc>
        <w:tc>
          <w:tcPr>
            <w:tcW w:w="720" w:type="dxa"/>
            <w:vAlign w:val="bottom"/>
          </w:tcPr>
          <w:p>
            <w:pPr>
              <w:spacing w:after="0"/>
              <w:rPr>
                <w:sz w:val="10"/>
                <w:szCs w:val="10"/>
                <w:color w:val="auto"/>
              </w:rPr>
            </w:pPr>
          </w:p>
        </w:tc>
        <w:tc>
          <w:tcPr>
            <w:tcW w:w="860" w:type="dxa"/>
            <w:vAlign w:val="bottom"/>
          </w:tcPr>
          <w:p>
            <w:pPr>
              <w:spacing w:after="0"/>
              <w:rPr>
                <w:sz w:val="10"/>
                <w:szCs w:val="10"/>
                <w:color w:val="auto"/>
              </w:rPr>
            </w:pPr>
          </w:p>
        </w:tc>
        <w:tc>
          <w:tcPr>
            <w:tcW w:w="520" w:type="dxa"/>
            <w:vAlign w:val="bottom"/>
            <w:tcBorders>
              <w:right w:val="single" w:sz="8" w:color="auto"/>
            </w:tcBorders>
          </w:tcPr>
          <w:p>
            <w:pPr>
              <w:spacing w:after="0"/>
              <w:rPr>
                <w:sz w:val="10"/>
                <w:szCs w:val="10"/>
                <w:color w:val="auto"/>
              </w:rPr>
            </w:pPr>
          </w:p>
        </w:tc>
        <w:tc>
          <w:tcPr>
            <w:tcW w:w="150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54"/>
        </w:trPr>
        <w:tc>
          <w:tcPr>
            <w:tcW w:w="640" w:type="dxa"/>
            <w:vAlign w:val="bottom"/>
            <w:tcBorders>
              <w:left w:val="single" w:sz="8" w:color="auto"/>
              <w:bottom w:val="single" w:sz="8" w:color="auto"/>
            </w:tcBorders>
          </w:tcPr>
          <w:p>
            <w:pPr>
              <w:spacing w:after="0"/>
              <w:rPr>
                <w:sz w:val="22"/>
                <w:szCs w:val="22"/>
                <w:color w:val="auto"/>
              </w:rPr>
            </w:pPr>
          </w:p>
        </w:tc>
        <w:tc>
          <w:tcPr>
            <w:tcW w:w="720" w:type="dxa"/>
            <w:vAlign w:val="bottom"/>
            <w:tcBorders>
              <w:bottom w:val="single" w:sz="8" w:color="auto"/>
            </w:tcBorders>
          </w:tcPr>
          <w:p>
            <w:pPr>
              <w:spacing w:after="0"/>
              <w:rPr>
                <w:sz w:val="22"/>
                <w:szCs w:val="22"/>
                <w:color w:val="auto"/>
              </w:rPr>
            </w:pPr>
          </w:p>
        </w:tc>
        <w:tc>
          <w:tcPr>
            <w:tcW w:w="860" w:type="dxa"/>
            <w:vAlign w:val="bottom"/>
            <w:tcBorders>
              <w:bottom w:val="single" w:sz="8" w:color="auto"/>
            </w:tcBorders>
          </w:tcPr>
          <w:p>
            <w:pPr>
              <w:spacing w:after="0"/>
              <w:rPr>
                <w:sz w:val="22"/>
                <w:szCs w:val="22"/>
                <w:color w:val="auto"/>
              </w:rPr>
            </w:pPr>
          </w:p>
        </w:tc>
        <w:tc>
          <w:tcPr>
            <w:tcW w:w="520" w:type="dxa"/>
            <w:vAlign w:val="bottom"/>
            <w:tcBorders>
              <w:bottom w:val="single" w:sz="8" w:color="auto"/>
              <w:right w:val="single" w:sz="8" w:color="auto"/>
            </w:tcBorders>
          </w:tcPr>
          <w:p>
            <w:pPr>
              <w:spacing w:after="0"/>
              <w:rPr>
                <w:sz w:val="22"/>
                <w:szCs w:val="22"/>
                <w:color w:val="auto"/>
              </w:rPr>
            </w:pPr>
          </w:p>
        </w:tc>
        <w:tc>
          <w:tcPr>
            <w:tcW w:w="15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c>
          <w:tcPr>
            <w:tcW w:w="0" w:type="dxa"/>
            <w:vAlign w:val="bottom"/>
          </w:tcPr>
          <w:p>
            <w:pPr>
              <w:spacing w:after="0"/>
              <w:rPr>
                <w:sz w:val="1"/>
                <w:szCs w:val="1"/>
                <w:color w:val="auto"/>
              </w:rPr>
            </w:pPr>
          </w:p>
        </w:tc>
      </w:tr>
      <w:tr>
        <w:trPr>
          <w:trHeight w:val="242"/>
        </w:trPr>
        <w:tc>
          <w:tcPr>
            <w:tcW w:w="2740" w:type="dxa"/>
            <w:vAlign w:val="bottom"/>
            <w:tcBorders>
              <w:left w:val="single" w:sz="8" w:color="auto"/>
              <w:bottom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500" w:type="dxa"/>
            <w:vAlign w:val="bottom"/>
            <w:tcBorders>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NS Column 2</w:t>
            </w:r>
          </w:p>
        </w:tc>
        <w:tc>
          <w:tcPr>
            <w:tcW w:w="0" w:type="dxa"/>
            <w:vAlign w:val="bottom"/>
          </w:tcPr>
          <w:p>
            <w:pPr>
              <w:spacing w:after="0"/>
              <w:rPr>
                <w:sz w:val="1"/>
                <w:szCs w:val="1"/>
                <w:color w:val="auto"/>
              </w:rPr>
            </w:pPr>
          </w:p>
        </w:tc>
      </w:tr>
      <w:tr>
        <w:trPr>
          <w:trHeight w:val="241"/>
        </w:trPr>
        <w:tc>
          <w:tcPr>
            <w:tcW w:w="2740" w:type="dxa"/>
            <w:vAlign w:val="bottom"/>
            <w:tcBorders>
              <w:left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500" w:type="dxa"/>
            <w:vAlign w:val="bottom"/>
            <w:tcBorders>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Column 1</w:t>
            </w: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except 1B001.d.4, e and f.</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4"/>
        </w:trPr>
        <w:tc>
          <w:tcPr>
            <w:tcW w:w="6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b w:val="1"/>
                <w:bCs w:val="1"/>
                <w:color w:val="auto"/>
                <w:w w:val="97"/>
              </w:rPr>
              <w:t>Note:</w:t>
            </w:r>
          </w:p>
        </w:tc>
        <w:tc>
          <w:tcPr>
            <w:tcW w:w="720" w:type="dxa"/>
            <w:vAlign w:val="bottom"/>
          </w:tcPr>
          <w:p>
            <w:pPr>
              <w:ind w:left="280"/>
              <w:spacing w:after="0"/>
              <w:rPr>
                <w:sz w:val="20"/>
                <w:szCs w:val="20"/>
                <w:color w:val="auto"/>
              </w:rPr>
            </w:pPr>
            <w:r>
              <w:rPr>
                <w:rFonts w:ascii="Times New Roman" w:cs="Times New Roman" w:eastAsia="Times New Roman" w:hAnsi="Times New Roman"/>
                <w:sz w:val="22"/>
                <w:szCs w:val="22"/>
                <w:i w:val="1"/>
                <w:iCs w:val="1"/>
                <w:color w:val="auto"/>
              </w:rPr>
              <w:t>MT</w:t>
            </w:r>
          </w:p>
        </w:tc>
        <w:tc>
          <w:tcPr>
            <w:tcW w:w="860" w:type="dxa"/>
            <w:vAlign w:val="bottom"/>
          </w:tcPr>
          <w:p>
            <w:pPr>
              <w:jc w:val="right"/>
              <w:spacing w:after="0"/>
              <w:rPr>
                <w:sz w:val="20"/>
                <w:szCs w:val="20"/>
                <w:color w:val="auto"/>
              </w:rPr>
            </w:pPr>
            <w:r>
              <w:rPr>
                <w:rFonts w:ascii="Times New Roman" w:cs="Times New Roman" w:eastAsia="Times New Roman" w:hAnsi="Times New Roman"/>
                <w:sz w:val="22"/>
                <w:szCs w:val="22"/>
                <w:i w:val="1"/>
                <w:iCs w:val="1"/>
                <w:color w:val="auto"/>
              </w:rPr>
              <w:t>applies</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to</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36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i w:val="1"/>
                <w:iCs w:val="1"/>
                <w:color w:val="auto"/>
              </w:rPr>
              <w:t>equipment  in</w:t>
            </w:r>
          </w:p>
        </w:tc>
        <w:tc>
          <w:tcPr>
            <w:tcW w:w="860" w:type="dxa"/>
            <w:vAlign w:val="bottom"/>
          </w:tcPr>
          <w:p>
            <w:pPr>
              <w:jc w:val="right"/>
              <w:spacing w:after="0"/>
              <w:rPr>
                <w:sz w:val="20"/>
                <w:szCs w:val="20"/>
                <w:color w:val="auto"/>
              </w:rPr>
            </w:pPr>
            <w:r>
              <w:rPr>
                <w:rFonts w:ascii="Times New Roman" w:cs="Times New Roman" w:eastAsia="Times New Roman" w:hAnsi="Times New Roman"/>
                <w:sz w:val="22"/>
                <w:szCs w:val="22"/>
                <w:i w:val="1"/>
                <w:iCs w:val="1"/>
                <w:color w:val="auto"/>
              </w:rPr>
              <w:t>1B001.d</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that</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6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meet</w:t>
            </w:r>
          </w:p>
        </w:tc>
        <w:tc>
          <w:tcPr>
            <w:tcW w:w="720" w:type="dxa"/>
            <w:vAlign w:val="bottom"/>
          </w:tcPr>
          <w:p>
            <w:pPr>
              <w:jc w:val="center"/>
              <w:spacing w:after="0"/>
              <w:rPr>
                <w:sz w:val="20"/>
                <w:szCs w:val="20"/>
                <w:color w:val="auto"/>
              </w:rPr>
            </w:pPr>
            <w:r>
              <w:rPr>
                <w:rFonts w:ascii="Times New Roman" w:cs="Times New Roman" w:eastAsia="Times New Roman" w:hAnsi="Times New Roman"/>
                <w:sz w:val="22"/>
                <w:szCs w:val="22"/>
                <w:i w:val="1"/>
                <w:iCs w:val="1"/>
                <w:color w:val="auto"/>
              </w:rPr>
              <w:t>or</w:t>
            </w:r>
          </w:p>
        </w:tc>
        <w:tc>
          <w:tcPr>
            <w:tcW w:w="860" w:type="dxa"/>
            <w:vAlign w:val="bottom"/>
          </w:tcPr>
          <w:p>
            <w:pPr>
              <w:jc w:val="right"/>
              <w:ind w:right="90"/>
              <w:spacing w:after="0"/>
              <w:rPr>
                <w:sz w:val="20"/>
                <w:szCs w:val="20"/>
                <w:color w:val="auto"/>
              </w:rPr>
            </w:pPr>
            <w:r>
              <w:rPr>
                <w:rFonts w:ascii="Times New Roman" w:cs="Times New Roman" w:eastAsia="Times New Roman" w:hAnsi="Times New Roman"/>
                <w:sz w:val="22"/>
                <w:szCs w:val="22"/>
                <w:i w:val="1"/>
                <w:iCs w:val="1"/>
                <w:color w:val="auto"/>
              </w:rPr>
              <w:t>exceed</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the</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220" w:type="dxa"/>
            <w:vAlign w:val="bottom"/>
            <w:tcBorders>
              <w:left w:val="single" w:sz="8" w:color="auto"/>
              <w:bottom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i w:val="1"/>
                <w:iCs w:val="1"/>
                <w:color w:val="auto"/>
              </w:rPr>
              <w:t>parameters of 1B101.</w:t>
            </w:r>
          </w:p>
        </w:tc>
        <w:tc>
          <w:tcPr>
            <w:tcW w:w="520" w:type="dxa"/>
            <w:vAlign w:val="bottom"/>
            <w:tcBorders>
              <w:bottom w:val="single" w:sz="8" w:color="auto"/>
              <w:right w:val="single" w:sz="8" w:color="auto"/>
            </w:tcBorders>
          </w:tcPr>
          <w:p>
            <w:pPr>
              <w:spacing w:after="0"/>
              <w:rPr>
                <w:sz w:val="22"/>
                <w:szCs w:val="22"/>
                <w:color w:val="auto"/>
              </w:rPr>
            </w:pPr>
          </w:p>
        </w:tc>
        <w:tc>
          <w:tcPr>
            <w:tcW w:w="15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2"/>
        </w:trPr>
        <w:tc>
          <w:tcPr>
            <w:tcW w:w="640" w:type="dxa"/>
            <w:vAlign w:val="bottom"/>
            <w:tcBorders>
              <w:lef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NP</w:t>
            </w:r>
          </w:p>
        </w:tc>
        <w:tc>
          <w:tcPr>
            <w:tcW w:w="720" w:type="dxa"/>
            <w:vAlign w:val="bottom"/>
          </w:tcPr>
          <w:p>
            <w:pPr>
              <w:jc w:val="center"/>
              <w:spacing w:after="0" w:line="242" w:lineRule="exact"/>
              <w:rPr>
                <w:sz w:val="20"/>
                <w:szCs w:val="20"/>
                <w:color w:val="auto"/>
              </w:rPr>
            </w:pPr>
            <w:r>
              <w:rPr>
                <w:rFonts w:ascii="Times New Roman" w:cs="Times New Roman" w:eastAsia="Times New Roman" w:hAnsi="Times New Roman"/>
                <w:sz w:val="22"/>
                <w:szCs w:val="22"/>
                <w:color w:val="auto"/>
                <w:w w:val="99"/>
              </w:rPr>
              <w:t>applies</w:t>
            </w:r>
          </w:p>
        </w:tc>
        <w:tc>
          <w:tcPr>
            <w:tcW w:w="1380" w:type="dxa"/>
            <w:vAlign w:val="bottom"/>
            <w:tcBorders>
              <w:right w:val="single" w:sz="8" w:color="auto"/>
            </w:tcBorders>
            <w:gridSpan w:val="2"/>
          </w:tcPr>
          <w:p>
            <w:pPr>
              <w:jc w:val="right"/>
              <w:ind w:right="10"/>
              <w:spacing w:after="0" w:line="242" w:lineRule="exact"/>
              <w:rPr>
                <w:sz w:val="20"/>
                <w:szCs w:val="20"/>
                <w:color w:val="auto"/>
              </w:rPr>
            </w:pPr>
            <w:r>
              <w:rPr>
                <w:rFonts w:ascii="Times New Roman" w:cs="Times New Roman" w:eastAsia="Times New Roman" w:hAnsi="Times New Roman"/>
                <w:sz w:val="22"/>
                <w:szCs w:val="22"/>
                <w:color w:val="auto"/>
              </w:rPr>
              <w:t>to   filament</w:t>
            </w:r>
          </w:p>
        </w:tc>
        <w:tc>
          <w:tcPr>
            <w:tcW w:w="1500" w:type="dxa"/>
            <w:vAlign w:val="bottom"/>
            <w:tcBorders>
              <w:right w:val="single" w:sz="8" w:color="auto"/>
            </w:tcBorders>
          </w:tcPr>
          <w:p>
            <w:pPr>
              <w:jc w:val="center"/>
              <w:spacing w:after="0" w:line="242" w:lineRule="exact"/>
              <w:rPr>
                <w:sz w:val="20"/>
                <w:szCs w:val="20"/>
                <w:color w:val="auto"/>
              </w:rPr>
            </w:pPr>
            <w:r>
              <w:rPr>
                <w:rFonts w:ascii="Times New Roman" w:cs="Times New Roman" w:eastAsia="Times New Roman" w:hAnsi="Times New Roman"/>
                <w:sz w:val="22"/>
                <w:szCs w:val="22"/>
                <w:color w:val="auto"/>
                <w:w w:val="99"/>
              </w:rPr>
              <w:t>NP Column 1</w:t>
            </w:r>
          </w:p>
        </w:tc>
        <w:tc>
          <w:tcPr>
            <w:tcW w:w="0" w:type="dxa"/>
            <w:vAlign w:val="bottom"/>
          </w:tcPr>
          <w:p>
            <w:pPr>
              <w:spacing w:after="0"/>
              <w:rPr>
                <w:sz w:val="1"/>
                <w:szCs w:val="1"/>
                <w:color w:val="auto"/>
              </w:rPr>
            </w:pPr>
          </w:p>
        </w:tc>
      </w:tr>
      <w:tr>
        <w:trPr>
          <w:trHeight w:val="252"/>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winding machines described</w:t>
            </w:r>
          </w:p>
        </w:tc>
        <w:tc>
          <w:tcPr>
            <w:tcW w:w="15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in 1B001.a that are capable</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4"/>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of winding cylindrical rotors</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having a diameter between</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75 mm (3 in) and 400 mm</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2"/>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(16 in) and lengths of 600</w:t>
            </w:r>
          </w:p>
        </w:tc>
        <w:tc>
          <w:tcPr>
            <w:tcW w:w="15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220" w:type="dxa"/>
            <w:vAlign w:val="bottom"/>
            <w:tcBorders>
              <w:left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mm (24 in) or greater;</w:t>
            </w:r>
          </w:p>
        </w:tc>
        <w:tc>
          <w:tcPr>
            <w:tcW w:w="520" w:type="dxa"/>
            <w:vAlign w:val="bottom"/>
            <w:tcBorders>
              <w:right w:val="single" w:sz="8" w:color="auto"/>
            </w:tcBorders>
          </w:tcPr>
          <w:p>
            <w:pPr>
              <w:spacing w:after="0"/>
              <w:rPr>
                <w:sz w:val="22"/>
                <w:szCs w:val="22"/>
                <w:color w:val="auto"/>
              </w:rPr>
            </w:pP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6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AND</w:t>
            </w:r>
          </w:p>
        </w:tc>
        <w:tc>
          <w:tcPr>
            <w:tcW w:w="1580" w:type="dxa"/>
            <w:vAlign w:val="bottom"/>
            <w:gridSpan w:val="2"/>
          </w:tcPr>
          <w:p>
            <w:pPr>
              <w:ind w:left="260"/>
              <w:spacing w:after="0"/>
              <w:rPr>
                <w:sz w:val="20"/>
                <w:szCs w:val="20"/>
                <w:color w:val="auto"/>
              </w:rPr>
            </w:pPr>
            <w:r>
              <w:rPr>
                <w:rFonts w:ascii="Times New Roman" w:cs="Times New Roman" w:eastAsia="Times New Roman" w:hAnsi="Times New Roman"/>
                <w:sz w:val="22"/>
                <w:szCs w:val="22"/>
                <w:color w:val="auto"/>
              </w:rPr>
              <w:t>coordinating</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and</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36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programming</w:t>
            </w:r>
          </w:p>
        </w:tc>
        <w:tc>
          <w:tcPr>
            <w:tcW w:w="8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controls</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and</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precision mandrels for these</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5"/>
        </w:trPr>
        <w:tc>
          <w:tcPr>
            <w:tcW w:w="2740" w:type="dxa"/>
            <w:vAlign w:val="bottom"/>
            <w:tcBorders>
              <w:left w:val="single" w:sz="8" w:color="auto"/>
              <w:bottom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filament winding machines</w:t>
            </w:r>
          </w:p>
        </w:tc>
        <w:tc>
          <w:tcPr>
            <w:tcW w:w="15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3"/>
        </w:trPr>
        <w:tc>
          <w:tcPr>
            <w:tcW w:w="2740" w:type="dxa"/>
            <w:vAlign w:val="bottom"/>
            <w:tcBorders>
              <w:left w:val="single" w:sz="8" w:color="auto"/>
              <w:bottom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00" w:type="dxa"/>
            <w:vAlign w:val="bottom"/>
            <w:tcBorders>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Column 1</w:t>
            </w:r>
          </w:p>
        </w:tc>
        <w:tc>
          <w:tcPr>
            <w:tcW w:w="0" w:type="dxa"/>
            <w:vAlign w:val="bottom"/>
          </w:tcPr>
          <w:p>
            <w:pPr>
              <w:spacing w:after="0"/>
              <w:rPr>
                <w:sz w:val="1"/>
                <w:szCs w:val="1"/>
                <w:color w:val="auto"/>
              </w:rPr>
            </w:pPr>
          </w:p>
        </w:tc>
      </w:tr>
    </w:tbl>
    <w:p>
      <w:pPr>
        <w:spacing w:after="0" w:line="26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7" w:lineRule="exact"/>
        <w:rPr>
          <w:sz w:val="20"/>
          <w:szCs w:val="20"/>
          <w:color w:val="auto"/>
        </w:rPr>
      </w:pPr>
    </w:p>
    <w:p>
      <w:pPr>
        <w:ind w:left="1080" w:right="620" w:hanging="719"/>
        <w:spacing w:after="0" w:line="234"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 for MT and for 1B001.a; $5000 for all other items</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software for items controlled by this entry and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1E101</w:t>
      </w:r>
      <w:r>
        <w:rPr>
          <w:rFonts w:ascii="Times New Roman" w:cs="Times New Roman" w:eastAsia="Times New Roman" w:hAnsi="Times New Roman"/>
          <w:sz w:val="22"/>
          <w:szCs w:val="22"/>
          <w:color w:val="auto"/>
        </w:rPr>
        <w:t xml:space="preserve"> (“use”) for</w:t>
      </w:r>
    </w:p>
    <w:p>
      <w:pPr>
        <w:spacing w:after="0" w:line="20" w:lineRule="exact"/>
        <w:rPr>
          <w:sz w:val="20"/>
          <w:szCs w:val="20"/>
          <w:color w:val="auto"/>
        </w:rPr>
      </w:pPr>
      <w:r>
        <w:rPr>
          <w:sz w:val="20"/>
          <w:szCs w:val="20"/>
          <w:color w:val="auto"/>
        </w:rPr>
        <w:br w:type="column"/>
      </w:r>
    </w:p>
    <w:p>
      <w:pPr>
        <w:spacing w:after="0" w:line="26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color w:val="auto"/>
        </w:rPr>
        <w:t>technology for items controlled by this entry.</w:t>
      </w:r>
    </w:p>
    <w:p>
      <w:pPr>
        <w:spacing w:after="0" w:line="13" w:lineRule="exact"/>
        <w:rPr>
          <w:sz w:val="20"/>
          <w:szCs w:val="20"/>
          <w:color w:val="auto"/>
        </w:rPr>
      </w:pPr>
    </w:p>
    <w:p>
      <w:pPr>
        <w:ind w:left="360" w:right="460" w:firstLine="1"/>
        <w:spacing w:after="0" w:line="234" w:lineRule="auto"/>
        <w:tabs>
          <w:tab w:leader="none" w:pos="671" w:val="left"/>
        </w:tabs>
        <w:numPr>
          <w:ilvl w:val="1"/>
          <w:numId w:val="3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Also see ECCNs </w:t>
      </w:r>
      <w:r>
        <w:rPr>
          <w:rFonts w:ascii="Times New Roman" w:cs="Times New Roman" w:eastAsia="Times New Roman" w:hAnsi="Times New Roman"/>
          <w:sz w:val="22"/>
          <w:szCs w:val="22"/>
          <w:u w:val="single" w:color="auto"/>
          <w:color w:val="0000FF"/>
        </w:rPr>
        <w:t>1B101</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1B201</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4" w:lineRule="exact"/>
        <w:rPr>
          <w:rFonts w:ascii="Times New Roman" w:cs="Times New Roman" w:eastAsia="Times New Roman" w:hAnsi="Times New Roman"/>
          <w:sz w:val="22"/>
          <w:szCs w:val="22"/>
          <w:color w:val="auto"/>
        </w:rPr>
      </w:pPr>
    </w:p>
    <w:p>
      <w:pPr>
        <w:jc w:val="both"/>
        <w:ind w:firstLine="1"/>
        <w:spacing w:after="0" w:line="237" w:lineRule="auto"/>
        <w:tabs>
          <w:tab w:leader="none" w:pos="385" w:val="left"/>
        </w:tabs>
        <w:numPr>
          <w:ilvl w:val="0"/>
          <w:numId w:val="3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Filament winding machines, of which the motions for positioning, wrapping and winding fibers are coordinated and programmed in three or more ‘primary servo positioning’ axes, “specially designed” for the manufacture of</w:t>
      </w:r>
    </w:p>
    <w:p>
      <w:pPr>
        <w:spacing w:after="0" w:line="15" w:lineRule="exact"/>
        <w:rPr>
          <w:rFonts w:ascii="Times New Roman" w:cs="Times New Roman" w:eastAsia="Times New Roman" w:hAnsi="Times New Roman"/>
          <w:sz w:val="22"/>
          <w:szCs w:val="22"/>
          <w:color w:val="auto"/>
        </w:rPr>
      </w:pPr>
    </w:p>
    <w:p>
      <w:pPr>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“composite” structures or laminates, from “fibrous or filamentary materials”;</w:t>
      </w:r>
    </w:p>
    <w:p>
      <w:pPr>
        <w:spacing w:after="0" w:line="266" w:lineRule="exact"/>
        <w:rPr>
          <w:rFonts w:ascii="Times New Roman" w:cs="Times New Roman" w:eastAsia="Times New Roman" w:hAnsi="Times New Roman"/>
          <w:sz w:val="22"/>
          <w:szCs w:val="22"/>
          <w:color w:val="auto"/>
        </w:rPr>
      </w:pPr>
    </w:p>
    <w:p>
      <w:pPr>
        <w:jc w:val="both"/>
        <w:ind w:firstLine="1"/>
        <w:spacing w:after="0" w:line="238" w:lineRule="auto"/>
        <w:tabs>
          <w:tab w:leader="none" w:pos="228" w:val="left"/>
        </w:tabs>
        <w:numPr>
          <w:ilvl w:val="0"/>
          <w:numId w:val="3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‘Tape laying machines’, of which the motions for positioning and laying tape are coordinated and programmed in five or more ‘primary servo positioning’ axes, “specially designed” for the manufacture of “composite” airframe or missile structures;</w:t>
      </w:r>
    </w:p>
    <w:p>
      <w:pPr>
        <w:spacing w:after="0" w:line="26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1B001.b, ‘tape-laying machines’ have the ability to lay one or more ‘filament bands’ limited to widths greater than 25.4 mm and less than or equal to 304.8 mm, and to cut and restart individual ‘filament band’ courses during the laying process.</w:t>
      </w:r>
    </w:p>
    <w:p>
      <w:pPr>
        <w:spacing w:after="0" w:line="266" w:lineRule="exact"/>
        <w:rPr>
          <w:sz w:val="20"/>
          <w:szCs w:val="20"/>
          <w:color w:val="auto"/>
        </w:rPr>
      </w:pPr>
    </w:p>
    <w:p>
      <w:pPr>
        <w:jc w:val="both"/>
        <w:ind w:firstLine="1"/>
        <w:spacing w:after="0" w:line="237" w:lineRule="auto"/>
        <w:tabs>
          <w:tab w:leader="none" w:pos="356" w:val="left"/>
        </w:tabs>
        <w:numPr>
          <w:ilvl w:val="0"/>
          <w:numId w:val="4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Multidirectional, multidimensional weaving machines or interlacing machines, including adapters and modification kits, “specially designed” or modified for weaving, interlacing or braiding fibers for “composite” structures;</w:t>
      </w:r>
    </w:p>
    <w:p>
      <w:pPr>
        <w:spacing w:after="0" w:line="270" w:lineRule="exact"/>
        <w:rPr>
          <w:sz w:val="20"/>
          <w:szCs w:val="20"/>
          <w:color w:val="auto"/>
        </w:rPr>
      </w:pPr>
    </w:p>
    <w:p>
      <w:pPr>
        <w:ind w:firstLine="360"/>
        <w:spacing w:after="0" w:line="250"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For the purposes of 1B001.c</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the technique of interlacing includes knitting.</w:t>
      </w:r>
    </w:p>
    <w:p>
      <w:pPr>
        <w:spacing w:after="0" w:line="254" w:lineRule="exact"/>
        <w:rPr>
          <w:sz w:val="20"/>
          <w:szCs w:val="20"/>
          <w:color w:val="auto"/>
        </w:rPr>
      </w:pPr>
    </w:p>
    <w:p>
      <w:pPr>
        <w:jc w:val="both"/>
        <w:ind w:firstLine="1"/>
        <w:spacing w:after="0" w:line="236" w:lineRule="auto"/>
        <w:tabs>
          <w:tab w:leader="none" w:pos="361" w:val="left"/>
        </w:tabs>
        <w:numPr>
          <w:ilvl w:val="0"/>
          <w:numId w:val="4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or adapted for the production of reinforcement fibers, as follows:</w:t>
      </w:r>
    </w:p>
    <w:p>
      <w:pPr>
        <w:spacing w:after="0" w:line="267"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d.1. Equipment for converting polymeric fibers (such as polyacrylonitrile, rayon, pitch or polycarbosilane) into carbon fibers or silicon carbide fibers, including special equipment to strain the fiber during heating;</w:t>
      </w:r>
    </w:p>
    <w:p>
      <w:pPr>
        <w:spacing w:after="0" w:line="269"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d.2. Equipment for the chemical vapor deposition of elements or compounds, on heated</w:t>
      </w:r>
    </w:p>
    <w:p>
      <w:pPr>
        <w:spacing w:after="0" w:line="51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7" w:name="page18"/>
    <w:bookmarkEnd w:id="1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18</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filamentary substrates, to manufacture silicon carbide fibers;</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d.3. Equipment for the wet-spinning of refractory ceramics (such as aluminum oxide);</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d.4. Equipment for converting aluminum containing precursor fibers into alumina fibers by heat treatment;</w:t>
      </w:r>
    </w:p>
    <w:p>
      <w:pPr>
        <w:spacing w:after="0" w:line="265" w:lineRule="exact"/>
        <w:rPr>
          <w:sz w:val="20"/>
          <w:szCs w:val="20"/>
          <w:color w:val="auto"/>
        </w:rPr>
      </w:pPr>
    </w:p>
    <w:p>
      <w:pPr>
        <w:spacing w:after="0" w:line="234" w:lineRule="auto"/>
        <w:tabs>
          <w:tab w:leader="none" w:pos="329" w:val="left"/>
        </w:tabs>
        <w:numPr>
          <w:ilvl w:val="0"/>
          <w:numId w:val="4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for producing prepregs controlled by 1C010.e by the hot melt method;</w:t>
      </w:r>
    </w:p>
    <w:p>
      <w:pPr>
        <w:spacing w:after="0" w:line="253" w:lineRule="exact"/>
        <w:rPr>
          <w:rFonts w:ascii="Times New Roman" w:cs="Times New Roman" w:eastAsia="Times New Roman" w:hAnsi="Times New Roman"/>
          <w:sz w:val="22"/>
          <w:szCs w:val="22"/>
          <w:color w:val="auto"/>
        </w:rPr>
      </w:pPr>
    </w:p>
    <w:p>
      <w:pPr>
        <w:ind w:left="440" w:hanging="440"/>
        <w:spacing w:after="0"/>
        <w:tabs>
          <w:tab w:leader="none" w:pos="440" w:val="left"/>
        </w:tabs>
        <w:numPr>
          <w:ilvl w:val="0"/>
          <w:numId w:val="4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Non-destructiveinspection</w:t>
      </w:r>
      <w:r>
        <w:rPr>
          <w:rFonts w:ascii="Times New Roman" w:cs="Times New Roman" w:eastAsia="Times New Roman" w:hAnsi="Times New Roman"/>
          <w:sz w:val="21"/>
          <w:szCs w:val="21"/>
          <w:color w:val="auto"/>
        </w:rPr>
        <w:t>equipment</w:t>
      </w:r>
    </w:p>
    <w:p>
      <w:pPr>
        <w:spacing w:after="0" w:line="12" w:lineRule="exact"/>
        <w:rPr>
          <w:rFonts w:ascii="Times New Roman" w:cs="Times New Roman" w:eastAsia="Times New Roman" w:hAnsi="Times New Roman"/>
          <w:sz w:val="22"/>
          <w:szCs w:val="22"/>
          <w:color w:val="auto"/>
        </w:rPr>
      </w:pPr>
    </w:p>
    <w:p>
      <w:pPr>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“specially designed” for “composite” materials, as follows: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f.1. X-ray tomography systems for three dimensional defect inspection;</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f.2. Numerically controlled ultrasonic testing machines of which the motions for positioning transmitters or receivers are simultaneously coordinated and programmed in four or more axes to follow the three dimensional contours of the “part” or “component” under inspection;</w:t>
      </w:r>
    </w:p>
    <w:p>
      <w:pPr>
        <w:spacing w:after="0" w:line="268" w:lineRule="exact"/>
        <w:rPr>
          <w:sz w:val="20"/>
          <w:szCs w:val="20"/>
          <w:color w:val="auto"/>
        </w:rPr>
      </w:pPr>
    </w:p>
    <w:p>
      <w:pPr>
        <w:jc w:val="both"/>
        <w:spacing w:after="0" w:line="236" w:lineRule="auto"/>
        <w:tabs>
          <w:tab w:leader="none" w:pos="472" w:val="left"/>
        </w:tabs>
        <w:numPr>
          <w:ilvl w:val="0"/>
          <w:numId w:val="4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Tow-placement machines, of which the motions for positioning and laying tows are coordinated and programmed in two or more</w:t>
      </w:r>
    </w:p>
    <w:p>
      <w:pPr>
        <w:spacing w:after="0" w:line="13" w:lineRule="exact"/>
        <w:rPr>
          <w:rFonts w:ascii="Times New Roman" w:cs="Times New Roman" w:eastAsia="Times New Roman" w:hAnsi="Times New Roman"/>
          <w:sz w:val="22"/>
          <w:szCs w:val="22"/>
          <w:color w:val="auto"/>
        </w:rPr>
      </w:pPr>
    </w:p>
    <w:p>
      <w:pPr>
        <w:jc w:val="both"/>
        <w:spacing w:after="0" w:line="23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‘primary servo positioning’ axes, “specially designed” for the manufacture of “composite” airframe or missile structures.</w:t>
      </w:r>
    </w:p>
    <w:p>
      <w:pPr>
        <w:spacing w:after="0" w:line="257" w:lineRule="exact"/>
        <w:rPr>
          <w:sz w:val="20"/>
          <w:szCs w:val="20"/>
          <w:color w:val="auto"/>
        </w:rPr>
      </w:pPr>
    </w:p>
    <w:p>
      <w:pPr>
        <w:ind w:left="360"/>
        <w:spacing w:after="0"/>
        <w:tabs>
          <w:tab w:leader="none" w:pos="3040" w:val="left"/>
          <w:tab w:leader="none" w:pos="4040" w:val="left"/>
        </w:tabs>
        <w:rPr>
          <w:sz w:val="20"/>
          <w:szCs w:val="20"/>
          <w:color w:val="auto"/>
        </w:rPr>
      </w:pPr>
      <w:r>
        <w:rPr>
          <w:rFonts w:ascii="Times New Roman" w:cs="Times New Roman" w:eastAsia="Times New Roman" w:hAnsi="Times New Roman"/>
          <w:sz w:val="22"/>
          <w:szCs w:val="22"/>
          <w:b w:val="1"/>
          <w:bCs w:val="1"/>
          <w:i w:val="1"/>
          <w:iCs w:val="1"/>
          <w:color w:val="auto"/>
        </w:rPr>
        <w:t>Technical Note to 1B001.g:</w:t>
      </w:r>
      <w:r>
        <w:rPr>
          <w:sz w:val="20"/>
          <w:szCs w:val="20"/>
          <w:color w:val="auto"/>
        </w:rPr>
        <w:tab/>
      </w:r>
      <w:r>
        <w:rPr>
          <w:rFonts w:ascii="Times New Roman" w:cs="Times New Roman" w:eastAsia="Times New Roman" w:hAnsi="Times New Roman"/>
          <w:sz w:val="22"/>
          <w:szCs w:val="22"/>
          <w:i w:val="1"/>
          <w:iCs w:val="1"/>
          <w:color w:val="auto"/>
        </w:rPr>
        <w:t>For</w:t>
      </w:r>
      <w:r>
        <w:rPr>
          <w:sz w:val="20"/>
          <w:szCs w:val="20"/>
          <w:color w:val="auto"/>
        </w:rPr>
        <w:tab/>
      </w:r>
      <w:r>
        <w:rPr>
          <w:rFonts w:ascii="Times New Roman" w:cs="Times New Roman" w:eastAsia="Times New Roman" w:hAnsi="Times New Roman"/>
          <w:sz w:val="21"/>
          <w:szCs w:val="21"/>
          <w:i w:val="1"/>
          <w:iCs w:val="1"/>
          <w:color w:val="auto"/>
        </w:rPr>
        <w:t>the</w:t>
      </w:r>
    </w:p>
    <w:p>
      <w:pPr>
        <w:spacing w:after="0" w:line="1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i w:val="1"/>
          <w:iCs w:val="1"/>
          <w:color w:val="auto"/>
        </w:rPr>
        <w:t>purposes of 1B001.g, ‘tow-placement machines’ have the ability to place one or more ‘filament bands’ having widths less than or equal to 25.4 mm, and to cut and restart individual ‘filament band’ courses during the placement process..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 for 1B001:</w:t>
      </w:r>
    </w:p>
    <w:p>
      <w:pPr>
        <w:spacing w:after="0" w:line="265" w:lineRule="exact"/>
        <w:rPr>
          <w:sz w:val="20"/>
          <w:szCs w:val="20"/>
          <w:color w:val="auto"/>
        </w:rPr>
      </w:pPr>
    </w:p>
    <w:p>
      <w:pPr>
        <w:jc w:val="both"/>
        <w:spacing w:after="0" w:line="238" w:lineRule="auto"/>
        <w:tabs>
          <w:tab w:leader="none" w:pos="372" w:val="left"/>
        </w:tabs>
        <w:numPr>
          <w:ilvl w:val="0"/>
          <w:numId w:val="44"/>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1B001, ‘primary servo positioning’ axes control, under computer program direction, the position of the end effector (i.e., head) in space relative to the work piece at the correct orientation and direction to achieve the desired process.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2" w:lineRule="exact"/>
        <w:rPr>
          <w:sz w:val="20"/>
          <w:szCs w:val="20"/>
          <w:color w:val="auto"/>
        </w:rPr>
      </w:pPr>
    </w:p>
    <w:p>
      <w:pPr>
        <w:jc w:val="both"/>
        <w:ind w:firstLine="1"/>
        <w:spacing w:after="0" w:line="238" w:lineRule="auto"/>
        <w:tabs>
          <w:tab w:leader="none" w:pos="360" w:val="left"/>
        </w:tabs>
        <w:numPr>
          <w:ilvl w:val="0"/>
          <w:numId w:val="45"/>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purposes of 1B001, a ‘filament band’ is a single continuous width of fully or partially resin-impregnated tape, tow or fiber. Fully or partially resin-impregnated ‘filament bands’ include those coated with dry powder that tacks upon heating.</w:t>
      </w:r>
    </w:p>
    <w:p>
      <w:pPr>
        <w:spacing w:after="0" w:line="200" w:lineRule="exact"/>
        <w:rPr>
          <w:sz w:val="20"/>
          <w:szCs w:val="20"/>
          <w:color w:val="auto"/>
        </w:rPr>
      </w:pPr>
    </w:p>
    <w:p>
      <w:pPr>
        <w:spacing w:after="0" w:line="320"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b w:val="1"/>
          <w:bCs w:val="1"/>
          <w:color w:val="auto"/>
        </w:rPr>
        <w:t>1B002 Equipment for producing metal alloys, metal alloy powder or alloyed materials, “specially designed” to avoid contamination and “specially designed” for use in one of the processes specified in 1C002.c.2.</w:t>
      </w:r>
    </w:p>
    <w:p>
      <w:pPr>
        <w:spacing w:after="0" w:line="200" w:lineRule="exact"/>
        <w:rPr>
          <w:sz w:val="20"/>
          <w:szCs w:val="20"/>
          <w:color w:val="auto"/>
        </w:rPr>
      </w:pPr>
    </w:p>
    <w:p>
      <w:pPr>
        <w:spacing w:after="0" w:line="29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1B003 Tools, dies, molds or fixtures, for “superplastic forming” or “diffusion bonding” titanium, aluminum or their alloys, “specially designed” for the manufacture of any of the following (see List of Items Controlled).</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8" w:name="page19"/>
    <w:bookmarkEnd w:id="1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19</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For</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“specially designed”</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production equipment of systems, sub-systems, and “parts” and “components” controlled by 9A005 to 9A009, 9A011, 9A101, 9A105 to 9A109, 9A111, and 9A116 to 9A120 usable in “missiles,” see 9B115.</w:t>
      </w:r>
    </w:p>
    <w:p>
      <w:pPr>
        <w:ind w:left="360"/>
        <w:spacing w:after="0" w:line="22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320" w:hanging="320"/>
        <w:spacing w:after="0"/>
        <w:tabs>
          <w:tab w:leader="none" w:pos="320"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Airframe or aerospace structures;</w:t>
      </w:r>
    </w:p>
    <w:p>
      <w:pPr>
        <w:spacing w:after="0" w:line="253"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“Aircraft” or aerospace engines;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spacing w:after="0"/>
        <w:tabs>
          <w:tab w:leader="none" w:pos="500" w:val="left"/>
          <w:tab w:leader="none" w:pos="1760" w:val="left"/>
          <w:tab w:leader="none" w:pos="3000" w:val="left"/>
          <w:tab w:leader="none" w:pos="3980" w:val="left"/>
        </w:tabs>
        <w:rPr>
          <w:sz w:val="20"/>
          <w:szCs w:val="20"/>
          <w:color w:val="auto"/>
        </w:rPr>
      </w:pPr>
      <w:r>
        <w:rPr>
          <w:rFonts w:ascii="Times New Roman" w:cs="Times New Roman" w:eastAsia="Times New Roman" w:hAnsi="Times New Roman"/>
          <w:sz w:val="22"/>
          <w:szCs w:val="22"/>
          <w:color w:val="auto"/>
        </w:rPr>
        <w:t>c.</w:t>
      </w:r>
      <w:r>
        <w:rPr>
          <w:sz w:val="20"/>
          <w:szCs w:val="20"/>
          <w:color w:val="auto"/>
        </w:rPr>
        <w:tab/>
      </w:r>
      <w:r>
        <w:rPr>
          <w:rFonts w:ascii="Times New Roman" w:cs="Times New Roman" w:eastAsia="Times New Roman" w:hAnsi="Times New Roman"/>
          <w:sz w:val="22"/>
          <w:szCs w:val="22"/>
          <w:color w:val="auto"/>
        </w:rPr>
        <w:t>“Specially</w:t>
      </w:r>
      <w:r>
        <w:rPr>
          <w:sz w:val="20"/>
          <w:szCs w:val="20"/>
          <w:color w:val="auto"/>
        </w:rPr>
        <w:tab/>
      </w:r>
      <w:r>
        <w:rPr>
          <w:rFonts w:ascii="Times New Roman" w:cs="Times New Roman" w:eastAsia="Times New Roman" w:hAnsi="Times New Roman"/>
          <w:sz w:val="22"/>
          <w:szCs w:val="22"/>
          <w:color w:val="auto"/>
        </w:rPr>
        <w:t>designed”</w:t>
      </w:r>
      <w:r>
        <w:rPr>
          <w:sz w:val="20"/>
          <w:szCs w:val="20"/>
          <w:color w:val="auto"/>
        </w:rPr>
        <w:tab/>
      </w:r>
      <w:r>
        <w:rPr>
          <w:rFonts w:ascii="Times New Roman" w:cs="Times New Roman" w:eastAsia="Times New Roman" w:hAnsi="Times New Roman"/>
          <w:sz w:val="22"/>
          <w:szCs w:val="22"/>
          <w:color w:val="auto"/>
        </w:rPr>
        <w:t>“parts”</w:t>
      </w:r>
      <w:r>
        <w:rPr>
          <w:sz w:val="20"/>
          <w:szCs w:val="20"/>
          <w:color w:val="auto"/>
        </w:rPr>
        <w:tab/>
      </w:r>
      <w:r>
        <w:rPr>
          <w:rFonts w:ascii="Times New Roman" w:cs="Times New Roman" w:eastAsia="Times New Roman" w:hAnsi="Times New Roman"/>
          <w:sz w:val="22"/>
          <w:szCs w:val="22"/>
          <w:color w:val="auto"/>
        </w:rPr>
        <w:t>and</w:t>
      </w:r>
    </w:p>
    <w:p>
      <w:pPr>
        <w:spacing w:after="0" w:line="13"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“components” for structures specified by 1B003.a or for engines specified by 1B003.b.</w:t>
      </w:r>
    </w:p>
    <w:p>
      <w:pPr>
        <w:spacing w:after="0" w:line="200" w:lineRule="exact"/>
        <w:rPr>
          <w:sz w:val="20"/>
          <w:szCs w:val="20"/>
          <w:color w:val="auto"/>
        </w:rPr>
      </w:pPr>
    </w:p>
    <w:p>
      <w:pPr>
        <w:spacing w:after="0" w:line="31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1B018 Items on the Wassenaar Arrangement Munitions List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RS, AT, UN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68580</wp:posOffset>
                </wp:positionH>
                <wp:positionV relativeFrom="paragraph">
                  <wp:posOffset>165735</wp:posOffset>
                </wp:positionV>
                <wp:extent cx="2674620"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746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4pt,13.05pt" to="21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162560</wp:posOffset>
                </wp:positionV>
                <wp:extent cx="0" cy="494665"/>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pt,12.8pt" to="5.6pt,51.7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1592580</wp:posOffset>
                </wp:positionH>
                <wp:positionV relativeFrom="paragraph">
                  <wp:posOffset>162560</wp:posOffset>
                </wp:positionV>
                <wp:extent cx="0" cy="494665"/>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5.4pt,12.8pt" to="125.4pt,51.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2740025</wp:posOffset>
                </wp:positionH>
                <wp:positionV relativeFrom="paragraph">
                  <wp:posOffset>162560</wp:posOffset>
                </wp:positionV>
                <wp:extent cx="0" cy="494665"/>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5.75pt,12.8pt" to="215.75pt,51.75pt" o:allowincell="f" strokecolor="#000000" strokeweight="0.4799pt"/>
            </w:pict>
          </mc:Fallback>
        </mc:AlternateContent>
      </w:r>
    </w:p>
    <w:p>
      <w:pPr>
        <w:spacing w:after="0" w:line="245" w:lineRule="exact"/>
        <w:rPr>
          <w:sz w:val="20"/>
          <w:szCs w:val="20"/>
          <w:color w:val="auto"/>
        </w:rPr>
      </w:pPr>
    </w:p>
    <w:p>
      <w:pPr>
        <w:ind w:left="2760"/>
        <w:spacing w:after="0"/>
        <w:rPr>
          <w:sz w:val="20"/>
          <w:szCs w:val="20"/>
          <w:color w:val="auto"/>
        </w:rPr>
      </w:pPr>
      <w:r>
        <w:rPr>
          <w:rFonts w:ascii="Times New Roman" w:cs="Times New Roman" w:eastAsia="Times New Roman" w:hAnsi="Times New Roman"/>
          <w:sz w:val="22"/>
          <w:szCs w:val="22"/>
          <w:i w:val="1"/>
          <w:iCs w:val="1"/>
          <w:color w:val="auto"/>
        </w:rPr>
        <w:t>Country Chart</w:t>
      </w:r>
    </w:p>
    <w:p>
      <w:pPr>
        <w:ind w:left="860"/>
        <w:spacing w:after="0"/>
        <w:tabs>
          <w:tab w:leader="none" w:pos="26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ind w:left="288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68580</wp:posOffset>
                </wp:positionH>
                <wp:positionV relativeFrom="paragraph">
                  <wp:posOffset>3810</wp:posOffset>
                </wp:positionV>
                <wp:extent cx="267462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746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4pt,0.3pt" to="216pt,0.3pt" o:allowincell="f" strokecolor="#000000" strokeweight="0.48pt"/>
            </w:pict>
          </mc:Fallback>
        </mc:AlternateContent>
      </w:r>
    </w:p>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110" w:type="dxa"/>
        <w:tblCellMar>
          <w:top w:w="0" w:type="dxa"/>
          <w:left w:w="0" w:type="dxa"/>
          <w:bottom w:w="0" w:type="dxa"/>
          <w:right w:w="0" w:type="dxa"/>
        </w:tblCellMar>
      </w:tblPr>
      <w:tr>
        <w:trPr>
          <w:trHeight w:val="261"/>
        </w:trPr>
        <w:tc>
          <w:tcPr>
            <w:tcW w:w="460" w:type="dxa"/>
            <w:vAlign w:val="bottom"/>
            <w:tcBorders>
              <w:top w:val="single" w:sz="8" w:color="auto"/>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NS</w:t>
            </w:r>
          </w:p>
        </w:tc>
        <w:tc>
          <w:tcPr>
            <w:tcW w:w="880" w:type="dxa"/>
            <w:vAlign w:val="bottom"/>
            <w:tcBorders>
              <w:top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applies</w:t>
            </w:r>
          </w:p>
        </w:tc>
        <w:tc>
          <w:tcPr>
            <w:tcW w:w="440" w:type="dxa"/>
            <w:vAlign w:val="bottom"/>
            <w:tcBorders>
              <w:top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to</w:t>
            </w:r>
          </w:p>
        </w:tc>
        <w:tc>
          <w:tcPr>
            <w:tcW w:w="640" w:type="dxa"/>
            <w:vAlign w:val="bottom"/>
            <w:tcBorders>
              <w:top w:val="single" w:sz="8" w:color="auto"/>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w w:val="99"/>
              </w:rPr>
              <w:t>entire</w:t>
            </w:r>
          </w:p>
        </w:tc>
        <w:tc>
          <w:tcPr>
            <w:tcW w:w="182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NS Column 2</w:t>
            </w:r>
          </w:p>
        </w:tc>
      </w:tr>
      <w:tr>
        <w:trPr>
          <w:trHeight w:val="254"/>
        </w:trPr>
        <w:tc>
          <w:tcPr>
            <w:tcW w:w="134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440" w:type="dxa"/>
            <w:vAlign w:val="bottom"/>
            <w:tcBorders>
              <w:bottom w:val="single" w:sz="8" w:color="auto"/>
            </w:tcBorders>
          </w:tcPr>
          <w:p>
            <w:pPr>
              <w:spacing w:after="0"/>
              <w:rPr>
                <w:sz w:val="22"/>
                <w:szCs w:val="22"/>
                <w:color w:val="auto"/>
              </w:rPr>
            </w:pPr>
          </w:p>
        </w:tc>
        <w:tc>
          <w:tcPr>
            <w:tcW w:w="640" w:type="dxa"/>
            <w:vAlign w:val="bottom"/>
            <w:tcBorders>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gridSpan w:val="4"/>
          </w:tcPr>
          <w:p>
            <w:pPr>
              <w:ind w:left="120"/>
              <w:spacing w:after="0" w:line="242" w:lineRule="exact"/>
              <w:rPr>
                <w:sz w:val="20"/>
                <w:szCs w:val="20"/>
                <w:color w:val="auto"/>
              </w:rPr>
            </w:pPr>
            <w:r>
              <w:rPr>
                <w:rFonts w:ascii="Times New Roman" w:cs="Times New Roman" w:eastAsia="Times New Roman" w:hAnsi="Times New Roman"/>
                <w:sz w:val="22"/>
                <w:szCs w:val="22"/>
                <w:color w:val="auto"/>
              </w:rPr>
              <w:t>MT applies to equipment</w:t>
            </w:r>
          </w:p>
        </w:tc>
        <w:tc>
          <w:tcPr>
            <w:tcW w:w="1820" w:type="dxa"/>
            <w:vAlign w:val="bottom"/>
            <w:tcBorders>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4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for</w:t>
            </w:r>
          </w:p>
        </w:tc>
        <w:tc>
          <w:tcPr>
            <w:tcW w:w="196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color w:val="auto"/>
              </w:rPr>
              <w:t>the “production” of</w:t>
            </w:r>
          </w:p>
        </w:tc>
        <w:tc>
          <w:tcPr>
            <w:tcW w:w="1820" w:type="dxa"/>
            <w:vAlign w:val="bottom"/>
            <w:tcBorders>
              <w:right w:val="single" w:sz="8" w:color="auto"/>
            </w:tcBorders>
          </w:tcPr>
          <w:p>
            <w:pPr>
              <w:spacing w:after="0"/>
              <w:rPr>
                <w:sz w:val="21"/>
                <w:szCs w:val="21"/>
                <w:color w:val="auto"/>
              </w:rPr>
            </w:pPr>
          </w:p>
        </w:tc>
      </w:tr>
      <w:tr>
        <w:trPr>
          <w:trHeight w:val="255"/>
        </w:trPr>
        <w:tc>
          <w:tcPr>
            <w:tcW w:w="1780" w:type="dxa"/>
            <w:vAlign w:val="bottom"/>
            <w:tcBorders>
              <w:left w:val="single" w:sz="8" w:color="auto"/>
              <w:bottom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rocket propellants.</w:t>
            </w:r>
          </w:p>
        </w:tc>
        <w:tc>
          <w:tcPr>
            <w:tcW w:w="640" w:type="dxa"/>
            <w:vAlign w:val="bottom"/>
            <w:tcBorders>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spacing w:after="0"/>
              <w:rPr>
                <w:sz w:val="22"/>
                <w:szCs w:val="22"/>
                <w:color w:val="auto"/>
              </w:rPr>
            </w:pPr>
          </w:p>
        </w:tc>
      </w:tr>
      <w:tr>
        <w:trPr>
          <w:trHeight w:val="243"/>
        </w:trPr>
        <w:tc>
          <w:tcPr>
            <w:tcW w:w="2420" w:type="dxa"/>
            <w:vAlign w:val="bottom"/>
            <w:tcBorders>
              <w:left w:val="single" w:sz="8" w:color="auto"/>
              <w:bottom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 1B018.a.</w:t>
            </w:r>
          </w:p>
        </w:tc>
        <w:tc>
          <w:tcPr>
            <w:tcW w:w="18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2</w:t>
            </w:r>
          </w:p>
        </w:tc>
      </w:tr>
      <w:tr>
        <w:trPr>
          <w:trHeight w:val="242"/>
        </w:trPr>
        <w:tc>
          <w:tcPr>
            <w:tcW w:w="460" w:type="dxa"/>
            <w:vAlign w:val="bottom"/>
            <w:tcBorders>
              <w:lef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w:t>
            </w:r>
          </w:p>
        </w:tc>
        <w:tc>
          <w:tcPr>
            <w:tcW w:w="880" w:type="dxa"/>
            <w:vAlign w:val="bottom"/>
          </w:tcPr>
          <w:p>
            <w:pPr>
              <w:ind w:left="160"/>
              <w:spacing w:after="0" w:line="242" w:lineRule="exact"/>
              <w:rPr>
                <w:sz w:val="20"/>
                <w:szCs w:val="20"/>
                <w:color w:val="auto"/>
              </w:rPr>
            </w:pPr>
            <w:r>
              <w:rPr>
                <w:rFonts w:ascii="Times New Roman" w:cs="Times New Roman" w:eastAsia="Times New Roman" w:hAnsi="Times New Roman"/>
                <w:sz w:val="22"/>
                <w:szCs w:val="22"/>
                <w:color w:val="auto"/>
              </w:rPr>
              <w:t>applies</w:t>
            </w:r>
          </w:p>
        </w:tc>
        <w:tc>
          <w:tcPr>
            <w:tcW w:w="440" w:type="dxa"/>
            <w:vAlign w:val="bottom"/>
          </w:tcPr>
          <w:p>
            <w:pPr>
              <w:ind w:left="100"/>
              <w:spacing w:after="0" w:line="242" w:lineRule="exact"/>
              <w:rPr>
                <w:sz w:val="20"/>
                <w:szCs w:val="20"/>
                <w:color w:val="auto"/>
              </w:rPr>
            </w:pPr>
            <w:r>
              <w:rPr>
                <w:rFonts w:ascii="Times New Roman" w:cs="Times New Roman" w:eastAsia="Times New Roman" w:hAnsi="Times New Roman"/>
                <w:sz w:val="22"/>
                <w:szCs w:val="22"/>
                <w:color w:val="auto"/>
              </w:rPr>
              <w:t>to</w:t>
            </w:r>
          </w:p>
        </w:tc>
        <w:tc>
          <w:tcPr>
            <w:tcW w:w="640" w:type="dxa"/>
            <w:vAlign w:val="bottom"/>
            <w:tcBorders>
              <w:right w:val="single" w:sz="8" w:color="auto"/>
            </w:tcBorders>
          </w:tcPr>
          <w:p>
            <w:pPr>
              <w:jc w:val="right"/>
              <w:ind w:right="10"/>
              <w:spacing w:after="0" w:line="242" w:lineRule="exact"/>
              <w:rPr>
                <w:sz w:val="20"/>
                <w:szCs w:val="20"/>
                <w:color w:val="auto"/>
              </w:rPr>
            </w:pPr>
            <w:r>
              <w:rPr>
                <w:rFonts w:ascii="Times New Roman" w:cs="Times New Roman" w:eastAsia="Times New Roman" w:hAnsi="Times New Roman"/>
                <w:sz w:val="22"/>
                <w:szCs w:val="22"/>
                <w:color w:val="auto"/>
                <w:w w:val="99"/>
              </w:rPr>
              <w:t>entire</w:t>
            </w:r>
          </w:p>
        </w:tc>
        <w:tc>
          <w:tcPr>
            <w:tcW w:w="1820" w:type="dxa"/>
            <w:vAlign w:val="bottom"/>
            <w:tcBorders>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134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440" w:type="dxa"/>
            <w:vAlign w:val="bottom"/>
            <w:tcBorders>
              <w:bottom w:val="single" w:sz="8" w:color="auto"/>
            </w:tcBorders>
          </w:tcPr>
          <w:p>
            <w:pPr>
              <w:spacing w:after="0"/>
              <w:rPr>
                <w:sz w:val="22"/>
                <w:szCs w:val="22"/>
                <w:color w:val="auto"/>
              </w:rPr>
            </w:pPr>
          </w:p>
        </w:tc>
        <w:tc>
          <w:tcPr>
            <w:tcW w:w="640" w:type="dxa"/>
            <w:vAlign w:val="bottom"/>
            <w:tcBorders>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46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w:t>
            </w:r>
          </w:p>
        </w:tc>
        <w:tc>
          <w:tcPr>
            <w:tcW w:w="880" w:type="dxa"/>
            <w:vAlign w:val="bottom"/>
          </w:tcPr>
          <w:p>
            <w:pPr>
              <w:ind w:left="160"/>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440" w:type="dxa"/>
            <w:vAlign w:val="bottom"/>
          </w:tcPr>
          <w:p>
            <w:pPr>
              <w:ind w:left="100"/>
              <w:spacing w:after="0" w:line="241" w:lineRule="exact"/>
              <w:rPr>
                <w:sz w:val="20"/>
                <w:szCs w:val="20"/>
                <w:color w:val="auto"/>
              </w:rPr>
            </w:pPr>
            <w:r>
              <w:rPr>
                <w:rFonts w:ascii="Times New Roman" w:cs="Times New Roman" w:eastAsia="Times New Roman" w:hAnsi="Times New Roman"/>
                <w:sz w:val="22"/>
                <w:szCs w:val="22"/>
                <w:color w:val="auto"/>
              </w:rPr>
              <w:t>to</w:t>
            </w:r>
          </w:p>
        </w:tc>
        <w:tc>
          <w:tcPr>
            <w:tcW w:w="640" w:type="dxa"/>
            <w:vAlign w:val="bottom"/>
            <w:tcBorders>
              <w:right w:val="single" w:sz="8" w:color="auto"/>
            </w:tcBorders>
          </w:tcPr>
          <w:p>
            <w:pPr>
              <w:jc w:val="right"/>
              <w:ind w:right="10"/>
              <w:spacing w:after="0" w:line="241" w:lineRule="exact"/>
              <w:rPr>
                <w:sz w:val="20"/>
                <w:szCs w:val="20"/>
                <w:color w:val="auto"/>
              </w:rPr>
            </w:pPr>
            <w:r>
              <w:rPr>
                <w:rFonts w:ascii="Times New Roman" w:cs="Times New Roman" w:eastAsia="Times New Roman" w:hAnsi="Times New Roman"/>
                <w:sz w:val="22"/>
                <w:szCs w:val="22"/>
                <w:color w:val="auto"/>
                <w:w w:val="99"/>
              </w:rPr>
              <w:t>entire</w:t>
            </w:r>
          </w:p>
        </w:tc>
        <w:tc>
          <w:tcPr>
            <w:tcW w:w="182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See § 746.1(b)</w:t>
            </w:r>
          </w:p>
        </w:tc>
      </w:tr>
      <w:tr>
        <w:trPr>
          <w:trHeight w:val="255"/>
        </w:trPr>
        <w:tc>
          <w:tcPr>
            <w:tcW w:w="134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440" w:type="dxa"/>
            <w:vAlign w:val="bottom"/>
            <w:tcBorders>
              <w:bottom w:val="single" w:sz="8" w:color="auto"/>
            </w:tcBorders>
          </w:tcPr>
          <w:p>
            <w:pPr>
              <w:spacing w:after="0"/>
              <w:rPr>
                <w:sz w:val="22"/>
                <w:szCs w:val="22"/>
                <w:color w:val="auto"/>
              </w:rPr>
            </w:pPr>
          </w:p>
        </w:tc>
        <w:tc>
          <w:tcPr>
            <w:tcW w:w="640" w:type="dxa"/>
            <w:vAlign w:val="bottom"/>
            <w:tcBorders>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for UN controls.</w:t>
            </w: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6" w:lineRule="exact"/>
        <w:rPr>
          <w:sz w:val="20"/>
          <w:szCs w:val="20"/>
          <w:color w:val="auto"/>
        </w:rPr>
      </w:pPr>
    </w:p>
    <w:p>
      <w:pPr>
        <w:jc w:val="both"/>
        <w:ind w:left="1080" w:hanging="719"/>
        <w:spacing w:after="0" w:line="237"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 for 1B018.a for countries WITHOUT an “X” in RS Column 2 on the Country Chart contained in Supplement No. 1 to part 738 of the EAR;</w:t>
      </w:r>
    </w:p>
    <w:p>
      <w:pPr>
        <w:spacing w:after="0" w:line="3"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$5000 for 1B018.b.</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 1B608.a, .b,</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.x for items that, immediately prior to July 1, 2014, were classified under 1B018.a.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94" w:lineRule="exact"/>
        <w:rPr>
          <w:sz w:val="20"/>
          <w:szCs w:val="20"/>
          <w:color w:val="auto"/>
        </w:rPr>
      </w:pPr>
    </w:p>
    <w:p>
      <w:pPr>
        <w:ind w:left="200" w:hanging="199"/>
        <w:spacing w:after="0"/>
        <w:tabs>
          <w:tab w:leader="none" w:pos="200"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ind w:left="220" w:hanging="219"/>
        <w:spacing w:after="0"/>
        <w:tabs>
          <w:tab w:leader="none" w:pos="220"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00" w:lineRule="exact"/>
        <w:rPr>
          <w:sz w:val="20"/>
          <w:szCs w:val="20"/>
          <w:color w:val="auto"/>
        </w:rPr>
      </w:pPr>
    </w:p>
    <w:p>
      <w:pPr>
        <w:spacing w:after="0" w:line="320"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1B101 Equipment, other than that controlled by 1B001, for the “production” of structural composites, fibers, prepregs or preforms, usable for rockets, missiles, or unmanned aerial vehicles capable of achieving a “range” equal to or greater than 300 km and their subsystems, as follows (see List of Items Controlled); and “specially designed” “parts,” “components” and “accessories” therefor.</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NP, AT</w:t>
      </w:r>
    </w:p>
    <w:p>
      <w:pPr>
        <w:spacing w:after="0" w:line="444"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19" w:name="page20"/>
    <w:bookmarkEnd w:id="1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20</w:t>
      </w:r>
    </w:p>
    <w:p>
      <w:pPr>
        <w:sectPr>
          <w:pgSz w:w="12240" w:h="15840" w:orient="portrait"/>
          <w:cols w:equalWidth="0" w:num="1">
            <w:col w:w="9360"/>
          </w:cols>
          <w:pgMar w:left="1440" w:top="1293" w:right="1440" w:bottom="124" w:gutter="0" w:footer="0" w:header="0"/>
        </w:sectPr>
      </w:pPr>
    </w:p>
    <w:p>
      <w:pPr>
        <w:spacing w:after="0" w:line="258"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620" w:type="dxa"/>
            <w:vAlign w:val="bottom"/>
            <w:tcBorders>
              <w:top w:val="single" w:sz="8" w:color="auto"/>
              <w:left w:val="single" w:sz="8" w:color="auto"/>
            </w:tcBorders>
          </w:tcPr>
          <w:p>
            <w:pPr>
              <w:spacing w:after="0"/>
              <w:rPr>
                <w:sz w:val="22"/>
                <w:szCs w:val="22"/>
                <w:color w:val="auto"/>
              </w:rPr>
            </w:pPr>
          </w:p>
        </w:tc>
        <w:tc>
          <w:tcPr>
            <w:tcW w:w="760" w:type="dxa"/>
            <w:vAlign w:val="bottom"/>
            <w:tcBorders>
              <w:top w:val="single" w:sz="8" w:color="auto"/>
            </w:tcBorders>
          </w:tcPr>
          <w:p>
            <w:pPr>
              <w:spacing w:after="0"/>
              <w:rPr>
                <w:sz w:val="22"/>
                <w:szCs w:val="22"/>
                <w:color w:val="auto"/>
              </w:rPr>
            </w:pPr>
          </w:p>
        </w:tc>
        <w:tc>
          <w:tcPr>
            <w:tcW w:w="860" w:type="dxa"/>
            <w:vAlign w:val="bottom"/>
            <w:tcBorders>
              <w:top w:val="single" w:sz="8" w:color="auto"/>
            </w:tcBorders>
          </w:tcPr>
          <w:p>
            <w:pPr>
              <w:spacing w:after="0"/>
              <w:rPr>
                <w:sz w:val="22"/>
                <w:szCs w:val="22"/>
                <w:color w:val="auto"/>
              </w:rPr>
            </w:pPr>
          </w:p>
        </w:tc>
        <w:tc>
          <w:tcPr>
            <w:tcW w:w="500" w:type="dxa"/>
            <w:vAlign w:val="bottom"/>
            <w:tcBorders>
              <w:top w:val="single" w:sz="8" w:color="auto"/>
              <w:right w:val="single" w:sz="8" w:color="auto"/>
            </w:tcBorders>
          </w:tcPr>
          <w:p>
            <w:pPr>
              <w:spacing w:after="0"/>
              <w:rPr>
                <w:sz w:val="22"/>
                <w:szCs w:val="22"/>
                <w:color w:val="auto"/>
              </w:rPr>
            </w:pPr>
          </w:p>
        </w:tc>
        <w:tc>
          <w:tcPr>
            <w:tcW w:w="15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w:t>
            </w:r>
          </w:p>
        </w:tc>
        <w:tc>
          <w:tcPr>
            <w:tcW w:w="0" w:type="dxa"/>
            <w:vAlign w:val="bottom"/>
          </w:tcPr>
          <w:p>
            <w:pPr>
              <w:spacing w:after="0"/>
              <w:rPr>
                <w:sz w:val="1"/>
                <w:szCs w:val="1"/>
                <w:color w:val="auto"/>
              </w:rPr>
            </w:pPr>
          </w:p>
        </w:tc>
      </w:tr>
      <w:tr>
        <w:trPr>
          <w:trHeight w:val="252"/>
        </w:trPr>
        <w:tc>
          <w:tcPr>
            <w:tcW w:w="620" w:type="dxa"/>
            <w:vAlign w:val="bottom"/>
            <w:tcBorders>
              <w:left w:val="single" w:sz="8" w:color="auto"/>
            </w:tcBorders>
          </w:tcPr>
          <w:p>
            <w:pPr>
              <w:spacing w:after="0"/>
              <w:rPr>
                <w:sz w:val="21"/>
                <w:szCs w:val="21"/>
                <w:color w:val="auto"/>
              </w:rPr>
            </w:pPr>
          </w:p>
        </w:tc>
        <w:tc>
          <w:tcPr>
            <w:tcW w:w="1620" w:type="dxa"/>
            <w:vAlign w:val="bottom"/>
            <w:gridSpan w:val="2"/>
            <w:vMerge w:val="restart"/>
          </w:tcPr>
          <w:p>
            <w:pPr>
              <w:jc w:val="right"/>
              <w:ind w:right="29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500" w:type="dxa"/>
            <w:vAlign w:val="bottom"/>
            <w:tcBorders>
              <w:right w:val="single" w:sz="8" w:color="auto"/>
            </w:tcBorders>
          </w:tcPr>
          <w:p>
            <w:pPr>
              <w:spacing w:after="0"/>
              <w:rPr>
                <w:sz w:val="21"/>
                <w:szCs w:val="21"/>
                <w:color w:val="auto"/>
              </w:rPr>
            </w:pPr>
          </w:p>
        </w:tc>
        <w:tc>
          <w:tcPr>
            <w:tcW w:w="15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Chart (See</w:t>
            </w:r>
          </w:p>
        </w:tc>
        <w:tc>
          <w:tcPr>
            <w:tcW w:w="0" w:type="dxa"/>
            <w:vAlign w:val="bottom"/>
          </w:tcPr>
          <w:p>
            <w:pPr>
              <w:spacing w:after="0"/>
              <w:rPr>
                <w:sz w:val="1"/>
                <w:szCs w:val="1"/>
                <w:color w:val="auto"/>
              </w:rPr>
            </w:pPr>
          </w:p>
        </w:tc>
      </w:tr>
      <w:tr>
        <w:trPr>
          <w:trHeight w:val="127"/>
        </w:trPr>
        <w:tc>
          <w:tcPr>
            <w:tcW w:w="620" w:type="dxa"/>
            <w:vAlign w:val="bottom"/>
            <w:tcBorders>
              <w:left w:val="single" w:sz="8" w:color="auto"/>
            </w:tcBorders>
          </w:tcPr>
          <w:p>
            <w:pPr>
              <w:spacing w:after="0"/>
              <w:rPr>
                <w:sz w:val="11"/>
                <w:szCs w:val="11"/>
                <w:color w:val="auto"/>
              </w:rPr>
            </w:pPr>
          </w:p>
        </w:tc>
        <w:tc>
          <w:tcPr>
            <w:tcW w:w="1620" w:type="dxa"/>
            <w:vAlign w:val="bottom"/>
            <w:gridSpan w:val="2"/>
            <w:vMerge w:val="continue"/>
          </w:tcPr>
          <w:p>
            <w:pPr>
              <w:spacing w:after="0"/>
              <w:rPr>
                <w:sz w:val="11"/>
                <w:szCs w:val="11"/>
                <w:color w:val="auto"/>
              </w:rPr>
            </w:pPr>
          </w:p>
        </w:tc>
        <w:tc>
          <w:tcPr>
            <w:tcW w:w="500" w:type="dxa"/>
            <w:vAlign w:val="bottom"/>
            <w:tcBorders>
              <w:right w:val="single" w:sz="8" w:color="auto"/>
            </w:tcBorders>
          </w:tcPr>
          <w:p>
            <w:pPr>
              <w:spacing w:after="0"/>
              <w:rPr>
                <w:sz w:val="11"/>
                <w:szCs w:val="11"/>
                <w:color w:val="auto"/>
              </w:rPr>
            </w:pPr>
          </w:p>
        </w:tc>
        <w:tc>
          <w:tcPr>
            <w:tcW w:w="150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w:t>
            </w:r>
          </w:p>
        </w:tc>
        <w:tc>
          <w:tcPr>
            <w:tcW w:w="0" w:type="dxa"/>
            <w:vAlign w:val="bottom"/>
          </w:tcPr>
          <w:p>
            <w:pPr>
              <w:spacing w:after="0"/>
              <w:rPr>
                <w:sz w:val="1"/>
                <w:szCs w:val="1"/>
                <w:color w:val="auto"/>
              </w:rPr>
            </w:pPr>
          </w:p>
        </w:tc>
      </w:tr>
      <w:tr>
        <w:trPr>
          <w:trHeight w:val="126"/>
        </w:trPr>
        <w:tc>
          <w:tcPr>
            <w:tcW w:w="620" w:type="dxa"/>
            <w:vAlign w:val="bottom"/>
            <w:tcBorders>
              <w:left w:val="single" w:sz="8" w:color="auto"/>
            </w:tcBorders>
          </w:tcPr>
          <w:p>
            <w:pPr>
              <w:spacing w:after="0"/>
              <w:rPr>
                <w:sz w:val="10"/>
                <w:szCs w:val="10"/>
                <w:color w:val="auto"/>
              </w:rPr>
            </w:pPr>
          </w:p>
        </w:tc>
        <w:tc>
          <w:tcPr>
            <w:tcW w:w="760" w:type="dxa"/>
            <w:vAlign w:val="bottom"/>
          </w:tcPr>
          <w:p>
            <w:pPr>
              <w:spacing w:after="0"/>
              <w:rPr>
                <w:sz w:val="10"/>
                <w:szCs w:val="10"/>
                <w:color w:val="auto"/>
              </w:rPr>
            </w:pPr>
          </w:p>
        </w:tc>
        <w:tc>
          <w:tcPr>
            <w:tcW w:w="860" w:type="dxa"/>
            <w:vAlign w:val="bottom"/>
          </w:tcPr>
          <w:p>
            <w:pPr>
              <w:spacing w:after="0"/>
              <w:rPr>
                <w:sz w:val="10"/>
                <w:szCs w:val="10"/>
                <w:color w:val="auto"/>
              </w:rPr>
            </w:pPr>
          </w:p>
        </w:tc>
        <w:tc>
          <w:tcPr>
            <w:tcW w:w="500" w:type="dxa"/>
            <w:vAlign w:val="bottom"/>
            <w:tcBorders>
              <w:right w:val="single" w:sz="8" w:color="auto"/>
            </w:tcBorders>
          </w:tcPr>
          <w:p>
            <w:pPr>
              <w:spacing w:after="0"/>
              <w:rPr>
                <w:sz w:val="10"/>
                <w:szCs w:val="10"/>
                <w:color w:val="auto"/>
              </w:rPr>
            </w:pPr>
          </w:p>
        </w:tc>
        <w:tc>
          <w:tcPr>
            <w:tcW w:w="150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55"/>
        </w:trPr>
        <w:tc>
          <w:tcPr>
            <w:tcW w:w="620" w:type="dxa"/>
            <w:vAlign w:val="bottom"/>
            <w:tcBorders>
              <w:left w:val="single" w:sz="8" w:color="auto"/>
              <w:bottom w:val="single" w:sz="8" w:color="auto"/>
            </w:tcBorders>
          </w:tcPr>
          <w:p>
            <w:pPr>
              <w:spacing w:after="0"/>
              <w:rPr>
                <w:sz w:val="22"/>
                <w:szCs w:val="22"/>
                <w:color w:val="auto"/>
              </w:rPr>
            </w:pPr>
          </w:p>
        </w:tc>
        <w:tc>
          <w:tcPr>
            <w:tcW w:w="760" w:type="dxa"/>
            <w:vAlign w:val="bottom"/>
            <w:tcBorders>
              <w:bottom w:val="single" w:sz="8" w:color="auto"/>
            </w:tcBorders>
          </w:tcPr>
          <w:p>
            <w:pPr>
              <w:spacing w:after="0"/>
              <w:rPr>
                <w:sz w:val="22"/>
                <w:szCs w:val="22"/>
                <w:color w:val="auto"/>
              </w:rPr>
            </w:pPr>
          </w:p>
        </w:tc>
        <w:tc>
          <w:tcPr>
            <w:tcW w:w="860" w:type="dxa"/>
            <w:vAlign w:val="bottom"/>
            <w:tcBorders>
              <w:bottom w:val="single" w:sz="8" w:color="auto"/>
            </w:tcBorders>
          </w:tcPr>
          <w:p>
            <w:pPr>
              <w:spacing w:after="0"/>
              <w:rPr>
                <w:sz w:val="22"/>
                <w:szCs w:val="22"/>
                <w:color w:val="auto"/>
              </w:rPr>
            </w:pPr>
          </w:p>
        </w:tc>
        <w:tc>
          <w:tcPr>
            <w:tcW w:w="500" w:type="dxa"/>
            <w:vAlign w:val="bottom"/>
            <w:tcBorders>
              <w:bottom w:val="single" w:sz="8" w:color="auto"/>
              <w:right w:val="single" w:sz="8" w:color="auto"/>
            </w:tcBorders>
          </w:tcPr>
          <w:p>
            <w:pPr>
              <w:spacing w:after="0"/>
              <w:rPr>
                <w:sz w:val="22"/>
                <w:szCs w:val="22"/>
                <w:color w:val="auto"/>
              </w:rPr>
            </w:pPr>
          </w:p>
        </w:tc>
        <w:tc>
          <w:tcPr>
            <w:tcW w:w="15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c>
          <w:tcPr>
            <w:tcW w:w="0" w:type="dxa"/>
            <w:vAlign w:val="bottom"/>
          </w:tcPr>
          <w:p>
            <w:pPr>
              <w:spacing w:after="0"/>
              <w:rPr>
                <w:sz w:val="1"/>
                <w:szCs w:val="1"/>
                <w:color w:val="auto"/>
              </w:rPr>
            </w:pPr>
          </w:p>
        </w:tc>
      </w:tr>
      <w:tr>
        <w:trPr>
          <w:trHeight w:val="242"/>
        </w:trPr>
        <w:tc>
          <w:tcPr>
            <w:tcW w:w="2740" w:type="dxa"/>
            <w:vAlign w:val="bottom"/>
            <w:tcBorders>
              <w:left w:val="single" w:sz="8" w:color="auto"/>
              <w:bottom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500" w:type="dxa"/>
            <w:vAlign w:val="bottom"/>
            <w:tcBorders>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Column 1</w:t>
            </w:r>
          </w:p>
        </w:tc>
        <w:tc>
          <w:tcPr>
            <w:tcW w:w="0" w:type="dxa"/>
            <w:vAlign w:val="bottom"/>
          </w:tcPr>
          <w:p>
            <w:pPr>
              <w:spacing w:after="0"/>
              <w:rPr>
                <w:sz w:val="1"/>
                <w:szCs w:val="1"/>
                <w:color w:val="auto"/>
              </w:rPr>
            </w:pPr>
          </w:p>
        </w:tc>
      </w:tr>
      <w:tr>
        <w:trPr>
          <w:trHeight w:val="241"/>
        </w:trPr>
        <w:tc>
          <w:tcPr>
            <w:tcW w:w="62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w:t>
            </w:r>
          </w:p>
        </w:tc>
        <w:tc>
          <w:tcPr>
            <w:tcW w:w="760" w:type="dxa"/>
            <w:vAlign w:val="bottom"/>
          </w:tcPr>
          <w:p>
            <w:pPr>
              <w:ind w:left="20"/>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1360" w:type="dxa"/>
            <w:vAlign w:val="bottom"/>
            <w:tcBorders>
              <w:right w:val="single" w:sz="8" w:color="auto"/>
            </w:tcBorders>
            <w:gridSpan w:val="2"/>
          </w:tcPr>
          <w:p>
            <w:pPr>
              <w:jc w:val="right"/>
              <w:ind w:right="10"/>
              <w:spacing w:after="0" w:line="241" w:lineRule="exact"/>
              <w:rPr>
                <w:sz w:val="20"/>
                <w:szCs w:val="20"/>
                <w:color w:val="auto"/>
              </w:rPr>
            </w:pPr>
            <w:r>
              <w:rPr>
                <w:rFonts w:ascii="Times New Roman" w:cs="Times New Roman" w:eastAsia="Times New Roman" w:hAnsi="Times New Roman"/>
                <w:sz w:val="22"/>
                <w:szCs w:val="22"/>
                <w:color w:val="auto"/>
              </w:rPr>
              <w:t>to   filament</w:t>
            </w:r>
          </w:p>
        </w:tc>
        <w:tc>
          <w:tcPr>
            <w:tcW w:w="1500" w:type="dxa"/>
            <w:vAlign w:val="bottom"/>
            <w:tcBorders>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NP Column 1</w:t>
            </w: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winding machines described</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in 1B101.a that are capable</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of winding cylindrical rotors</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having a diameter between</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2"/>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75 mm (3 in.) and 400 mm</w:t>
            </w:r>
          </w:p>
        </w:tc>
        <w:tc>
          <w:tcPr>
            <w:tcW w:w="15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(16 in.) and lengths of 600</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240" w:type="dxa"/>
            <w:vAlign w:val="bottom"/>
            <w:tcBorders>
              <w:left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mm (24 in.) or greater</w:t>
            </w:r>
          </w:p>
        </w:tc>
        <w:tc>
          <w:tcPr>
            <w:tcW w:w="500" w:type="dxa"/>
            <w:vAlign w:val="bottom"/>
            <w:tcBorders>
              <w:right w:val="single" w:sz="8" w:color="auto"/>
            </w:tcBorders>
          </w:tcPr>
          <w:p>
            <w:pPr>
              <w:spacing w:after="0"/>
              <w:rPr>
                <w:sz w:val="22"/>
                <w:szCs w:val="22"/>
                <w:color w:val="auto"/>
              </w:rPr>
            </w:pP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62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AND</w:t>
            </w:r>
          </w:p>
        </w:tc>
        <w:tc>
          <w:tcPr>
            <w:tcW w:w="1620" w:type="dxa"/>
            <w:vAlign w:val="bottom"/>
            <w:gridSpan w:val="2"/>
          </w:tcPr>
          <w:p>
            <w:pPr>
              <w:jc w:val="right"/>
              <w:spacing w:after="0"/>
              <w:rPr>
                <w:sz w:val="20"/>
                <w:szCs w:val="20"/>
                <w:color w:val="auto"/>
              </w:rPr>
            </w:pPr>
            <w:r>
              <w:rPr>
                <w:rFonts w:ascii="Times New Roman" w:cs="Times New Roman" w:eastAsia="Times New Roman" w:hAnsi="Times New Roman"/>
                <w:sz w:val="22"/>
                <w:szCs w:val="22"/>
                <w:color w:val="auto"/>
              </w:rPr>
              <w:t>to  coordinating</w:t>
            </w:r>
          </w:p>
        </w:tc>
        <w:tc>
          <w:tcPr>
            <w:tcW w:w="5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and</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38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programming</w:t>
            </w:r>
          </w:p>
        </w:tc>
        <w:tc>
          <w:tcPr>
            <w:tcW w:w="8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controls</w:t>
            </w:r>
          </w:p>
        </w:tc>
        <w:tc>
          <w:tcPr>
            <w:tcW w:w="5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and</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precision mandrels for these</w:t>
            </w:r>
          </w:p>
        </w:tc>
        <w:tc>
          <w:tcPr>
            <w:tcW w:w="15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4"/>
        </w:trPr>
        <w:tc>
          <w:tcPr>
            <w:tcW w:w="2740" w:type="dxa"/>
            <w:vAlign w:val="bottom"/>
            <w:tcBorders>
              <w:left w:val="single" w:sz="8" w:color="auto"/>
              <w:bottom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filament winding machines</w:t>
            </w:r>
          </w:p>
        </w:tc>
        <w:tc>
          <w:tcPr>
            <w:tcW w:w="15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3"/>
        </w:trPr>
        <w:tc>
          <w:tcPr>
            <w:tcW w:w="2740" w:type="dxa"/>
            <w:vAlign w:val="bottom"/>
            <w:tcBorders>
              <w:left w:val="single" w:sz="8" w:color="auto"/>
              <w:bottom w:val="single" w:sz="8" w:color="auto"/>
              <w:right w:val="single" w:sz="8" w:color="auto"/>
            </w:tcBorders>
            <w:gridSpan w:val="4"/>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00" w:type="dxa"/>
            <w:vAlign w:val="bottom"/>
            <w:tcBorders>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Column 1</w:t>
            </w:r>
          </w:p>
        </w:tc>
        <w:tc>
          <w:tcPr>
            <w:tcW w:w="0" w:type="dxa"/>
            <w:vAlign w:val="bottom"/>
          </w:tcPr>
          <w:p>
            <w:pPr>
              <w:spacing w:after="0"/>
              <w:rPr>
                <w:sz w:val="1"/>
                <w:szCs w:val="1"/>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software for items controlled by this entry and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1E101</w:t>
      </w:r>
      <w:r>
        <w:rPr>
          <w:rFonts w:ascii="Times New Roman" w:cs="Times New Roman" w:eastAsia="Times New Roman" w:hAnsi="Times New Roman"/>
          <w:sz w:val="22"/>
          <w:szCs w:val="22"/>
          <w:color w:val="auto"/>
        </w:rPr>
        <w:t xml:space="preserve"> (“use”) for technology for items controlled by this entry. Also see </w:t>
      </w:r>
      <w:r>
        <w:rPr>
          <w:rFonts w:ascii="Times New Roman" w:cs="Times New Roman" w:eastAsia="Times New Roman" w:hAnsi="Times New Roman"/>
          <w:sz w:val="22"/>
          <w:szCs w:val="22"/>
          <w:u w:val="single" w:color="auto"/>
          <w:color w:val="0000FF"/>
        </w:rPr>
        <w:t>1B201</w:t>
      </w:r>
      <w:r>
        <w:rPr>
          <w:rFonts w:ascii="Times New Roman" w:cs="Times New Roman" w:eastAsia="Times New Roman" w:hAnsi="Times New Roman"/>
          <w:sz w:val="22"/>
          <w:szCs w:val="22"/>
          <w:color w:val="auto"/>
        </w:rPr>
        <w:t>.</w:t>
      </w:r>
    </w:p>
    <w:p>
      <w:pPr>
        <w:spacing w:after="0" w:line="13"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Examples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“parts,”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“components” and “accessories” for the machines controlled by this entry are molds, mandrels, dies, fixtures and tooling for the preform pressing, curing, casting, sintering or bonding of composite structures, laminates and manufactures thereof.</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 Filament winding machines or ‘fiber/tow-placement machines,’ of which the motions for positioning, wrapping and winding fibers can be coordinated and programmed in three or more axes, designed to fabricate composite structures or laminates from fibrous or filamentary</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materials, and coordinating and programming controls;</w:t>
      </w:r>
    </w:p>
    <w:p>
      <w:pPr>
        <w:spacing w:after="0" w:line="26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b. ‘Tape-laying machines’ of which the motions for positioning and laying tape can be coordinated and programmed in two or more axes, designed for the manufacture of composite airframe and missile structures;</w:t>
      </w:r>
    </w:p>
    <w:p>
      <w:pPr>
        <w:spacing w:after="0" w:line="25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 for paragraphs a and</w:t>
      </w:r>
    </w:p>
    <w:p>
      <w:pPr>
        <w:spacing w:after="0" w:line="12" w:lineRule="exact"/>
        <w:rPr>
          <w:sz w:val="20"/>
          <w:szCs w:val="20"/>
          <w:color w:val="auto"/>
        </w:rPr>
      </w:pPr>
    </w:p>
    <w:p>
      <w:pPr>
        <w:ind w:firstLine="1"/>
        <w:spacing w:after="0" w:line="234" w:lineRule="auto"/>
        <w:tabs>
          <w:tab w:leader="none" w:pos="366" w:val="left"/>
        </w:tabs>
        <w:numPr>
          <w:ilvl w:val="0"/>
          <w:numId w:val="4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purposes of 1B101.a. and 1B101.b., the following definitions apply:</w:t>
      </w:r>
    </w:p>
    <w:p>
      <w:pPr>
        <w:spacing w:after="0" w:line="266" w:lineRule="exact"/>
        <w:rPr>
          <w:rFonts w:ascii="Times New Roman" w:cs="Times New Roman" w:eastAsia="Times New Roman" w:hAnsi="Times New Roman"/>
          <w:sz w:val="22"/>
          <w:szCs w:val="22"/>
          <w:b w:val="1"/>
          <w:bCs w:val="1"/>
          <w:i w:val="1"/>
          <w:iCs w:val="1"/>
          <w:color w:val="auto"/>
        </w:rPr>
      </w:pPr>
    </w:p>
    <w:p>
      <w:pPr>
        <w:jc w:val="both"/>
        <w:ind w:firstLine="721"/>
        <w:spacing w:after="0" w:line="251" w:lineRule="auto"/>
        <w:tabs>
          <w:tab w:leader="none" w:pos="980" w:val="left"/>
        </w:tabs>
        <w:numPr>
          <w:ilvl w:val="1"/>
          <w:numId w:val="48"/>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‘Fiber/tow-placement machines’ and ‘tape-laying machines’ are machines that perform similar processes that use computer-guided heads to lay one or several ‘filament bands’ onto a mold to create a part or a structure.</w:t>
      </w:r>
    </w:p>
    <w:p>
      <w:pPr>
        <w:spacing w:after="0" w:line="2" w:lineRule="exact"/>
        <w:rPr>
          <w:rFonts w:ascii="Times New Roman" w:cs="Times New Roman" w:eastAsia="Times New Roman" w:hAnsi="Times New Roman"/>
          <w:sz w:val="21"/>
          <w:szCs w:val="21"/>
          <w:i w:val="1"/>
          <w:iCs w:val="1"/>
          <w:color w:val="auto"/>
        </w:rPr>
      </w:pPr>
    </w:p>
    <w:p>
      <w:pPr>
        <w:jc w:val="both"/>
        <w:spacing w:after="0" w:line="236"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These machines have the ability to cut and restart individual ‘filament band’ courses during the laying process.</w:t>
      </w:r>
    </w:p>
    <w:p>
      <w:pPr>
        <w:spacing w:after="0" w:line="265" w:lineRule="exact"/>
        <w:rPr>
          <w:rFonts w:ascii="Times New Roman" w:cs="Times New Roman" w:eastAsia="Times New Roman" w:hAnsi="Times New Roman"/>
          <w:sz w:val="21"/>
          <w:szCs w:val="21"/>
          <w:i w:val="1"/>
          <w:iCs w:val="1"/>
          <w:color w:val="auto"/>
        </w:rPr>
      </w:pPr>
    </w:p>
    <w:p>
      <w:pPr>
        <w:jc w:val="both"/>
        <w:ind w:firstLine="721"/>
        <w:spacing w:after="0" w:line="238" w:lineRule="auto"/>
        <w:tabs>
          <w:tab w:leader="none" w:pos="1087" w:val="left"/>
        </w:tabs>
        <w:numPr>
          <w:ilvl w:val="1"/>
          <w:numId w:val="4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‘filament band’ is a single continuous width of fully or partially resin-impregnated tape, tow, or fiber. Fully or partially resin-impregnated ‘filament bands’ include those coated with dry powder that tacks upon heating.</w:t>
      </w:r>
    </w:p>
    <w:p>
      <w:pPr>
        <w:spacing w:after="0" w:line="266" w:lineRule="exact"/>
        <w:rPr>
          <w:rFonts w:ascii="Times New Roman" w:cs="Times New Roman" w:eastAsia="Times New Roman" w:hAnsi="Times New Roman"/>
          <w:sz w:val="22"/>
          <w:szCs w:val="22"/>
          <w:i w:val="1"/>
          <w:iCs w:val="1"/>
          <w:color w:val="auto"/>
        </w:rPr>
      </w:pPr>
    </w:p>
    <w:p>
      <w:pPr>
        <w:jc w:val="both"/>
        <w:ind w:firstLine="721"/>
        <w:spacing w:after="0" w:line="238" w:lineRule="auto"/>
        <w:tabs>
          <w:tab w:leader="none" w:pos="951" w:val="left"/>
        </w:tabs>
        <w:numPr>
          <w:ilvl w:val="1"/>
          <w:numId w:val="4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‘Fiber/tow-placement machines’ have the ability to place one or more ‘filament bands’ having widths less than or equal to 25.4 mm. This refers to the minimum width of material the machine can place, regardless of the upper capability of the machine.</w:t>
      </w:r>
    </w:p>
    <w:p>
      <w:pPr>
        <w:spacing w:after="0" w:line="265" w:lineRule="exact"/>
        <w:rPr>
          <w:rFonts w:ascii="Times New Roman" w:cs="Times New Roman" w:eastAsia="Times New Roman" w:hAnsi="Times New Roman"/>
          <w:sz w:val="22"/>
          <w:szCs w:val="22"/>
          <w:i w:val="1"/>
          <w:iCs w:val="1"/>
          <w:color w:val="auto"/>
        </w:rPr>
      </w:pPr>
    </w:p>
    <w:p>
      <w:pPr>
        <w:jc w:val="both"/>
        <w:ind w:firstLine="721"/>
        <w:spacing w:after="0" w:line="238" w:lineRule="auto"/>
        <w:tabs>
          <w:tab w:leader="none" w:pos="1063" w:val="left"/>
        </w:tabs>
        <w:numPr>
          <w:ilvl w:val="1"/>
          <w:numId w:val="4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‘Tape-laying machines’ have the ability to place one or more ‘filament bands’ having widths less than or equal to 304.8 mm, but cannot place ‘filament bands’ with a width equal to or less than 25.4 mm. This refers to the minimum width of material the machine can place, regardless of the upper capability of the machine.</w:t>
      </w:r>
    </w:p>
    <w:p>
      <w:pPr>
        <w:spacing w:after="0" w:line="26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 Equipment designed or modified for the “production” of “fibrous or filamentary materials” as follows:</w:t>
      </w:r>
    </w:p>
    <w:p>
      <w:pPr>
        <w:spacing w:after="0" w:line="50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2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0" w:name="page21"/>
    <w:bookmarkEnd w:id="2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21</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c.1. Equipment for converting polymeric fibers (such as polyacrylonitrile, rayon or polycarbosilane) including special provision to strain the fiber during heating;</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c.2. Equipment for the vapor deposition of elements or compounds on heated filament substrates;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c.3. Equipment for the wet-spinning of refractory ceramics (such as aluminum oxide);</w:t>
      </w:r>
    </w:p>
    <w:p>
      <w:pPr>
        <w:spacing w:after="0" w:line="26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d. Equipment designed or modified for special fiber surface treatment or for producing prepregs and preforms controlled by 9A110.</w:t>
      </w:r>
    </w:p>
    <w:p>
      <w:pPr>
        <w:spacing w:after="0" w:line="267"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Equipment covered in 1B101.d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includes but is not limited to, rollers, tension stretchers, coating equipment, cutting equipment and clicker dies.</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1B102 Metal powder “production equipment,” other than that specified in 1B002, and “parts” and “components”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1"/>
        <w:spacing w:after="0" w:line="238" w:lineRule="auto"/>
        <w:tabs>
          <w:tab w:leader="none" w:pos="330" w:val="left"/>
        </w:tabs>
        <w:numPr>
          <w:ilvl w:val="0"/>
          <w:numId w:val="4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Metal powder “production equipment</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usable for the “production”, in a controlled environment, of spherical</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spheroidal or atomized materials specified in 1C011.a., 1C011.b., 1C111.a.1., 1C111.a.2., or controlled for MT reasons in Category V of the USML.</w:t>
      </w:r>
    </w:p>
    <w:p>
      <w:pPr>
        <w:spacing w:after="0" w:line="266"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b. “Specially designed” “parts” and “components” for “production equipment” specified in 1B002 or 1B102.a.</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1B102 includes:</w:t>
      </w:r>
    </w:p>
    <w:p>
      <w:pPr>
        <w:spacing w:after="0" w:line="266" w:lineRule="exact"/>
        <w:rPr>
          <w:sz w:val="20"/>
          <w:szCs w:val="20"/>
          <w:color w:val="auto"/>
        </w:rPr>
      </w:pPr>
    </w:p>
    <w:p>
      <w:pPr>
        <w:jc w:val="both"/>
        <w:ind w:firstLine="361"/>
        <w:spacing w:after="0" w:line="236" w:lineRule="auto"/>
        <w:tabs>
          <w:tab w:leader="none" w:pos="702" w:val="left"/>
        </w:tabs>
        <w:numPr>
          <w:ilvl w:val="0"/>
          <w:numId w:val="5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Plasma generators (high frequency arc-jet) usable for obtaining sputtered or spherical metallic powders with organization of the process in an argon-water environment;</w:t>
      </w:r>
    </w:p>
    <w:p>
      <w:pPr>
        <w:spacing w:after="0" w:line="269" w:lineRule="exact"/>
        <w:rPr>
          <w:rFonts w:ascii="Times New Roman" w:cs="Times New Roman" w:eastAsia="Times New Roman" w:hAnsi="Times New Roman"/>
          <w:sz w:val="22"/>
          <w:szCs w:val="22"/>
          <w:i w:val="1"/>
          <w:iCs w:val="1"/>
          <w:color w:val="auto"/>
        </w:rPr>
      </w:pPr>
    </w:p>
    <w:p>
      <w:pPr>
        <w:jc w:val="both"/>
        <w:ind w:firstLine="361"/>
        <w:spacing w:after="0" w:line="236" w:lineRule="auto"/>
        <w:tabs>
          <w:tab w:leader="none" w:pos="911" w:val="left"/>
        </w:tabs>
        <w:numPr>
          <w:ilvl w:val="0"/>
          <w:numId w:val="5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Electroburst equipment usable for obtaining sputtered or spherical metallic powders with organization of the process in an argon-water environment;</w:t>
      </w:r>
    </w:p>
    <w:p>
      <w:pPr>
        <w:spacing w:after="0" w:line="270" w:lineRule="exact"/>
        <w:rPr>
          <w:rFonts w:ascii="Times New Roman" w:cs="Times New Roman" w:eastAsia="Times New Roman" w:hAnsi="Times New Roman"/>
          <w:sz w:val="22"/>
          <w:szCs w:val="22"/>
          <w:i w:val="1"/>
          <w:iCs w:val="1"/>
          <w:color w:val="auto"/>
        </w:rPr>
      </w:pPr>
    </w:p>
    <w:p>
      <w:pPr>
        <w:jc w:val="both"/>
        <w:ind w:firstLine="450"/>
        <w:spacing w:after="0" w:line="235" w:lineRule="auto"/>
        <w:tabs>
          <w:tab w:leader="none" w:pos="778" w:val="left"/>
        </w:tabs>
        <w:numPr>
          <w:ilvl w:val="1"/>
          <w:numId w:val="5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usable for the “production” of spherical aluminum powders by powdering a melt in an inert medium (e.g., nitrogen).</w:t>
      </w:r>
    </w:p>
    <w:p>
      <w:pPr>
        <w:spacing w:after="0" w:line="200" w:lineRule="exact"/>
        <w:rPr>
          <w:sz w:val="20"/>
          <w:szCs w:val="20"/>
          <w:color w:val="auto"/>
        </w:rPr>
      </w:pPr>
    </w:p>
    <w:p>
      <w:pPr>
        <w:spacing w:after="0" w:line="322"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1B115 Equipment, other than that controlled in 1B002 or 1B102, for the “production” of propellant or propellant constituents (see List of Items Controlled), and “specially designed” “parts” and “components” therefor.</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5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ind w:right="10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3" w:lineRule="exact"/>
        <w:rPr>
          <w:sz w:val="20"/>
          <w:szCs w:val="20"/>
          <w:color w:val="auto"/>
        </w:rPr>
      </w:pPr>
    </w:p>
    <w:p>
      <w:pPr>
        <w:ind w:left="360"/>
        <w:spacing w:after="0"/>
        <w:tabs>
          <w:tab w:leader="none" w:pos="208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 xml:space="preserve">See also </w:t>
      </w:r>
      <w:r>
        <w:rPr>
          <w:rFonts w:ascii="Times New Roman" w:cs="Times New Roman" w:eastAsia="Times New Roman" w:hAnsi="Times New Roman"/>
          <w:sz w:val="21"/>
          <w:szCs w:val="21"/>
          <w:u w:val="single" w:color="auto"/>
          <w:color w:val="0000FF"/>
        </w:rPr>
        <w:t>1B115.b</w:t>
      </w:r>
      <w:r>
        <w:rPr>
          <w:rFonts w:ascii="Times New Roman" w:cs="Times New Roman" w:eastAsia="Times New Roman" w:hAnsi="Times New Roman"/>
          <w:sz w:val="21"/>
          <w:szCs w:val="21"/>
          <w:color w:val="auto"/>
        </w:rPr>
        <w:t>.</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18"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703" w:lineRule="exact"/>
        <w:rPr>
          <w:sz w:val="20"/>
          <w:szCs w:val="20"/>
          <w:color w:val="auto"/>
        </w:rPr>
      </w:pPr>
    </w:p>
    <w:p>
      <w:pPr>
        <w:sectPr>
          <w:pgSz w:w="12240" w:h="15840" w:orient="portrait"/>
          <w:cols w:equalWidth="0" w:num="2">
            <w:col w:w="4420" w:space="720"/>
            <w:col w:w="42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1" w:name="page22"/>
    <w:bookmarkEnd w:id="2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22</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For the control of batch</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mixers, continuous mixers and fluid energy mills, see </w:t>
      </w:r>
      <w:r>
        <w:rPr>
          <w:rFonts w:ascii="Times New Roman" w:cs="Times New Roman" w:eastAsia="Times New Roman" w:hAnsi="Times New Roman"/>
          <w:sz w:val="22"/>
          <w:szCs w:val="22"/>
          <w:u w:val="single" w:color="auto"/>
          <w:color w:val="0000FF"/>
        </w:rPr>
        <w:t>1B117</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1B118</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1B119</w:t>
      </w:r>
      <w:r>
        <w:rPr>
          <w:rFonts w:ascii="Times New Roman" w:cs="Times New Roman" w:eastAsia="Times New Roman" w:hAnsi="Times New Roman"/>
          <w:sz w:val="22"/>
          <w:szCs w:val="22"/>
          <w:color w:val="auto"/>
        </w:rPr>
        <w:t>.</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a. “Production equipment” for the “production”, handling or acceptance testing of liquid propellants or propellant constituents controlled by 1C011.a, 1C011.b, 1C111 or on the U.S. Munitions List;</w:t>
      </w:r>
    </w:p>
    <w:p>
      <w:pPr>
        <w:spacing w:after="0" w:line="268" w:lineRule="exact"/>
        <w:rPr>
          <w:sz w:val="20"/>
          <w:szCs w:val="20"/>
          <w:color w:val="auto"/>
        </w:rPr>
      </w:pPr>
    </w:p>
    <w:p>
      <w:pPr>
        <w:jc w:val="both"/>
        <w:spacing w:after="0" w:line="238" w:lineRule="auto"/>
        <w:tabs>
          <w:tab w:leader="none" w:pos="341" w:val="left"/>
        </w:tabs>
        <w:numPr>
          <w:ilvl w:val="0"/>
          <w:numId w:val="5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“Production equipment,” for the production, handling, mixing, curing, casting, pressing, machining, extruding or acceptance testing of solid propellants or propellant constituents described in 1C011.a, 1C011.b or 1C111, or on the U.S. Munitions List.</w:t>
      </w:r>
    </w:p>
    <w:p>
      <w:pPr>
        <w:spacing w:after="0" w:line="268"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1B115.b does not control batch</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mixers, continuous mixers or fluid energy mills. For the control of batch mixers, continuous mixers and fluid energy mills see 1B117, 1B118, and 1B119.</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i w:val="1"/>
          <w:iCs w:val="1"/>
          <w:color w:val="auto"/>
        </w:rPr>
        <w:t>: [Reserved]</w:t>
      </w:r>
    </w:p>
    <w:p>
      <w:pPr>
        <w:spacing w:after="0" w:line="266"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1B115 does not control equipment for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“production,” handling and acceptance testing of boron carbide.</w:t>
      </w: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b w:val="1"/>
          <w:bCs w:val="1"/>
          <w:color w:val="auto"/>
        </w:rPr>
        <w:t>1B116 “Specially designed” nozzles for producing pyrolitically derived materials formed on a mold, mandrel or other substrate from precursor gases which decompose in the 1,573 K (1,300 C) to 3,173 K (2,900 C) temperature range at pressures of 130 Pa to 20 kPa.</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7"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1B117 Batch mixers having all of the following (see List of Items Controlled), and</w:t>
      </w:r>
    </w:p>
    <w:p>
      <w:pPr>
        <w:spacing w:after="0" w:line="1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“specially designed” “parts” and “components” therefor.</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3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2" w:name="page23"/>
    <w:bookmarkEnd w:id="2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23</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1B115,</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1B118</w:t>
      </w:r>
      <w:r>
        <w:rPr>
          <w:rFonts w:ascii="Times New Roman" w:cs="Times New Roman" w:eastAsia="Times New Roman" w:hAnsi="Times New Roman"/>
          <w:sz w:val="22"/>
          <w:szCs w:val="22"/>
          <w:color w:val="auto"/>
        </w:rPr>
        <w:t>,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1B119</w:t>
      </w:r>
      <w:r>
        <w:rPr>
          <w:rFonts w:ascii="Times New Roman" w:cs="Times New Roman" w:eastAsia="Times New Roman" w:hAnsi="Times New Roman"/>
          <w:sz w:val="22"/>
          <w:szCs w:val="22"/>
          <w:color w:val="000000"/>
        </w:rPr>
        <w:t>.</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a. Capable of mixing under vacuum in the range from zero to 13.326 kPa;</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b. Capable of controlling the temperature of the mixing chamber;</w:t>
      </w:r>
    </w:p>
    <w:p>
      <w:pPr>
        <w:spacing w:after="0" w:line="265" w:lineRule="exact"/>
        <w:rPr>
          <w:sz w:val="20"/>
          <w:szCs w:val="20"/>
          <w:color w:val="auto"/>
        </w:rPr>
      </w:pPr>
    </w:p>
    <w:p>
      <w:pPr>
        <w:jc w:val="both"/>
        <w:ind w:right="240"/>
        <w:spacing w:after="0" w:line="234" w:lineRule="auto"/>
        <w:rPr>
          <w:sz w:val="20"/>
          <w:szCs w:val="20"/>
          <w:color w:val="auto"/>
        </w:rPr>
      </w:pPr>
      <w:r>
        <w:rPr>
          <w:rFonts w:ascii="Times New Roman" w:cs="Times New Roman" w:eastAsia="Times New Roman" w:hAnsi="Times New Roman"/>
          <w:sz w:val="22"/>
          <w:szCs w:val="22"/>
          <w:color w:val="auto"/>
        </w:rPr>
        <w:t xml:space="preserve">c. A total volumetric capacity of 110 liters (30 gallons) or more;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ind w:right="60"/>
        <w:spacing w:after="0" w:line="234" w:lineRule="auto"/>
        <w:rPr>
          <w:sz w:val="20"/>
          <w:szCs w:val="20"/>
          <w:color w:val="auto"/>
        </w:rPr>
      </w:pPr>
      <w:r>
        <w:rPr>
          <w:rFonts w:ascii="Times New Roman" w:cs="Times New Roman" w:eastAsia="Times New Roman" w:hAnsi="Times New Roman"/>
          <w:sz w:val="22"/>
          <w:szCs w:val="22"/>
          <w:color w:val="auto"/>
        </w:rPr>
        <w:t>d. At least one ‘mixing/kneading shaft’ mounted off center.</w:t>
      </w:r>
    </w:p>
    <w:p>
      <w:pPr>
        <w:spacing w:after="0" w:line="266" w:lineRule="exact"/>
        <w:rPr>
          <w:sz w:val="20"/>
          <w:szCs w:val="20"/>
          <w:color w:val="auto"/>
        </w:rPr>
      </w:pPr>
    </w:p>
    <w:p>
      <w:pPr>
        <w:jc w:val="both"/>
        <w:ind w:right="260" w:firstLine="72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paragraph d: </w:t>
      </w:r>
      <w:r>
        <w:rPr>
          <w:rFonts w:ascii="Times New Roman" w:cs="Times New Roman" w:eastAsia="Times New Roman" w:hAnsi="Times New Roman"/>
          <w:sz w:val="22"/>
          <w:szCs w:val="22"/>
          <w:i w:val="1"/>
          <w:iCs w:val="1"/>
          <w:color w:val="auto"/>
        </w:rPr>
        <w:t>In 1B117.d.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term ‘mixing/kneading shaft’ does not refer to deagglomerators or knife-spindles.</w:t>
      </w:r>
    </w:p>
    <w:p>
      <w:pPr>
        <w:spacing w:after="0" w:line="200" w:lineRule="exact"/>
        <w:rPr>
          <w:sz w:val="20"/>
          <w:szCs w:val="20"/>
          <w:color w:val="auto"/>
        </w:rPr>
      </w:pPr>
    </w:p>
    <w:p>
      <w:pPr>
        <w:spacing w:after="0" w:line="31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1B118 Continuous mixers having all of the following (see List of Items Controlled), and</w:t>
      </w:r>
    </w:p>
    <w:p>
      <w:pPr>
        <w:spacing w:after="0" w:line="13"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“specially designed” “parts” and “components” therefor.</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1B115, 1B117,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1B119.</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Capable of mixing under vacuum in the range from zero to 13.326 kPa;</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 xml:space="preserve">b. Capable of controlling the temperature of the mixing chamber; </w:t>
      </w:r>
      <w:r>
        <w:rPr>
          <w:rFonts w:ascii="Times New Roman" w:cs="Times New Roman" w:eastAsia="Times New Roman" w:hAnsi="Times New Roman"/>
          <w:sz w:val="22"/>
          <w:szCs w:val="22"/>
          <w:i w:val="1"/>
          <w:iCs w:val="1"/>
          <w:u w:val="single" w:color="auto"/>
          <w:color w:val="auto"/>
        </w:rPr>
        <w:t>and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Either of the following:</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c.1. Two or more mixing/kneading shafts;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2733675</wp:posOffset>
                </wp:positionH>
                <wp:positionV relativeFrom="paragraph">
                  <wp:posOffset>-16510</wp:posOffset>
                </wp:positionV>
                <wp:extent cx="12065" cy="1270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18" o:spid="_x0000_s1043" style="position:absolute;margin-left:215.25pt;margin-top:-1.29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4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c.2. A single rotating and oscillating shaft with kneading teeth/pins as well as kneading teeth/pins inside the casing of the mixing chamber.</w:t>
      </w:r>
    </w:p>
    <w:p>
      <w:pPr>
        <w:spacing w:after="0" w:line="200" w:lineRule="exact"/>
        <w:rPr>
          <w:sz w:val="20"/>
          <w:szCs w:val="20"/>
          <w:color w:val="auto"/>
        </w:rPr>
      </w:pPr>
    </w:p>
    <w:p>
      <w:pPr>
        <w:spacing w:after="0" w:line="324"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1B119 Fluid energy mills usable for grinding or milling propellant or propellant constituents specified in 1C011.a, 1C011.b or 1C111, or on the U.S. Munitions List</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b w:val="1"/>
          <w:bCs w:val="1"/>
          <w:color w:val="auto"/>
        </w:rPr>
        <w:t xml:space="preserve"> and</w:t>
      </w:r>
    </w:p>
    <w:p>
      <w:pPr>
        <w:spacing w:after="0" w:line="1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“specially designed” “parts” and “components” therefor.</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453"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3" w:name="page24"/>
    <w:bookmarkEnd w:id="2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24</w:t>
      </w:r>
    </w:p>
    <w:p>
      <w:pPr>
        <w:sectPr>
          <w:pgSz w:w="12240" w:h="15840" w:orient="portrait"/>
          <w:cols w:equalWidth="0" w:num="1">
            <w:col w:w="9360"/>
          </w:cols>
          <w:pgMar w:left="1440" w:top="1293" w:right="1440" w:bottom="124"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1B115, 1B117,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1B118.</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1B201 Filament winding machines (other than those controlled by ECCN 1B001 or 1B101) and related equipment, as described in this ECCN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software for items controlled by this entry and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auto"/>
        </w:rPr>
        <w:t xml:space="preserve"> (“use”) for technology for items controlled by this entry. Also see ECCN </w:t>
      </w:r>
      <w:r>
        <w:rPr>
          <w:rFonts w:ascii="Times New Roman" w:cs="Times New Roman" w:eastAsia="Times New Roman" w:hAnsi="Times New Roman"/>
          <w:sz w:val="22"/>
          <w:szCs w:val="22"/>
          <w:u w:val="single" w:color="auto"/>
          <w:color w:val="0000FF"/>
        </w:rPr>
        <w:t>1E203</w:t>
      </w:r>
      <w:r>
        <w:rPr>
          <w:rFonts w:ascii="Times New Roman" w:cs="Times New Roman" w:eastAsia="Times New Roman" w:hAnsi="Times New Roman"/>
          <w:sz w:val="22"/>
          <w:szCs w:val="22"/>
          <w:color w:val="auto"/>
        </w:rPr>
        <w:t xml:space="preserve"> for technology for the “development” of software controlled by ECCN </w:t>
      </w:r>
      <w:r>
        <w:rPr>
          <w:rFonts w:ascii="Times New Roman" w:cs="Times New Roman" w:eastAsia="Times New Roman" w:hAnsi="Times New Roman"/>
          <w:sz w:val="22"/>
          <w:szCs w:val="22"/>
          <w:u w:val="single" w:color="auto"/>
          <w:color w:val="0000FF"/>
        </w:rPr>
        <w:t>1D201</w:t>
      </w:r>
      <w:r>
        <w:rPr>
          <w:rFonts w:ascii="Times New Roman" w:cs="Times New Roman" w:eastAsia="Times New Roman" w:hAnsi="Times New Roman"/>
          <w:sz w:val="22"/>
          <w:szCs w:val="22"/>
          <w:color w:val="auto"/>
        </w:rPr>
        <w:t>.</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34" w:lineRule="auto"/>
        <w:tabs>
          <w:tab w:leader="none" w:pos="329"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Filament winding machines having all of the following characteristics: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a.1. Having motions for positioning, wrapping, and winding fibers coordinated and programmed in two or more axes;</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a.2. “Specially designed” to fabricate composite structures or laminates from “fibrous or filamentary materials”;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a.3. Capable of winding cylindrical tubes with an internal diameter between 75 mm and 650 mm and lengths of 300 mm or greater;</w:t>
      </w:r>
    </w:p>
    <w:p>
      <w:pPr>
        <w:spacing w:after="0" w:line="268" w:lineRule="exact"/>
        <w:rPr>
          <w:sz w:val="20"/>
          <w:szCs w:val="20"/>
          <w:color w:val="auto"/>
        </w:rPr>
      </w:pPr>
    </w:p>
    <w:p>
      <w:pPr>
        <w:jc w:val="both"/>
        <w:ind w:firstLine="1"/>
        <w:spacing w:after="0" w:line="236" w:lineRule="auto"/>
        <w:tabs>
          <w:tab w:leader="none" w:pos="344" w:val="left"/>
        </w:tabs>
        <w:numPr>
          <w:ilvl w:val="0"/>
          <w:numId w:val="5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Coordinating and programming controls for filament winding machines controlled by 1B201.a;</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437" w:val="left"/>
        </w:tabs>
        <w:numPr>
          <w:ilvl w:val="0"/>
          <w:numId w:val="5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Precision mandrels for filament winding machines controlled by 1B201.a.</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1B225 Electrolytic cells for fluorine production with a production capacity greater than 250 g of fluorine per hour.</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 (2) See ECCN</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4" w:name="page25"/>
    <w:bookmarkEnd w:id="24"/>
    <w:tbl>
      <w:tblPr>
        <w:tblLayout w:type="fixed"/>
        <w:tblInd w:w="0" w:type="dxa"/>
        <w:tblCellMar>
          <w:top w:w="0" w:type="dxa"/>
          <w:left w:w="0" w:type="dxa"/>
          <w:bottom w:w="0" w:type="dxa"/>
          <w:right w:w="0" w:type="dxa"/>
        </w:tblCellMar>
      </w:tblPr>
      <w:tr>
        <w:trPr>
          <w:trHeight w:val="207"/>
        </w:trPr>
        <w:tc>
          <w:tcPr>
            <w:tcW w:w="2200" w:type="dxa"/>
            <w:vAlign w:val="bottom"/>
            <w:gridSpan w:val="3"/>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1080" w:type="dxa"/>
            <w:vAlign w:val="bottom"/>
          </w:tcPr>
          <w:p>
            <w:pPr>
              <w:spacing w:after="0"/>
              <w:rPr>
                <w:sz w:val="17"/>
                <w:szCs w:val="17"/>
                <w:color w:val="auto"/>
              </w:rPr>
            </w:pPr>
          </w:p>
        </w:tc>
        <w:tc>
          <w:tcPr>
            <w:tcW w:w="4120" w:type="dxa"/>
            <w:vAlign w:val="bottom"/>
            <w:gridSpan w:val="2"/>
          </w:tcPr>
          <w:p>
            <w:pPr>
              <w:ind w:left="28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1960" w:type="dxa"/>
            <w:vAlign w:val="bottom"/>
          </w:tcPr>
          <w:p>
            <w:pPr>
              <w:jc w:val="right"/>
              <w:spacing w:after="0"/>
              <w:rPr>
                <w:sz w:val="20"/>
                <w:szCs w:val="20"/>
                <w:color w:val="auto"/>
              </w:rPr>
            </w:pPr>
            <w:r>
              <w:rPr>
                <w:rFonts w:ascii="Times New Roman" w:cs="Times New Roman" w:eastAsia="Times New Roman" w:hAnsi="Times New Roman"/>
                <w:sz w:val="18"/>
                <w:szCs w:val="18"/>
                <w:b w:val="1"/>
                <w:bCs w:val="1"/>
                <w:color w:val="auto"/>
              </w:rPr>
              <w:t>Category 1—page 25</w:t>
            </w:r>
          </w:p>
        </w:tc>
      </w:tr>
      <w:tr>
        <w:trPr>
          <w:trHeight w:val="506"/>
        </w:trPr>
        <w:tc>
          <w:tcPr>
            <w:tcW w:w="360" w:type="dxa"/>
            <w:vAlign w:val="bottom"/>
          </w:tcPr>
          <w:p>
            <w:pPr>
              <w:spacing w:after="0"/>
              <w:rPr>
                <w:sz w:val="24"/>
                <w:szCs w:val="24"/>
                <w:color w:val="auto"/>
              </w:rPr>
            </w:pPr>
          </w:p>
        </w:tc>
        <w:tc>
          <w:tcPr>
            <w:tcW w:w="1840" w:type="dxa"/>
            <w:vAlign w:val="bottom"/>
            <w:gridSpan w:val="2"/>
          </w:tcPr>
          <w:p>
            <w:pPr>
              <w:spacing w:after="0"/>
              <w:rPr>
                <w:sz w:val="20"/>
                <w:szCs w:val="20"/>
                <w:color w:val="auto"/>
              </w:rPr>
            </w:pPr>
            <w:r>
              <w:rPr>
                <w:rFonts w:ascii="Times New Roman" w:cs="Times New Roman" w:eastAsia="Times New Roman" w:hAnsi="Times New Roman"/>
                <w:sz w:val="22"/>
                <w:szCs w:val="22"/>
                <w:color w:val="0000FF"/>
              </w:rPr>
              <w:t xml:space="preserve">1B999  </w:t>
            </w:r>
            <w:r>
              <w:rPr>
                <w:rFonts w:ascii="Times New Roman" w:cs="Times New Roman" w:eastAsia="Times New Roman" w:hAnsi="Times New Roman"/>
                <w:sz w:val="22"/>
                <w:szCs w:val="22"/>
                <w:color w:val="000000"/>
              </w:rPr>
              <w:t>for  specific</w:t>
            </w:r>
          </w:p>
        </w:tc>
        <w:tc>
          <w:tcPr>
            <w:tcW w:w="1080" w:type="dxa"/>
            <w:vAlign w:val="bottom"/>
          </w:tcPr>
          <w:p>
            <w:pPr>
              <w:ind w:left="60"/>
              <w:spacing w:after="0"/>
              <w:rPr>
                <w:sz w:val="20"/>
                <w:szCs w:val="20"/>
                <w:color w:val="auto"/>
              </w:rPr>
            </w:pPr>
            <w:r>
              <w:rPr>
                <w:rFonts w:ascii="Times New Roman" w:cs="Times New Roman" w:eastAsia="Times New Roman" w:hAnsi="Times New Roman"/>
                <w:sz w:val="22"/>
                <w:szCs w:val="22"/>
                <w:color w:val="auto"/>
              </w:rPr>
              <w:t>processing</w:t>
            </w:r>
          </w:p>
        </w:tc>
        <w:tc>
          <w:tcPr>
            <w:tcW w:w="1580" w:type="dxa"/>
            <w:vAlign w:val="bottom"/>
          </w:tcPr>
          <w:p>
            <w:pPr>
              <w:ind w:left="60"/>
              <w:spacing w:after="0"/>
              <w:rPr>
                <w:sz w:val="20"/>
                <w:szCs w:val="20"/>
                <w:color w:val="auto"/>
              </w:rPr>
            </w:pPr>
            <w:r>
              <w:rPr>
                <w:rFonts w:ascii="Times New Roman" w:cs="Times New Roman" w:eastAsia="Times New Roman" w:hAnsi="Times New Roman"/>
                <w:sz w:val="22"/>
                <w:szCs w:val="22"/>
                <w:color w:val="auto"/>
              </w:rPr>
              <w:t>equipment,</w:t>
            </w:r>
          </w:p>
        </w:tc>
        <w:tc>
          <w:tcPr>
            <w:tcW w:w="2540" w:type="dxa"/>
            <w:vAlign w:val="bottom"/>
          </w:tcPr>
          <w:p>
            <w:pPr>
              <w:ind w:left="540"/>
              <w:spacing w:after="0"/>
              <w:rPr>
                <w:sz w:val="20"/>
                <w:szCs w:val="20"/>
                <w:color w:val="auto"/>
              </w:rPr>
            </w:pPr>
            <w:r>
              <w:rPr>
                <w:rFonts w:ascii="Times New Roman" w:cs="Times New Roman" w:eastAsia="Times New Roman" w:hAnsi="Times New Roman"/>
                <w:sz w:val="22"/>
                <w:szCs w:val="22"/>
                <w:color w:val="auto"/>
              </w:rPr>
              <w:t>those  configurations</w:t>
            </w:r>
          </w:p>
        </w:tc>
        <w:tc>
          <w:tcPr>
            <w:tcW w:w="19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in  which  they  are</w:t>
            </w:r>
          </w:p>
        </w:tc>
      </w:tr>
      <w:tr>
        <w:trPr>
          <w:trHeight w:val="255"/>
        </w:trPr>
        <w:tc>
          <w:tcPr>
            <w:tcW w:w="360" w:type="dxa"/>
            <w:vAlign w:val="bottom"/>
          </w:tcPr>
          <w:p>
            <w:pPr>
              <w:spacing w:after="0"/>
              <w:rPr>
                <w:sz w:val="22"/>
                <w:szCs w:val="22"/>
                <w:color w:val="auto"/>
              </w:rPr>
            </w:pPr>
          </w:p>
        </w:tc>
        <w:tc>
          <w:tcPr>
            <w:tcW w:w="580" w:type="dxa"/>
            <w:vAlign w:val="bottom"/>
            <w:tcBorders>
              <w:top w:val="single" w:sz="8" w:color="0000FF"/>
            </w:tcBorders>
          </w:tcPr>
          <w:p>
            <w:pPr>
              <w:spacing w:after="0"/>
              <w:rPr>
                <w:sz w:val="20"/>
                <w:szCs w:val="20"/>
                <w:color w:val="auto"/>
              </w:rPr>
            </w:pPr>
            <w:r>
              <w:rPr>
                <w:rFonts w:ascii="Times New Roman" w:cs="Times New Roman" w:eastAsia="Times New Roman" w:hAnsi="Times New Roman"/>
                <w:sz w:val="22"/>
                <w:szCs w:val="22"/>
                <w:color w:val="auto"/>
              </w:rPr>
              <w:t>n.e.s.</w:t>
            </w:r>
          </w:p>
        </w:tc>
        <w:tc>
          <w:tcPr>
            <w:tcW w:w="1260" w:type="dxa"/>
            <w:vAlign w:val="bottom"/>
          </w:tcPr>
          <w:p>
            <w:pPr>
              <w:spacing w:after="0"/>
              <w:rPr>
                <w:sz w:val="22"/>
                <w:szCs w:val="22"/>
                <w:color w:val="auto"/>
              </w:rPr>
            </w:pPr>
          </w:p>
        </w:tc>
        <w:tc>
          <w:tcPr>
            <w:tcW w:w="1080" w:type="dxa"/>
            <w:vAlign w:val="bottom"/>
          </w:tcPr>
          <w:p>
            <w:pPr>
              <w:spacing w:after="0"/>
              <w:rPr>
                <w:sz w:val="22"/>
                <w:szCs w:val="22"/>
                <w:color w:val="auto"/>
              </w:rPr>
            </w:pPr>
          </w:p>
        </w:tc>
        <w:tc>
          <w:tcPr>
            <w:tcW w:w="1580" w:type="dxa"/>
            <w:vAlign w:val="bottom"/>
          </w:tcPr>
          <w:p>
            <w:pPr>
              <w:spacing w:after="0"/>
              <w:rPr>
                <w:sz w:val="22"/>
                <w:szCs w:val="22"/>
                <w:color w:val="auto"/>
              </w:rPr>
            </w:pPr>
          </w:p>
        </w:tc>
        <w:tc>
          <w:tcPr>
            <w:tcW w:w="2540" w:type="dxa"/>
            <w:vAlign w:val="bottom"/>
          </w:tcPr>
          <w:p>
            <w:pPr>
              <w:ind w:left="540"/>
              <w:spacing w:after="0"/>
              <w:rPr>
                <w:sz w:val="20"/>
                <w:szCs w:val="20"/>
                <w:color w:val="auto"/>
              </w:rPr>
            </w:pPr>
            <w:r>
              <w:rPr>
                <w:rFonts w:ascii="Times New Roman" w:cs="Times New Roman" w:eastAsia="Times New Roman" w:hAnsi="Times New Roman"/>
                <w:sz w:val="22"/>
                <w:szCs w:val="22"/>
                <w:color w:val="auto"/>
              </w:rPr>
              <w:t>external to the field.</w:t>
            </w:r>
          </w:p>
        </w:tc>
        <w:tc>
          <w:tcPr>
            <w:tcW w:w="1960" w:type="dxa"/>
            <w:vAlign w:val="bottom"/>
          </w:tcPr>
          <w:p>
            <w:pPr>
              <w:spacing w:after="0"/>
              <w:rPr>
                <w:sz w:val="22"/>
                <w:szCs w:val="22"/>
                <w:color w:val="auto"/>
              </w:rPr>
            </w:pPr>
          </w:p>
        </w:tc>
      </w:tr>
      <w:tr>
        <w:trPr>
          <w:trHeight w:val="253"/>
        </w:trPr>
        <w:tc>
          <w:tcPr>
            <w:tcW w:w="360" w:type="dxa"/>
            <w:vAlign w:val="bottom"/>
          </w:tcPr>
          <w:p>
            <w:pPr>
              <w:spacing w:after="0"/>
              <w:rPr>
                <w:sz w:val="22"/>
                <w:szCs w:val="22"/>
                <w:color w:val="auto"/>
              </w:rPr>
            </w:pPr>
          </w:p>
        </w:tc>
        <w:tc>
          <w:tcPr>
            <w:tcW w:w="1840" w:type="dxa"/>
            <w:vAlign w:val="bottom"/>
            <w:gridSpan w:val="2"/>
          </w:tcPr>
          <w:p>
            <w:pPr>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p>
        </w:tc>
        <w:tc>
          <w:tcPr>
            <w:tcW w:w="10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N/A</w:t>
            </w:r>
          </w:p>
        </w:tc>
        <w:tc>
          <w:tcPr>
            <w:tcW w:w="1580" w:type="dxa"/>
            <w:vAlign w:val="bottom"/>
          </w:tcPr>
          <w:p>
            <w:pPr>
              <w:spacing w:after="0"/>
              <w:rPr>
                <w:sz w:val="22"/>
                <w:szCs w:val="22"/>
                <w:color w:val="auto"/>
              </w:rPr>
            </w:pPr>
          </w:p>
        </w:tc>
        <w:tc>
          <w:tcPr>
            <w:tcW w:w="2540" w:type="dxa"/>
            <w:vAlign w:val="bottom"/>
          </w:tcPr>
          <w:p>
            <w:pPr>
              <w:ind w:left="54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tc>
        <w:tc>
          <w:tcPr>
            <w:tcW w:w="1960" w:type="dxa"/>
            <w:vAlign w:val="bottom"/>
          </w:tcPr>
          <w:p>
            <w:pPr>
              <w:spacing w:after="0"/>
              <w:rPr>
                <w:sz w:val="22"/>
                <w:szCs w:val="22"/>
                <w:color w:val="auto"/>
              </w:rPr>
            </w:pPr>
          </w:p>
        </w:tc>
      </w:tr>
      <w:tr>
        <w:trPr>
          <w:trHeight w:val="254"/>
        </w:trPr>
        <w:tc>
          <w:tcPr>
            <w:tcW w:w="360" w:type="dxa"/>
            <w:vAlign w:val="bottom"/>
          </w:tcPr>
          <w:p>
            <w:pPr>
              <w:spacing w:after="0"/>
              <w:rPr>
                <w:sz w:val="22"/>
                <w:szCs w:val="22"/>
                <w:color w:val="auto"/>
              </w:rPr>
            </w:pPr>
          </w:p>
        </w:tc>
        <w:tc>
          <w:tcPr>
            <w:tcW w:w="1840" w:type="dxa"/>
            <w:vAlign w:val="bottom"/>
            <w:gridSpan w:val="2"/>
          </w:tcPr>
          <w:p>
            <w:pPr>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tc>
        <w:tc>
          <w:tcPr>
            <w:tcW w:w="1080" w:type="dxa"/>
            <w:vAlign w:val="bottom"/>
          </w:tcPr>
          <w:p>
            <w:pPr>
              <w:spacing w:after="0"/>
              <w:rPr>
                <w:sz w:val="22"/>
                <w:szCs w:val="22"/>
                <w:color w:val="auto"/>
              </w:rPr>
            </w:pPr>
          </w:p>
        </w:tc>
        <w:tc>
          <w:tcPr>
            <w:tcW w:w="1580" w:type="dxa"/>
            <w:vAlign w:val="bottom"/>
          </w:tcPr>
          <w:p>
            <w:pPr>
              <w:spacing w:after="0"/>
              <w:rPr>
                <w:sz w:val="22"/>
                <w:szCs w:val="22"/>
                <w:color w:val="auto"/>
              </w:rPr>
            </w:pPr>
          </w:p>
        </w:tc>
        <w:tc>
          <w:tcPr>
            <w:tcW w:w="2540" w:type="dxa"/>
            <w:vAlign w:val="bottom"/>
          </w:tcPr>
          <w:p>
            <w:pPr>
              <w:spacing w:after="0"/>
              <w:rPr>
                <w:sz w:val="22"/>
                <w:szCs w:val="22"/>
                <w:color w:val="auto"/>
              </w:rPr>
            </w:pPr>
          </w:p>
        </w:tc>
        <w:tc>
          <w:tcPr>
            <w:tcW w:w="1960" w:type="dxa"/>
            <w:vAlign w:val="bottom"/>
          </w:tcPr>
          <w:p>
            <w:pPr>
              <w:spacing w:after="0"/>
              <w:rPr>
                <w:sz w:val="22"/>
                <w:szCs w:val="22"/>
                <w:color w:val="auto"/>
              </w:rPr>
            </w:pPr>
          </w:p>
        </w:tc>
      </w:tr>
    </w:tbl>
    <w:p>
      <w:pPr>
        <w:spacing w:after="0" w:line="13" w:lineRule="exact"/>
        <w:rPr>
          <w:sz w:val="20"/>
          <w:szCs w:val="20"/>
          <w:color w:val="auto"/>
        </w:rPr>
      </w:pPr>
    </w:p>
    <w:p>
      <w:pPr>
        <w:sectPr>
          <w:pgSz w:w="12240" w:h="15840" w:orient="portrait"/>
          <w:cols w:equalWidth="0" w:num="1">
            <w:col w:w="9360"/>
          </w:cols>
          <w:pgMar w:left="1440" w:top="1293" w:right="1440" w:bottom="124" w:gutter="0" w:footer="0" w:header="0"/>
        </w:sectPr>
      </w:pPr>
    </w:p>
    <w:p>
      <w:pPr>
        <w:spacing w:after="0" w:line="25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1B226 Electromagnetic isotope separators, designed for, or equipped with, single or multiple ion sources capable of providing a total ion beam current of 50 mA or greater.</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Electromagnetic</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isotope separators “specially designed” or prepared for use in separating uranium isotopes are subject to the export licensing authority of the Nuclear Regulatory Commission (see 10 CFR part 110). (2)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auto"/>
        </w:rPr>
        <w:t xml:space="preserve"> (“use”) for technology for items controlled by this entry.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1"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includes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separators capable of enriching stable isotopes and separators with the ion sources and collectors both in the magnetic field and</w:t>
      </w:r>
    </w:p>
    <w:p>
      <w:pPr>
        <w:spacing w:after="0" w:line="20" w:lineRule="exact"/>
        <w:rPr>
          <w:sz w:val="20"/>
          <w:szCs w:val="20"/>
          <w:color w:val="auto"/>
        </w:rPr>
      </w:pPr>
      <w:r>
        <w:rPr>
          <w:sz w:val="20"/>
          <w:szCs w:val="20"/>
          <w:color w:val="auto"/>
        </w:rPr>
        <w:br w:type="column"/>
      </w:r>
    </w:p>
    <w:p>
      <w:pPr>
        <w:jc w:val="both"/>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1B228 Hydrogen cryogenic distillation columns having all of the characteristics described in this ECCN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Equipment</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“specially</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designed” or prepared for the production of heavy water is subject to the export licensing authority of the Nuclear Regulatory Commission (see 10 CFR part 110). (2) See ECCNs </w:t>
      </w:r>
      <w:r>
        <w:rPr>
          <w:rFonts w:ascii="Times New Roman" w:cs="Times New Roman" w:eastAsia="Times New Roman" w:hAnsi="Times New Roman"/>
          <w:sz w:val="21"/>
          <w:szCs w:val="21"/>
          <w:u w:val="single" w:color="auto"/>
          <w:color w:val="0000FF"/>
        </w:rPr>
        <w:t>1E001</w:t>
      </w:r>
      <w:r>
        <w:rPr>
          <w:rFonts w:ascii="Times New Roman" w:cs="Times New Roman" w:eastAsia="Times New Roman" w:hAnsi="Times New Roman"/>
          <w:sz w:val="21"/>
          <w:szCs w:val="21"/>
          <w:color w:val="auto"/>
        </w:rPr>
        <w:t xml:space="preserve"> (“development” and “production”) and </w:t>
      </w:r>
      <w:r>
        <w:rPr>
          <w:rFonts w:ascii="Times New Roman" w:cs="Times New Roman" w:eastAsia="Times New Roman" w:hAnsi="Times New Roman"/>
          <w:sz w:val="21"/>
          <w:szCs w:val="21"/>
          <w:u w:val="single" w:color="auto"/>
          <w:color w:val="0000FF"/>
        </w:rPr>
        <w:t>1E201</w:t>
      </w:r>
      <w:r>
        <w:rPr>
          <w:rFonts w:ascii="Times New Roman" w:cs="Times New Roman" w:eastAsia="Times New Roman" w:hAnsi="Times New Roman"/>
          <w:sz w:val="21"/>
          <w:szCs w:val="21"/>
          <w:color w:val="auto"/>
        </w:rPr>
        <w:t xml:space="preserve"> (“use”) for technology for items controlled by this entry. </w:t>
      </w: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(1) The term “fine</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grain stainless steels,” for purposes of this ECCN, means fine grain austenitic stainless steels with an ASTM (or equivalent standard) grain size number of 5 or greater. (2) The term “effective length,” for purposes of this ECCN, means the active height of packing material in a packed-type column, or the</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5" w:name="page26"/>
    <w:bookmarkEnd w:id="2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color w:val="auto"/>
        </w:rPr>
        <w:t>active height of internal contactor plates in a plate-type column.</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43" w:lineRule="auto"/>
        <w:tabs>
          <w:tab w:leader="none" w:pos="644" w:val="left"/>
        </w:tabs>
        <w:numPr>
          <w:ilvl w:val="0"/>
          <w:numId w:val="5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to operate with internal temperatures of 35 K (-238 C) or less;</w:t>
      </w:r>
    </w:p>
    <w:p>
      <w:pPr>
        <w:spacing w:after="0" w:line="9" w:lineRule="exact"/>
        <w:rPr>
          <w:rFonts w:ascii="Times New Roman" w:cs="Times New Roman" w:eastAsia="Times New Roman" w:hAnsi="Times New Roman"/>
          <w:sz w:val="22"/>
          <w:szCs w:val="22"/>
          <w:color w:val="auto"/>
        </w:rPr>
      </w:pPr>
    </w:p>
    <w:p>
      <w:pPr>
        <w:spacing w:after="0" w:line="234" w:lineRule="auto"/>
        <w:tabs>
          <w:tab w:leader="none" w:pos="341" w:val="left"/>
        </w:tabs>
        <w:numPr>
          <w:ilvl w:val="0"/>
          <w:numId w:val="5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to operate at an internal pressure of 0.5 to 5 MPa (5 to 50 atmospheres);</w:t>
      </w:r>
    </w:p>
    <w:p>
      <w:pPr>
        <w:spacing w:after="0" w:line="265" w:lineRule="exact"/>
        <w:rPr>
          <w:rFonts w:ascii="Times New Roman" w:cs="Times New Roman" w:eastAsia="Times New Roman" w:hAnsi="Times New Roman"/>
          <w:sz w:val="22"/>
          <w:szCs w:val="22"/>
          <w:color w:val="auto"/>
        </w:rPr>
      </w:pPr>
    </w:p>
    <w:p>
      <w:pPr>
        <w:jc w:val="both"/>
        <w:spacing w:after="0" w:line="237" w:lineRule="auto"/>
        <w:tabs>
          <w:tab w:leader="none" w:pos="329" w:val="left"/>
        </w:tabs>
        <w:numPr>
          <w:ilvl w:val="0"/>
          <w:numId w:val="5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Constructed of “fine-grain stainless steels” of the 300 series with low sulphur content or equivalent cryogenic and H</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xml:space="preserve">-compatible materials; </w:t>
      </w:r>
      <w:r>
        <w:rPr>
          <w:rFonts w:ascii="Times New Roman" w:cs="Times New Roman" w:eastAsia="Times New Roman" w:hAnsi="Times New Roman"/>
          <w:sz w:val="22"/>
          <w:szCs w:val="22"/>
          <w:i w:val="1"/>
          <w:iCs w:val="1"/>
          <w:color w:val="auto"/>
        </w:rPr>
        <w:t>and</w:t>
      </w:r>
    </w:p>
    <w:p>
      <w:pPr>
        <w:spacing w:after="0" w:line="265" w:lineRule="exact"/>
        <w:rPr>
          <w:rFonts w:ascii="Times New Roman" w:cs="Times New Roman" w:eastAsia="Times New Roman" w:hAnsi="Times New Roman"/>
          <w:sz w:val="22"/>
          <w:szCs w:val="22"/>
          <w:color w:val="auto"/>
        </w:rPr>
      </w:pPr>
    </w:p>
    <w:p>
      <w:pPr>
        <w:spacing w:after="0" w:line="234" w:lineRule="auto"/>
        <w:tabs>
          <w:tab w:leader="none" w:pos="342" w:val="left"/>
        </w:tabs>
        <w:numPr>
          <w:ilvl w:val="0"/>
          <w:numId w:val="5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With internal diameters of 30 cm or greater and “effective lengths” of 4 m or greater.</w:t>
      </w:r>
    </w:p>
    <w:p>
      <w:pPr>
        <w:spacing w:after="0" w:line="200" w:lineRule="exact"/>
        <w:rPr>
          <w:sz w:val="20"/>
          <w:szCs w:val="20"/>
          <w:color w:val="auto"/>
        </w:rPr>
      </w:pPr>
    </w:p>
    <w:p>
      <w:pPr>
        <w:spacing w:after="0" w:line="321"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1B229 Water-hydrogen sulphide exchange tray columns and internal contactors,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2"/>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Equipment</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“specially</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designed” or prepared for the production of heavy water is subject to the export licensing authority of the Nuclear Regulatory Commission (see 10 CFR part 110). (2) See ECCNs </w:t>
      </w:r>
      <w:r>
        <w:rPr>
          <w:rFonts w:ascii="Times New Roman" w:cs="Times New Roman" w:eastAsia="Times New Roman" w:hAnsi="Times New Roman"/>
          <w:sz w:val="21"/>
          <w:szCs w:val="21"/>
          <w:u w:val="single" w:color="auto"/>
          <w:color w:val="0000FF"/>
        </w:rPr>
        <w:t>1E001</w:t>
      </w:r>
      <w:r>
        <w:rPr>
          <w:rFonts w:ascii="Times New Roman" w:cs="Times New Roman" w:eastAsia="Times New Roman" w:hAnsi="Times New Roman"/>
          <w:sz w:val="21"/>
          <w:szCs w:val="21"/>
          <w:color w:val="auto"/>
        </w:rPr>
        <w:t xml:space="preserve"> (“development” and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50" w:lineRule="auto"/>
        <w:rPr>
          <w:sz w:val="20"/>
          <w:szCs w:val="20"/>
          <w:color w:val="auto"/>
        </w:rPr>
      </w:pPr>
      <w:r>
        <w:rPr>
          <w:rFonts w:ascii="Times New Roman" w:cs="Times New Roman" w:eastAsia="Times New Roman" w:hAnsi="Times New Roman"/>
          <w:sz w:val="21"/>
          <w:szCs w:val="21"/>
          <w:color w:val="auto"/>
        </w:rPr>
        <w:t xml:space="preserve">“production”) and </w:t>
      </w:r>
      <w:r>
        <w:rPr>
          <w:rFonts w:ascii="Times New Roman" w:cs="Times New Roman" w:eastAsia="Times New Roman" w:hAnsi="Times New Roman"/>
          <w:sz w:val="21"/>
          <w:szCs w:val="21"/>
          <w:u w:val="single" w:color="auto"/>
          <w:color w:val="0000FF"/>
        </w:rPr>
        <w:t>1E201</w:t>
      </w:r>
      <w:r>
        <w:rPr>
          <w:rFonts w:ascii="Times New Roman" w:cs="Times New Roman" w:eastAsia="Times New Roman" w:hAnsi="Times New Roman"/>
          <w:sz w:val="21"/>
          <w:szCs w:val="21"/>
          <w:color w:val="auto"/>
        </w:rPr>
        <w:t xml:space="preserve"> (“use”) for technology for items controlled by this entry.</w:t>
      </w:r>
    </w:p>
    <w:p>
      <w:pPr>
        <w:spacing w:after="0" w:line="3"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 The”internal</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contactors” controlled by </w:t>
      </w:r>
      <w:r>
        <w:rPr>
          <w:rFonts w:ascii="Times New Roman" w:cs="Times New Roman" w:eastAsia="Times New Roman" w:hAnsi="Times New Roman"/>
          <w:sz w:val="21"/>
          <w:szCs w:val="21"/>
          <w:u w:val="single" w:color="auto"/>
          <w:color w:val="0000FF"/>
        </w:rPr>
        <w:t>1B229.b</w:t>
      </w:r>
      <w:r>
        <w:rPr>
          <w:rFonts w:ascii="Times New Roman" w:cs="Times New Roman" w:eastAsia="Times New Roman" w:hAnsi="Times New Roman"/>
          <w:sz w:val="21"/>
          <w:szCs w:val="21"/>
          <w:color w:val="auto"/>
        </w:rPr>
        <w:t xml:space="preserve"> are segmented trays that have an effective assembled diameter of 1.8 m (6 ft.) or greater, are designed to facilitate countercurrent contacting, and are constructed of stainless steels with a carbon content of 0.03% or less. These may be sieve trays, valve trays, bubble cap trays, or turbogrid trays.</w:t>
      </w:r>
    </w:p>
    <w:p>
      <w:pPr>
        <w:ind w:left="360"/>
        <w:spacing w:after="0" w:line="231" w:lineRule="auto"/>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ind w:firstLine="1"/>
        <w:spacing w:after="0" w:line="236" w:lineRule="auto"/>
        <w:tabs>
          <w:tab w:leader="none" w:pos="483"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Water-hydrogen sulphide exchange tray columns, having all of the following characteristics: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Can operate at pressures of 2 MPa or greater;</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 xml:space="preserve">a.2. Constructed of carbon steel having an austenitic ASTM (or equivalent standard) grain size number of 5 or greater; </w:t>
      </w:r>
      <w:r>
        <w:rPr>
          <w:rFonts w:ascii="Times New Roman" w:cs="Times New Roman" w:eastAsia="Times New Roman" w:hAnsi="Times New Roman"/>
          <w:sz w:val="22"/>
          <w:szCs w:val="22"/>
          <w:i w:val="1"/>
          <w:iCs w:val="1"/>
          <w:color w:val="auto"/>
        </w:rPr>
        <w:t>and</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a.3. With a diameter of 1.8 m (6 ft.) or greater;</w:t>
      </w:r>
    </w:p>
    <w:p>
      <w:pPr>
        <w:spacing w:after="0" w:line="265" w:lineRule="exact"/>
        <w:rPr>
          <w:sz w:val="20"/>
          <w:szCs w:val="20"/>
          <w:color w:val="auto"/>
        </w:rPr>
      </w:pPr>
    </w:p>
    <w:p>
      <w:pPr>
        <w:jc w:val="both"/>
        <w:ind w:firstLine="1"/>
        <w:spacing w:after="0" w:line="236" w:lineRule="auto"/>
        <w:tabs>
          <w:tab w:leader="none" w:pos="341" w:val="left"/>
        </w:tabs>
        <w:numPr>
          <w:ilvl w:val="0"/>
          <w:numId w:val="5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“Internal contactors” for the water-hydrogen sulphide exchange tray columns controlled by 1B229.a.</w:t>
      </w:r>
    </w:p>
    <w:p>
      <w:pPr>
        <w:spacing w:after="0" w:line="200" w:lineRule="exact"/>
        <w:rPr>
          <w:sz w:val="20"/>
          <w:szCs w:val="20"/>
          <w:color w:val="auto"/>
        </w:rPr>
      </w:pPr>
    </w:p>
    <w:p>
      <w:pPr>
        <w:spacing w:after="0" w:line="320"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1B230 Pumps capable of circulating solutions of concentrated or dilute potassium amide catalyst in liquid ammonia (KNH</w:t>
      </w:r>
      <w:r>
        <w:rPr>
          <w:rFonts w:ascii="Times New Roman" w:cs="Times New Roman" w:eastAsia="Times New Roman" w:hAnsi="Times New Roman"/>
          <w:sz w:val="14"/>
          <w:szCs w:val="14"/>
          <w:b w:val="1"/>
          <w:bCs w:val="1"/>
          <w:color w:val="auto"/>
        </w:rPr>
        <w:t>2</w:t>
      </w:r>
      <w:r>
        <w:rPr>
          <w:rFonts w:ascii="Times New Roman" w:cs="Times New Roman" w:eastAsia="Times New Roman" w:hAnsi="Times New Roman"/>
          <w:sz w:val="22"/>
          <w:szCs w:val="22"/>
          <w:b w:val="1"/>
          <w:bCs w:val="1"/>
          <w:color w:val="auto"/>
        </w:rPr>
        <w:t>/NH</w:t>
      </w:r>
      <w:r>
        <w:rPr>
          <w:rFonts w:ascii="Times New Roman" w:cs="Times New Roman" w:eastAsia="Times New Roman" w:hAnsi="Times New Roman"/>
          <w:sz w:val="14"/>
          <w:szCs w:val="14"/>
          <w:b w:val="1"/>
          <w:bCs w:val="1"/>
          <w:color w:val="auto"/>
        </w:rPr>
        <w:t>3</w:t>
      </w:r>
      <w:r>
        <w:rPr>
          <w:rFonts w:ascii="Times New Roman" w:cs="Times New Roman" w:eastAsia="Times New Roman" w:hAnsi="Times New Roman"/>
          <w:sz w:val="22"/>
          <w:szCs w:val="22"/>
          <w:b w:val="1"/>
          <w:bCs w:val="1"/>
          <w:color w:val="auto"/>
        </w:rPr>
        <w:t>), having all of the following characteristics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3"/>
        </w:trPr>
        <w:tc>
          <w:tcPr>
            <w:tcW w:w="2420" w:type="dxa"/>
            <w:vAlign w:val="bottom"/>
            <w:tcBorders>
              <w:left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2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07"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6" w:name="page27"/>
    <w:bookmarkEnd w:id="2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27</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Equipment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“specially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designed” or prepared for the production of heavy water is subject to the export licensing authority of the Nuclear Regulatory Commission (see 10 CFR part 110). (2)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auto"/>
        </w:rPr>
        <w:t xml:space="preserve"> (“use”) for technology for items controlled by this entry.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93" w:lineRule="exact"/>
        <w:rPr>
          <w:sz w:val="20"/>
          <w:szCs w:val="20"/>
          <w:color w:val="auto"/>
        </w:rPr>
      </w:pPr>
    </w:p>
    <w:p>
      <w:pPr>
        <w:ind w:left="320" w:hanging="320"/>
        <w:spacing w:after="0"/>
        <w:tabs>
          <w:tab w:leader="none" w:pos="320"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Airtight (i.e., hermetically sealed);</w:t>
      </w:r>
    </w:p>
    <w:p>
      <w:pPr>
        <w:spacing w:after="0" w:line="246"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capacity greater than 8.5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/h; </w:t>
      </w:r>
      <w:r>
        <w:rPr>
          <w:rFonts w:ascii="Times New Roman" w:cs="Times New Roman" w:eastAsia="Times New Roman" w:hAnsi="Times New Roman"/>
          <w:sz w:val="22"/>
          <w:szCs w:val="22"/>
          <w:i w:val="1"/>
          <w:iCs w:val="1"/>
          <w:color w:val="auto"/>
        </w:rPr>
        <w:t>and</w:t>
      </w:r>
    </w:p>
    <w:p>
      <w:pPr>
        <w:spacing w:after="0" w:line="190" w:lineRule="exact"/>
        <w:rPr>
          <w:rFonts w:ascii="Times New Roman" w:cs="Times New Roman" w:eastAsia="Times New Roman" w:hAnsi="Times New Roman"/>
          <w:sz w:val="22"/>
          <w:szCs w:val="22"/>
          <w:color w:val="auto"/>
        </w:rPr>
      </w:pPr>
    </w:p>
    <w:p>
      <w:pPr>
        <w:ind w:left="320" w:hanging="320"/>
        <w:spacing w:after="0"/>
        <w:tabs>
          <w:tab w:leader="none" w:pos="320"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Either of the following characteristics:</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c.1. For concentrated potassium amide solutions (1% or greater), an operating pressure of 1.5 to 60 MPa (15-600 atmospheres);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color w:val="auto"/>
        </w:rPr>
        <w:t>c.2. For dilute potassium amide solutions (less than 1%), an operating pressure of 20 to 60 MPa (200-600 atmospheres).</w:t>
      </w:r>
    </w:p>
    <w:p>
      <w:pPr>
        <w:spacing w:after="0" w:line="200" w:lineRule="exact"/>
        <w:rPr>
          <w:sz w:val="20"/>
          <w:szCs w:val="20"/>
          <w:color w:val="auto"/>
        </w:rPr>
      </w:pPr>
    </w:p>
    <w:p>
      <w:pPr>
        <w:spacing w:after="0" w:line="323"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1B231 Tritium facilities or plants, and equipment therefor,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Tritium, tritium</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compounds, and mixtures containing tritium are subject to the export licensing authority of the Nuclear Regulatory Commission (see 10 CFR part 110). (2)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firstLine="1"/>
        <w:spacing w:after="0" w:line="236" w:lineRule="auto"/>
        <w:tabs>
          <w:tab w:leader="none" w:pos="505" w:val="left"/>
        </w:tabs>
        <w:numPr>
          <w:ilvl w:val="0"/>
          <w:numId w:val="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Facilities or plant for the production, recovery, extraction, concentration, or handling of tritium;</w:t>
      </w:r>
    </w:p>
    <w:p>
      <w:pPr>
        <w:spacing w:after="0" w:line="266" w:lineRule="exact"/>
        <w:rPr>
          <w:rFonts w:ascii="Times New Roman" w:cs="Times New Roman" w:eastAsia="Times New Roman" w:hAnsi="Times New Roman"/>
          <w:sz w:val="22"/>
          <w:szCs w:val="22"/>
          <w:color w:val="auto"/>
        </w:rPr>
      </w:pPr>
    </w:p>
    <w:p>
      <w:pPr>
        <w:ind w:firstLine="1"/>
        <w:spacing w:after="0" w:line="233" w:lineRule="auto"/>
        <w:tabs>
          <w:tab w:leader="none" w:pos="352" w:val="left"/>
        </w:tabs>
        <w:numPr>
          <w:ilvl w:val="0"/>
          <w:numId w:val="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for tritium facilities or plant, as follows:</w:t>
      </w:r>
    </w:p>
    <w:p>
      <w:pPr>
        <w:spacing w:after="0" w:line="267" w:lineRule="exact"/>
        <w:rPr>
          <w:sz w:val="20"/>
          <w:szCs w:val="20"/>
          <w:color w:val="auto"/>
        </w:rPr>
      </w:pPr>
    </w:p>
    <w:p>
      <w:pPr>
        <w:jc w:val="both"/>
        <w:ind w:firstLine="360"/>
        <w:spacing w:after="0" w:line="242" w:lineRule="auto"/>
        <w:rPr>
          <w:sz w:val="20"/>
          <w:szCs w:val="20"/>
          <w:color w:val="auto"/>
        </w:rPr>
      </w:pPr>
      <w:r>
        <w:rPr>
          <w:rFonts w:ascii="Times New Roman" w:cs="Times New Roman" w:eastAsia="Times New Roman" w:hAnsi="Times New Roman"/>
          <w:sz w:val="22"/>
          <w:szCs w:val="22"/>
          <w:color w:val="auto"/>
        </w:rPr>
        <w:t xml:space="preserve">b.1. Hydrogen or helium refrigeration units capable of cooling to 23 K (-250 C) or less, with heat removal capacity greater than 150 watts; </w:t>
      </w:r>
      <w:r>
        <w:rPr>
          <w:rFonts w:ascii="Times New Roman" w:cs="Times New Roman" w:eastAsia="Times New Roman" w:hAnsi="Times New Roman"/>
          <w:sz w:val="22"/>
          <w:szCs w:val="22"/>
          <w:i w:val="1"/>
          <w:iCs w:val="1"/>
          <w:color w:val="auto"/>
        </w:rPr>
        <w:t>or</w:t>
      </w:r>
    </w:p>
    <w:p>
      <w:pPr>
        <w:spacing w:after="0" w:line="263"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b.2. Hydrogen isotope storage and purification systems using metal hydrides as the storage, or purification medium.</w:t>
      </w:r>
    </w:p>
    <w:p>
      <w:pPr>
        <w:spacing w:after="0" w:line="200" w:lineRule="exact"/>
        <w:rPr>
          <w:sz w:val="20"/>
          <w:szCs w:val="20"/>
          <w:color w:val="auto"/>
        </w:rPr>
      </w:pPr>
    </w:p>
    <w:p>
      <w:pPr>
        <w:spacing w:after="0" w:line="32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1B232 Turboexpanders or turboexpander-compressor sets having both of the following characteristics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7" w:name="page28"/>
    <w:bookmarkEnd w:id="2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28</w:t>
      </w:r>
    </w:p>
    <w:p>
      <w:pPr>
        <w:sectPr>
          <w:pgSz w:w="12240" w:h="15840" w:orient="portrait"/>
          <w:cols w:equalWidth="0" w:num="1">
            <w:col w:w="9360"/>
          </w:cols>
          <w:pgMar w:left="1440" w:top="1293" w:right="1440" w:bottom="124" w:gutter="0" w:footer="0" w:header="0"/>
        </w:sectPr>
      </w:pPr>
    </w:p>
    <w:p>
      <w:pPr>
        <w:spacing w:after="0" w:line="258"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top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AT Column 1</w:t>
            </w:r>
          </w:p>
        </w:tc>
      </w:tr>
      <w:tr>
        <w:trPr>
          <w:trHeight w:val="254"/>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Equipment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“specially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designed” or prepared for the production of heavy water is subject to the export licensing authority of the Nuclear Regulatory Commission (see 10 CFR part 110). (2) See ECCNs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auto"/>
        </w:rPr>
        <w:t xml:space="preserve"> (“development”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auto"/>
        </w:rPr>
        <w:t xml:space="preserve"> (“use”) for technology for items controlled by this entry.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spacing w:after="0" w:line="243" w:lineRule="auto"/>
        <w:rPr>
          <w:sz w:val="20"/>
          <w:szCs w:val="20"/>
          <w:color w:val="auto"/>
        </w:rPr>
      </w:pPr>
      <w:r>
        <w:rPr>
          <w:rFonts w:ascii="Times New Roman" w:cs="Times New Roman" w:eastAsia="Times New Roman" w:hAnsi="Times New Roman"/>
          <w:sz w:val="22"/>
          <w:szCs w:val="22"/>
          <w:color w:val="auto"/>
        </w:rPr>
        <w:t xml:space="preserve">a. Designed for operation with an outlet temperature of 35 K (-238 C) or less; </w:t>
      </w:r>
      <w:r>
        <w:rPr>
          <w:rFonts w:ascii="Times New Roman" w:cs="Times New Roman" w:eastAsia="Times New Roman" w:hAnsi="Times New Roman"/>
          <w:sz w:val="22"/>
          <w:szCs w:val="22"/>
          <w:i w:val="1"/>
          <w:iCs w:val="1"/>
          <w:color w:val="auto"/>
        </w:rPr>
        <w:t>and</w:t>
      </w:r>
    </w:p>
    <w:p>
      <w:pPr>
        <w:spacing w:after="0" w:line="263" w:lineRule="exact"/>
        <w:rPr>
          <w:sz w:val="20"/>
          <w:szCs w:val="20"/>
          <w:color w:val="auto"/>
        </w:rPr>
      </w:pPr>
    </w:p>
    <w:p>
      <w:pPr>
        <w:spacing w:after="0" w:line="234" w:lineRule="auto"/>
        <w:tabs>
          <w:tab w:leader="none" w:pos="341" w:val="left"/>
        </w:tabs>
        <w:numPr>
          <w:ilvl w:val="0"/>
          <w:numId w:val="5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for a throughput of hydrogen gas of 1,000 kg/h or greater.</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1B233 Lithium isotope separation facilities or plants, and systems and equipment therefor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1B233.b</w:t>
            </w:r>
          </w:p>
        </w:tc>
        <w:tc>
          <w:tcPr>
            <w:tcW w:w="182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4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1B233.b</w:t>
            </w:r>
          </w:p>
        </w:tc>
        <w:tc>
          <w:tcPr>
            <w:tcW w:w="182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ECCN</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1E001</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(“development” and “production”) and ECCN </w:t>
      </w:r>
      <w:r>
        <w:rPr>
          <w:rFonts w:ascii="Times New Roman" w:cs="Times New Roman" w:eastAsia="Times New Roman" w:hAnsi="Times New Roman"/>
          <w:sz w:val="21"/>
          <w:szCs w:val="21"/>
          <w:u w:val="single" w:color="auto"/>
          <w:color w:val="0000FF"/>
        </w:rPr>
        <w:t>1E201</w:t>
      </w:r>
      <w:r>
        <w:rPr>
          <w:rFonts w:ascii="Times New Roman" w:cs="Times New Roman" w:eastAsia="Times New Roman" w:hAnsi="Times New Roman"/>
          <w:sz w:val="21"/>
          <w:szCs w:val="21"/>
          <w:color w:val="auto"/>
        </w:rPr>
        <w:t xml:space="preserve"> (“use”) for technology for items described in this entry. (2) Facilities and plants described in 1B233.a are subject to the export licensing authority of the Nuclear Regulatory Commission (see 10 CFR part 110). (3) Certain lithium isotope separation equipment and components for the plasma separation process (PSP) that are described in 1B233.b through .d are also directly applicable to uranium isotope separation and are subject to the export licensing authority of the Nuclear Regulatory Commission (see 10 CFR part 110).</w:t>
      </w:r>
    </w:p>
    <w:p>
      <w:pPr>
        <w:ind w:left="360"/>
        <w:spacing w:after="0" w:line="234" w:lineRule="auto"/>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a. Facilities or plants for the separation of lithium isotopes;</w:t>
      </w:r>
    </w:p>
    <w:p>
      <w:pPr>
        <w:spacing w:after="0" w:line="26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Equipment for the separation of lithium isotopes based on the lithium-mercury amalgam process, as follows: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b.1. Packed liquid-liquid exchange columns “specially designed” for lithium amalgams;</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color w:val="auto"/>
        </w:rPr>
        <w:t>b.2. Mercury and/or lithium amalgam pumps;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b.3. Lithium amalgam electrolysis cells;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b.4. Evaporators for concentrated lithium hydroxide solution.</w:t>
      </w:r>
    </w:p>
    <w:p>
      <w:pPr>
        <w:spacing w:after="0" w:line="265" w:lineRule="exact"/>
        <w:rPr>
          <w:sz w:val="20"/>
          <w:szCs w:val="20"/>
          <w:color w:val="auto"/>
        </w:rPr>
      </w:pPr>
    </w:p>
    <w:p>
      <w:pPr>
        <w:jc w:val="both"/>
        <w:ind w:firstLine="1"/>
        <w:spacing w:after="0" w:line="236" w:lineRule="auto"/>
        <w:tabs>
          <w:tab w:leader="none" w:pos="356"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Ion exchange systems “specially designed” for lithium isotope separation, and “specially designed” component parts therefor;</w:t>
      </w:r>
    </w:p>
    <w:p>
      <w:pPr>
        <w:spacing w:after="0" w:line="266" w:lineRule="exact"/>
        <w:rPr>
          <w:rFonts w:ascii="Times New Roman" w:cs="Times New Roman" w:eastAsia="Times New Roman" w:hAnsi="Times New Roman"/>
          <w:sz w:val="22"/>
          <w:szCs w:val="22"/>
          <w:color w:val="auto"/>
        </w:rPr>
      </w:pPr>
    </w:p>
    <w:p>
      <w:pPr>
        <w:jc w:val="both"/>
        <w:ind w:firstLine="1"/>
        <w:spacing w:after="0" w:line="234" w:lineRule="auto"/>
        <w:tabs>
          <w:tab w:leader="none" w:pos="479"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Chemical exchange systems (employing crown ethers, cryptands, or lariat ethers)</w:t>
      </w:r>
    </w:p>
    <w:p>
      <w:pPr>
        <w:spacing w:after="0" w:line="11" w:lineRule="exact"/>
        <w:rPr>
          <w:rFonts w:ascii="Times New Roman" w:cs="Times New Roman" w:eastAsia="Times New Roman" w:hAnsi="Times New Roman"/>
          <w:sz w:val="22"/>
          <w:szCs w:val="22"/>
          <w:color w:val="auto"/>
        </w:rPr>
      </w:pPr>
    </w:p>
    <w:p>
      <w:pPr>
        <w:jc w:val="both"/>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“specially designed” for lithium isotope separation, and “specially designed” component parts therefor.</w:t>
      </w: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p>
      <w:pPr>
        <w:spacing w:after="0"/>
        <w:tabs>
          <w:tab w:leader="none" w:pos="800" w:val="left"/>
        </w:tabs>
        <w:rPr>
          <w:sz w:val="20"/>
          <w:szCs w:val="20"/>
          <w:color w:val="auto"/>
        </w:rPr>
      </w:pPr>
      <w:r>
        <w:rPr>
          <w:rFonts w:ascii="Times New Roman" w:cs="Times New Roman" w:eastAsia="Times New Roman" w:hAnsi="Times New Roman"/>
          <w:sz w:val="22"/>
          <w:szCs w:val="22"/>
          <w:b w:val="1"/>
          <w:bCs w:val="1"/>
          <w:color w:val="auto"/>
        </w:rPr>
        <w:t>1B234</w:t>
        <w:tab/>
        <w:t>High explosive containment vessels,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8" w:name="page29"/>
    <w:bookmarkEnd w:id="2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29</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chambers, containers, and other similar containment devices, not enumerated in ECCN 1B608 or in USML Category IV or V of the ITAR, designed for the testing of high explosives or explosive devices and having both of the characteristics described in this ECCN (see List of Items Controlled).</w:t>
      </w: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0" w:lineRule="exact"/>
        <w:rPr>
          <w:sz w:val="20"/>
          <w:szCs w:val="20"/>
          <w:color w:val="auto"/>
        </w:rPr>
      </w:pP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NP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362" w:lineRule="exact"/>
        <w:rPr>
          <w:sz w:val="20"/>
          <w:szCs w:val="20"/>
          <w:color w:val="auto"/>
        </w:rPr>
      </w:pPr>
    </w:p>
    <w:p>
      <w:pPr>
        <w:ind w:right="24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0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(1) Devices “specially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designed” for the handling, control, activation, monitoring, detection, protection, discharge, or detonation of the articles enumerated in USML Category IV(a) and (b) are controlled by USML Category IV(c) of the ITAR (see 22 CFR parts 120 through 130). (2) See USML Category V of the ITAR (22 CFR parts 120 through 130) for devices identified therein that are “specially designed” to fully contain explosives enumerated in USML Category V. (3) Also see ECCN 1B608 for ‘‘equipment’’</w:t>
      </w:r>
    </w:p>
    <w:p>
      <w:pPr>
        <w:spacing w:after="0" w:line="1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‘‘specially designed’’ for the ‘‘development,’’ ‘‘production,’’ repair, overhaul, or refurbishing of items controlled by ECCN 1C608 or USML Category V and not elsewhere specified on the USML.</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 xml:space="preserve">a. Designed to fully contain an explosion equivalent to 2 kg of TNT or greater;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Having design elements or features enabling real time or delayed transfer of diagnostic or measurement information.</w:t>
      </w:r>
    </w:p>
    <w:p>
      <w:pPr>
        <w:spacing w:after="0" w:line="200" w:lineRule="exact"/>
        <w:rPr>
          <w:sz w:val="20"/>
          <w:szCs w:val="20"/>
          <w:color w:val="auto"/>
        </w:rPr>
      </w:pPr>
    </w:p>
    <w:p>
      <w:pPr>
        <w:spacing w:after="0" w:line="32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1B607 Military test, inspection, and production “equipment” and related commodities “specially designed” for the</w:t>
      </w:r>
    </w:p>
    <w:p>
      <w:pPr>
        <w:spacing w:after="0" w:line="13"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“development,” “production,” repair, overhaul, or refurbishing of commodities identified in ECCN 1A607 or 1C607, or defense articles enumerated or otherwise described in USML Category XIV (see List of Items Controlled).</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280"/>
        <w:spacing w:after="0"/>
        <w:tabs>
          <w:tab w:leader="none" w:pos="22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RS, AT, UN</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00" w:type="dxa"/>
            <w:vAlign w:val="bottom"/>
            <w:tcBorders>
              <w:top w:val="single" w:sz="8" w:color="auto"/>
              <w:left w:val="single" w:sz="8" w:color="auto"/>
              <w:right w:val="single" w:sz="8" w:color="auto"/>
            </w:tcBorders>
          </w:tcPr>
          <w:p>
            <w:pPr>
              <w:spacing w:after="0"/>
              <w:rPr>
                <w:sz w:val="22"/>
                <w:szCs w:val="22"/>
                <w:color w:val="auto"/>
              </w:rPr>
            </w:pPr>
          </w:p>
        </w:tc>
        <w:tc>
          <w:tcPr>
            <w:tcW w:w="18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0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00" w:type="dxa"/>
            <w:vAlign w:val="bottom"/>
            <w:tcBorders>
              <w:left w:val="single" w:sz="8" w:color="auto"/>
              <w:bottom w:val="single" w:sz="8" w:color="auto"/>
              <w:right w:val="single" w:sz="8" w:color="auto"/>
            </w:tcBorders>
          </w:tcPr>
          <w:p>
            <w:pPr>
              <w:spacing w:after="0"/>
              <w:rPr>
                <w:sz w:val="22"/>
                <w:szCs w:val="22"/>
                <w:color w:val="auto"/>
              </w:rPr>
            </w:pPr>
          </w:p>
        </w:tc>
        <w:tc>
          <w:tcPr>
            <w:tcW w:w="18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0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0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RS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50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41"/>
        </w:trPr>
        <w:tc>
          <w:tcPr>
            <w:tcW w:w="2500" w:type="dxa"/>
            <w:vAlign w:val="bottom"/>
            <w:tcBorders>
              <w:left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8"/>
              </w:rPr>
              <w:t>UN applies to entire entry</w:t>
            </w:r>
          </w:p>
        </w:tc>
        <w:tc>
          <w:tcPr>
            <w:tcW w:w="18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See § 746.1(b) for</w:t>
            </w:r>
          </w:p>
        </w:tc>
      </w:tr>
      <w:tr>
        <w:trPr>
          <w:trHeight w:val="255"/>
        </w:trPr>
        <w:tc>
          <w:tcPr>
            <w:tcW w:w="2500" w:type="dxa"/>
            <w:vAlign w:val="bottom"/>
            <w:tcBorders>
              <w:left w:val="single" w:sz="8" w:color="auto"/>
              <w:bottom w:val="single" w:sz="8" w:color="auto"/>
              <w:right w:val="single" w:sz="8" w:color="auto"/>
            </w:tcBorders>
          </w:tcPr>
          <w:p>
            <w:pPr>
              <w:spacing w:after="0"/>
              <w:rPr>
                <w:sz w:val="22"/>
                <w:szCs w:val="22"/>
                <w:color w:val="auto"/>
              </w:rPr>
            </w:pPr>
          </w:p>
        </w:tc>
        <w:tc>
          <w:tcPr>
            <w:tcW w:w="184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4"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List Based License Exceptions (See Part 740 for a description of all license exceptions)</w:t>
      </w:r>
    </w:p>
    <w:p>
      <w:pPr>
        <w:spacing w:after="0" w:line="251"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$1500</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Special Conditions for STA</w:t>
      </w:r>
    </w:p>
    <w:p>
      <w:pPr>
        <w:spacing w:after="0" w:line="264" w:lineRule="exact"/>
        <w:rPr>
          <w:sz w:val="20"/>
          <w:szCs w:val="20"/>
          <w:color w:val="auto"/>
        </w:rPr>
      </w:pPr>
    </w:p>
    <w:p>
      <w:pPr>
        <w:jc w:val="both"/>
        <w:ind w:left="960" w:hanging="629"/>
        <w:spacing w:after="0" w:line="251" w:lineRule="auto"/>
        <w:tabs>
          <w:tab w:leader="none" w:pos="940" w:val="left"/>
        </w:tabs>
        <w:rPr>
          <w:sz w:val="20"/>
          <w:szCs w:val="20"/>
          <w:color w:val="auto"/>
        </w:rPr>
      </w:pPr>
      <w:r>
        <w:rPr>
          <w:rFonts w:ascii="Times New Roman" w:cs="Times New Roman" w:eastAsia="Times New Roman" w:hAnsi="Times New Roman"/>
          <w:sz w:val="22"/>
          <w:szCs w:val="22"/>
          <w:i w:val="1"/>
          <w:iCs w:val="1"/>
          <w:color w:val="auto"/>
        </w:rPr>
        <w:t>STA</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Paragraph (c)(2) of License Exception STA (§ 740.20(c)(2) of the EAR) may not be used for any item in 1B607.</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tabs>
          <w:tab w:leader="none" w:pos="208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(1) See ECCN 2B350 for</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29" w:name="page30"/>
    <w:bookmarkEnd w:id="2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30</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 xml:space="preserve">controls on certain incinerators. (2) See ECCN 0A919 for “military commodities” located and produced outside the United States that incorporate more than a </w:t>
      </w:r>
      <w:r>
        <w:rPr>
          <w:rFonts w:ascii="Times New Roman" w:cs="Times New Roman" w:eastAsia="Times New Roman" w:hAnsi="Times New Roman"/>
          <w:sz w:val="22"/>
          <w:szCs w:val="22"/>
          <w:i w:val="1"/>
          <w:iCs w:val="1"/>
          <w:color w:val="auto"/>
        </w:rPr>
        <w:t>de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 xml:space="preserve">minimis </w:t>
      </w:r>
      <w:r>
        <w:rPr>
          <w:rFonts w:ascii="Times New Roman" w:cs="Times New Roman" w:eastAsia="Times New Roman" w:hAnsi="Times New Roman"/>
          <w:sz w:val="22"/>
          <w:szCs w:val="22"/>
          <w:color w:val="auto"/>
        </w:rPr>
        <w:t>amount of US-origin “600 series”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controlled content.</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5" w:lineRule="auto"/>
        <w:tabs>
          <w:tab w:leader="none" w:pos="401" w:val="left"/>
        </w:tabs>
        <w:numPr>
          <w:ilvl w:val="0"/>
          <w:numId w:val="6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for the destruction of the chemical agents controlled by USML Category XIV(a).</w:t>
      </w:r>
    </w:p>
    <w:p>
      <w:pPr>
        <w:spacing w:after="0" w:line="270"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1B607.a: </w:t>
      </w:r>
      <w:r>
        <w:rPr>
          <w:rFonts w:ascii="Times New Roman" w:cs="Times New Roman" w:eastAsia="Times New Roman" w:hAnsi="Times New Roman"/>
          <w:sz w:val="22"/>
          <w:szCs w:val="22"/>
          <w:i w:val="1"/>
          <w:iCs w:val="1"/>
          <w:color w:val="auto"/>
        </w:rPr>
        <w:t>ECCN 1B607.a includes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controls over facilities “specially designed” for destruction operations. This paragraph .a does not control incinerators and “specially designed” handling facilities or “specially designed” waste supply systems therefor.</w:t>
      </w:r>
    </w:p>
    <w:p>
      <w:pPr>
        <w:spacing w:after="0" w:line="265"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b. Test facilities and “equipment” “specially designed” for military certification, qualification, or testing of commodities controlled by ECCN 1A607.e, .f, .g, .h, or .j or by USML Category XIV(f), except for XIV(f)(1).</w:t>
      </w:r>
    </w:p>
    <w:p>
      <w:pPr>
        <w:spacing w:after="0" w:line="254"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c. Tooling and “equipment” “specially designed” for the “development,” “production,” repair, overhaul, or refurbishing of commodities controlled by ECCN 1A607.e, .f .g, .h, or .j or USML Category XIV(f).</w:t>
      </w:r>
    </w:p>
    <w:p>
      <w:pPr>
        <w:spacing w:after="0" w:line="256" w:lineRule="exact"/>
        <w:rPr>
          <w:sz w:val="20"/>
          <w:szCs w:val="20"/>
          <w:color w:val="auto"/>
        </w:rPr>
      </w:pPr>
    </w:p>
    <w:p>
      <w:pPr>
        <w:spacing w:after="0"/>
        <w:tabs>
          <w:tab w:leader="none" w:pos="1420" w:val="left"/>
        </w:tabs>
        <w:rPr>
          <w:sz w:val="20"/>
          <w:szCs w:val="20"/>
          <w:color w:val="auto"/>
        </w:rPr>
      </w:pPr>
      <w:r>
        <w:rPr>
          <w:rFonts w:ascii="Times New Roman" w:cs="Times New Roman" w:eastAsia="Times New Roman" w:hAnsi="Times New Roman"/>
          <w:sz w:val="22"/>
          <w:szCs w:val="22"/>
          <w:color w:val="auto"/>
        </w:rPr>
        <w:t>d. through w.</w:t>
      </w:r>
      <w:r>
        <w:rPr>
          <w:sz w:val="20"/>
          <w:szCs w:val="20"/>
          <w:color w:val="auto"/>
        </w:rPr>
        <w:tab/>
      </w:r>
      <w:r>
        <w:rPr>
          <w:rFonts w:ascii="Times New Roman" w:cs="Times New Roman" w:eastAsia="Times New Roman" w:hAnsi="Times New Roman"/>
          <w:sz w:val="21"/>
          <w:szCs w:val="21"/>
          <w:color w:val="auto"/>
        </w:rPr>
        <w:t>[Reserved]</w:t>
      </w:r>
    </w:p>
    <w:p>
      <w:pPr>
        <w:spacing w:after="0" w:line="266" w:lineRule="exact"/>
        <w:rPr>
          <w:sz w:val="20"/>
          <w:szCs w:val="20"/>
          <w:color w:val="auto"/>
        </w:rPr>
      </w:pPr>
    </w:p>
    <w:p>
      <w:pPr>
        <w:jc w:val="both"/>
        <w:spacing w:after="0" w:line="238" w:lineRule="auto"/>
        <w:tabs>
          <w:tab w:leader="none" w:pos="410" w:val="left"/>
        </w:tabs>
        <w:numPr>
          <w:ilvl w:val="0"/>
          <w:numId w:val="6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that are “specially designed” for a commodity controlled by ECCN 1B607.b or .c, or for a defense article controlled by USML Category XIV(f), and that are not enumerated or otherwise described elsewhere in the USML.</w:t>
      </w:r>
    </w:p>
    <w:p>
      <w:pPr>
        <w:spacing w:after="0" w:line="200" w:lineRule="exact"/>
        <w:rPr>
          <w:sz w:val="20"/>
          <w:szCs w:val="20"/>
          <w:color w:val="auto"/>
        </w:rPr>
      </w:pPr>
    </w:p>
    <w:p>
      <w:pPr>
        <w:spacing w:after="0" w:line="320"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1B608 Test, inspection, and production ‘‘equipment’’ and related commodities ‘‘specially designed’’ for the ‘‘development,’’</w:t>
      </w:r>
    </w:p>
    <w:p>
      <w:pPr>
        <w:spacing w:after="0" w:line="1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‘‘production,’’ repair, overhaul, or refurbishing of commodities enumerated in ECCN 1C608 or USML Category V (see List of Items Controlled).</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RS, MT, AT, UN</w:t>
      </w:r>
    </w:p>
    <w:p>
      <w:pPr>
        <w:spacing w:after="0" w:line="237"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1120" w:type="dxa"/>
            <w:vAlign w:val="bottom"/>
            <w:tcBorders>
              <w:top w:val="single" w:sz="8" w:color="auto"/>
              <w:left w:val="single" w:sz="8" w:color="auto"/>
            </w:tcBorders>
          </w:tcPr>
          <w:p>
            <w:pPr>
              <w:spacing w:after="0"/>
              <w:rPr>
                <w:sz w:val="22"/>
                <w:szCs w:val="22"/>
                <w:color w:val="auto"/>
              </w:rPr>
            </w:pPr>
          </w:p>
        </w:tc>
        <w:tc>
          <w:tcPr>
            <w:tcW w:w="1420" w:type="dxa"/>
            <w:vAlign w:val="bottom"/>
            <w:tcBorders>
              <w:top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gridSpan w:val="2"/>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1120" w:type="dxa"/>
            <w:vAlign w:val="bottom"/>
            <w:tcBorders>
              <w:left w:val="single" w:sz="8" w:color="auto"/>
              <w:bottom w:val="single" w:sz="8" w:color="auto"/>
            </w:tcBorders>
          </w:tcPr>
          <w:p>
            <w:pPr>
              <w:spacing w:after="0"/>
              <w:rPr>
                <w:sz w:val="22"/>
                <w:szCs w:val="22"/>
                <w:color w:val="auto"/>
              </w:rPr>
            </w:pPr>
          </w:p>
        </w:tc>
        <w:tc>
          <w:tcPr>
            <w:tcW w:w="142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gridSpan w:val="2"/>
          </w:tcPr>
          <w:p>
            <w:pPr>
              <w:ind w:left="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40" w:type="dxa"/>
            <w:vAlign w:val="bottom"/>
            <w:tcBorders>
              <w:left w:val="single" w:sz="8" w:color="auto"/>
              <w:bottom w:val="single" w:sz="8" w:color="auto"/>
              <w:right w:val="single" w:sz="8" w:color="auto"/>
            </w:tcBorders>
            <w:gridSpan w:val="2"/>
          </w:tcPr>
          <w:p>
            <w:pPr>
              <w:ind w:left="20"/>
              <w:spacing w:after="0" w:line="241" w:lineRule="exact"/>
              <w:rPr>
                <w:sz w:val="20"/>
                <w:szCs w:val="20"/>
                <w:color w:val="auto"/>
              </w:rPr>
            </w:pPr>
            <w:r>
              <w:rPr>
                <w:rFonts w:ascii="Times New Roman" w:cs="Times New Roman" w:eastAsia="Times New Roman" w:hAnsi="Times New Roman"/>
                <w:sz w:val="22"/>
                <w:szCs w:val="22"/>
                <w:color w:val="auto"/>
              </w:rPr>
              <w:t>RS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41"/>
        </w:trPr>
        <w:tc>
          <w:tcPr>
            <w:tcW w:w="1120" w:type="dxa"/>
            <w:vAlign w:val="bottom"/>
            <w:tcBorders>
              <w:lef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w:t>
            </w:r>
          </w:p>
        </w:tc>
        <w:tc>
          <w:tcPr>
            <w:tcW w:w="1420" w:type="dxa"/>
            <w:vAlign w:val="bottom"/>
            <w:tcBorders>
              <w:right w:val="single" w:sz="8" w:color="auto"/>
            </w:tcBorders>
          </w:tcPr>
          <w:p>
            <w:pPr>
              <w:jc w:val="right"/>
              <w:spacing w:after="0" w:line="241" w:lineRule="exact"/>
              <w:rPr>
                <w:sz w:val="20"/>
                <w:szCs w:val="20"/>
                <w:color w:val="auto"/>
              </w:rPr>
            </w:pPr>
            <w:r>
              <w:rPr>
                <w:rFonts w:ascii="Times New Roman" w:cs="Times New Roman" w:eastAsia="Times New Roman" w:hAnsi="Times New Roman"/>
                <w:sz w:val="22"/>
                <w:szCs w:val="22"/>
                <w:color w:val="auto"/>
              </w:rPr>
              <w:t>to  equipment</w:t>
            </w:r>
          </w:p>
        </w:tc>
        <w:tc>
          <w:tcPr>
            <w:tcW w:w="162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11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“specially</w:t>
            </w:r>
          </w:p>
        </w:tc>
        <w:tc>
          <w:tcPr>
            <w:tcW w:w="14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designed”   for</w:t>
            </w:r>
          </w:p>
        </w:tc>
        <w:tc>
          <w:tcPr>
            <w:tcW w:w="1620" w:type="dxa"/>
            <w:vAlign w:val="bottom"/>
            <w:tcBorders>
              <w:right w:val="single" w:sz="8" w:color="auto"/>
            </w:tcBorders>
          </w:tcPr>
          <w:p>
            <w:pPr>
              <w:spacing w:after="0"/>
              <w:rPr>
                <w:sz w:val="22"/>
                <w:szCs w:val="22"/>
                <w:color w:val="auto"/>
              </w:rPr>
            </w:pPr>
          </w:p>
        </w:tc>
      </w:tr>
      <w:tr>
        <w:trPr>
          <w:trHeight w:val="253"/>
        </w:trPr>
        <w:tc>
          <w:tcPr>
            <w:tcW w:w="254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w w:val="99"/>
              </w:rPr>
              <w:t>MT-controlled commodities</w:t>
            </w:r>
          </w:p>
        </w:tc>
        <w:tc>
          <w:tcPr>
            <w:tcW w:w="1620" w:type="dxa"/>
            <w:vAlign w:val="bottom"/>
            <w:tcBorders>
              <w:right w:val="single" w:sz="8" w:color="auto"/>
            </w:tcBorders>
          </w:tcPr>
          <w:p>
            <w:pPr>
              <w:spacing w:after="0"/>
              <w:rPr>
                <w:sz w:val="22"/>
                <w:szCs w:val="22"/>
                <w:color w:val="auto"/>
              </w:rPr>
            </w:pPr>
          </w:p>
        </w:tc>
      </w:tr>
      <w:tr>
        <w:trPr>
          <w:trHeight w:val="252"/>
        </w:trPr>
        <w:tc>
          <w:tcPr>
            <w:tcW w:w="254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in  ECCN  1C608  or  MT</w:t>
            </w:r>
          </w:p>
        </w:tc>
        <w:tc>
          <w:tcPr>
            <w:tcW w:w="1620" w:type="dxa"/>
            <w:vAlign w:val="bottom"/>
            <w:tcBorders>
              <w:right w:val="single" w:sz="8" w:color="auto"/>
            </w:tcBorders>
          </w:tcPr>
          <w:p>
            <w:pPr>
              <w:spacing w:after="0"/>
              <w:rPr>
                <w:sz w:val="21"/>
                <w:szCs w:val="21"/>
                <w:color w:val="auto"/>
              </w:rPr>
            </w:pPr>
          </w:p>
        </w:tc>
      </w:tr>
      <w:tr>
        <w:trPr>
          <w:trHeight w:val="253"/>
        </w:trPr>
        <w:tc>
          <w:tcPr>
            <w:tcW w:w="254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articles in USML Category</w:t>
            </w:r>
          </w:p>
        </w:tc>
        <w:tc>
          <w:tcPr>
            <w:tcW w:w="1620" w:type="dxa"/>
            <w:vAlign w:val="bottom"/>
            <w:tcBorders>
              <w:right w:val="single" w:sz="8" w:color="auto"/>
            </w:tcBorders>
          </w:tcPr>
          <w:p>
            <w:pPr>
              <w:spacing w:after="0"/>
              <w:rPr>
                <w:sz w:val="22"/>
                <w:szCs w:val="22"/>
                <w:color w:val="auto"/>
              </w:rPr>
            </w:pPr>
          </w:p>
        </w:tc>
      </w:tr>
      <w:tr>
        <w:trPr>
          <w:trHeight w:val="255"/>
        </w:trPr>
        <w:tc>
          <w:tcPr>
            <w:tcW w:w="112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V</w:t>
            </w:r>
          </w:p>
        </w:tc>
        <w:tc>
          <w:tcPr>
            <w:tcW w:w="142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spacing w:after="0"/>
              <w:rPr>
                <w:sz w:val="22"/>
                <w:szCs w:val="22"/>
                <w:color w:val="auto"/>
              </w:rPr>
            </w:pPr>
          </w:p>
        </w:tc>
      </w:tr>
      <w:tr>
        <w:trPr>
          <w:trHeight w:val="243"/>
        </w:trPr>
        <w:tc>
          <w:tcPr>
            <w:tcW w:w="2540" w:type="dxa"/>
            <w:vAlign w:val="bottom"/>
            <w:tcBorders>
              <w:left w:val="single" w:sz="8" w:color="auto"/>
              <w:bottom w:val="single" w:sz="8" w:color="auto"/>
              <w:right w:val="single" w:sz="8" w:color="auto"/>
            </w:tcBorders>
            <w:gridSpan w:val="2"/>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41"/>
        </w:trPr>
        <w:tc>
          <w:tcPr>
            <w:tcW w:w="2540" w:type="dxa"/>
            <w:vAlign w:val="bottom"/>
            <w:tcBorders>
              <w:left w:val="single" w:sz="8" w:color="auto"/>
              <w:right w:val="single" w:sz="8" w:color="auto"/>
            </w:tcBorders>
            <w:gridSpan w:val="2"/>
          </w:tcPr>
          <w:p>
            <w:pPr>
              <w:ind w:left="20"/>
              <w:spacing w:after="0" w:line="241" w:lineRule="exact"/>
              <w:rPr>
                <w:sz w:val="20"/>
                <w:szCs w:val="20"/>
                <w:color w:val="auto"/>
              </w:rPr>
            </w:pPr>
            <w:r>
              <w:rPr>
                <w:rFonts w:ascii="Times New Roman" w:cs="Times New Roman" w:eastAsia="Times New Roman" w:hAnsi="Times New Roman"/>
                <w:sz w:val="22"/>
                <w:szCs w:val="22"/>
                <w:color w:val="auto"/>
              </w:rPr>
              <w:t>UN applies to entire entry</w:t>
            </w:r>
          </w:p>
        </w:tc>
        <w:tc>
          <w:tcPr>
            <w:tcW w:w="162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w w:val="98"/>
              </w:rPr>
              <w:t>See § 746.1(b) for</w:t>
            </w:r>
          </w:p>
        </w:tc>
      </w:tr>
      <w:tr>
        <w:trPr>
          <w:trHeight w:val="255"/>
        </w:trPr>
        <w:tc>
          <w:tcPr>
            <w:tcW w:w="1120" w:type="dxa"/>
            <w:vAlign w:val="bottom"/>
            <w:tcBorders>
              <w:left w:val="single" w:sz="8" w:color="auto"/>
              <w:bottom w:val="single" w:sz="8" w:color="auto"/>
            </w:tcBorders>
          </w:tcPr>
          <w:p>
            <w:pPr>
              <w:spacing w:after="0"/>
              <w:rPr>
                <w:sz w:val="22"/>
                <w:szCs w:val="22"/>
                <w:color w:val="auto"/>
              </w:rPr>
            </w:pPr>
          </w:p>
        </w:tc>
        <w:tc>
          <w:tcPr>
            <w:tcW w:w="142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3"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4" w:lineRule="exact"/>
        <w:rPr>
          <w:sz w:val="20"/>
          <w:szCs w:val="20"/>
          <w:color w:val="auto"/>
        </w:rPr>
      </w:pPr>
    </w:p>
    <w:p>
      <w:pPr>
        <w:jc w:val="both"/>
        <w:ind w:left="1080" w:hanging="719"/>
        <w:spacing w:after="0" w:line="237"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1B608.</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Defense articles that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are enumerated in USML Category V, and technical data (including software) directly related thereto, are “subject to the ITAR.”</w:t>
      </w:r>
    </w:p>
    <w:p>
      <w:pPr>
        <w:ind w:left="760" w:hanging="399"/>
        <w:spacing w:after="0"/>
        <w:tabs>
          <w:tab w:leader="none" w:pos="760"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ECCN  0A919  for  foreign-made</w:t>
      </w:r>
    </w:p>
    <w:p>
      <w:pPr>
        <w:spacing w:after="0" w:line="12" w:lineRule="exact"/>
        <w:rPr>
          <w:rFonts w:ascii="Times New Roman" w:cs="Times New Roman" w:eastAsia="Times New Roman" w:hAnsi="Times New Roman"/>
          <w:sz w:val="22"/>
          <w:szCs w:val="22"/>
          <w:color w:val="auto"/>
        </w:rPr>
      </w:pPr>
    </w:p>
    <w:p>
      <w:pPr>
        <w:jc w:val="both"/>
        <w:ind w:left="36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“military commodities”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US-origin</w:t>
      </w:r>
    </w:p>
    <w:p>
      <w:pPr>
        <w:spacing w:after="0" w:line="13" w:lineRule="exact"/>
        <w:rPr>
          <w:rFonts w:ascii="Times New Roman" w:cs="Times New Roman" w:eastAsia="Times New Roman" w:hAnsi="Times New Roman"/>
          <w:sz w:val="22"/>
          <w:szCs w:val="22"/>
          <w:color w:val="auto"/>
        </w:rPr>
      </w:pPr>
    </w:p>
    <w:p>
      <w:pPr>
        <w:jc w:val="both"/>
        <w:ind w:left="360"/>
        <w:spacing w:after="0" w:line="23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“600 series” controlled content. (3) See ECCN 1B115 for controls on “production equipment,” not controlled by this ECCN</w:t>
      </w:r>
    </w:p>
    <w:p>
      <w:pPr>
        <w:spacing w:after="0" w:line="15" w:lineRule="exact"/>
        <w:rPr>
          <w:rFonts w:ascii="Times New Roman" w:cs="Times New Roman" w:eastAsia="Times New Roman" w:hAnsi="Times New Roman"/>
          <w:sz w:val="22"/>
          <w:szCs w:val="22"/>
          <w:color w:val="auto"/>
        </w:rPr>
      </w:pPr>
    </w:p>
    <w:p>
      <w:pPr>
        <w:jc w:val="both"/>
        <w:ind w:left="3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1B608, for propellants or propellant constituents described in ECCN 1C011.a, 1C011.b, or 1C111 or in USML Category V.</w:t>
      </w:r>
    </w:p>
    <w:p>
      <w:pPr>
        <w:spacing w:after="0" w:line="25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4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0" w:name="page31"/>
    <w:bookmarkEnd w:id="3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31</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7" w:lineRule="auto"/>
        <w:tabs>
          <w:tab w:leader="none" w:pos="401" w:val="left"/>
        </w:tabs>
        <w:numPr>
          <w:ilvl w:val="0"/>
          <w:numId w:val="6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for the “development,” “production,” repair, overhaul, or refurbishing of items controlled by ECCN 1C608 or USML Category V and not elsewhere specified on the USML.</w:t>
      </w:r>
    </w:p>
    <w:p>
      <w:pPr>
        <w:spacing w:after="0" w:line="271"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ECCN 1B608.a. includes: (1)</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continuous nitrators; (2) dehydration presses; (3) cutting machines for the sizing of extruded propellants; (4) sweetie barrels (tumblers) 6 feet or more in diameter and having over 500 pounds product capacity; (5) convection current converters for the conversion of materials listed in USML Category V(c)(2); and (6) extrusion presses for the extrusion of small arms, cannon and rocket propellants.</w:t>
      </w:r>
    </w:p>
    <w:p>
      <w:pPr>
        <w:spacing w:after="0" w:line="273" w:lineRule="exact"/>
        <w:rPr>
          <w:sz w:val="20"/>
          <w:szCs w:val="20"/>
          <w:color w:val="auto"/>
        </w:rPr>
      </w:pPr>
    </w:p>
    <w:p>
      <w:pPr>
        <w:jc w:val="both"/>
        <w:spacing w:after="0" w:line="237" w:lineRule="auto"/>
        <w:tabs>
          <w:tab w:leader="none" w:pos="363"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Complete installations “specially designed” for the “development,” “production,” repair, overhaul, or refurbishing of items controlled by ECCN 1C608 or USML Category V and not elsewhere specified on the USML.</w:t>
      </w:r>
    </w:p>
    <w:p>
      <w:pPr>
        <w:spacing w:after="0" w:line="269" w:lineRule="exact"/>
        <w:rPr>
          <w:rFonts w:ascii="Times New Roman" w:cs="Times New Roman" w:eastAsia="Times New Roman" w:hAnsi="Times New Roman"/>
          <w:sz w:val="22"/>
          <w:szCs w:val="22"/>
          <w:color w:val="auto"/>
        </w:rPr>
      </w:pPr>
    </w:p>
    <w:p>
      <w:pPr>
        <w:jc w:val="both"/>
        <w:spacing w:after="0" w:line="236" w:lineRule="auto"/>
        <w:tabs>
          <w:tab w:leader="none" w:pos="526"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Environmental test facilities “specially designed” for the certification, qualification, or testing of items controlled by ECCN 1C608 or USML Category V.</w:t>
      </w:r>
    </w:p>
    <w:p>
      <w:pPr>
        <w:spacing w:after="0" w:line="257"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through w.  [Reserved]</w:t>
      </w:r>
    </w:p>
    <w:p>
      <w:pPr>
        <w:spacing w:after="0" w:line="265" w:lineRule="exact"/>
        <w:rPr>
          <w:sz w:val="20"/>
          <w:szCs w:val="20"/>
          <w:color w:val="auto"/>
        </w:rPr>
      </w:pPr>
    </w:p>
    <w:p>
      <w:pPr>
        <w:jc w:val="both"/>
        <w:spacing w:after="0" w:line="237" w:lineRule="auto"/>
        <w:tabs>
          <w:tab w:leader="none" w:pos="432" w:val="left"/>
        </w:tabs>
        <w:numPr>
          <w:ilvl w:val="0"/>
          <w:numId w:val="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that are “specially designed” for a commodity subject to control in this ECCN or a defense article in USML Category V and not elsewhere specified on the USML.</w:t>
      </w:r>
    </w:p>
    <w:p>
      <w:pPr>
        <w:spacing w:after="0" w:line="200" w:lineRule="exact"/>
        <w:rPr>
          <w:sz w:val="20"/>
          <w:szCs w:val="20"/>
          <w:color w:val="auto"/>
        </w:rPr>
      </w:pPr>
    </w:p>
    <w:p>
      <w:pPr>
        <w:spacing w:after="0" w:line="32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1B613 Test, inspection, and “production” “equipment” and related commodities “specially designed” for the “development,”</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“production,” repair, overhaul, or refurbishing of commodities controlled by ECCN 1A613 or USML Category X, as follows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NS, RS, AT, UN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9"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-161925</wp:posOffset>
                </wp:positionV>
                <wp:extent cx="2635250"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2.7499pt" to="208.65pt,-12.7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325755</wp:posOffset>
                </wp:positionV>
                <wp:extent cx="2635250"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25.65pt" to="208.65pt,25.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492760</wp:posOffset>
                </wp:positionV>
                <wp:extent cx="2635250" cy="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38.8pt" to="208.65pt,38.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659765</wp:posOffset>
                </wp:positionV>
                <wp:extent cx="2635250" cy="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95pt" to="208.65pt,51.9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827405</wp:posOffset>
                </wp:positionV>
                <wp:extent cx="2635250"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5.15pt" to="208.65pt,6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-165100</wp:posOffset>
                </wp:positionV>
                <wp:extent cx="0" cy="132334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3pt" to="1.4pt,91.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-165100</wp:posOffset>
                </wp:positionV>
                <wp:extent cx="0" cy="132334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3pt" to="118.05pt,91.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-165100</wp:posOffset>
                </wp:positionV>
                <wp:extent cx="0" cy="132334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33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3pt" to="208.4pt,91.2pt" o:allowincell="f" strokecolor="#000000" strokeweight="0.4799pt"/>
            </w:pict>
          </mc:Fallback>
        </mc:AlternateContent>
      </w: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RS applies to entire entry RS Column 1</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2" w:lineRule="exact"/>
        <w:rPr>
          <w:sz w:val="20"/>
          <w:szCs w:val="20"/>
          <w:color w:val="auto"/>
        </w:rPr>
      </w:pPr>
    </w:p>
    <w:p>
      <w:pPr>
        <w:ind w:left="2380" w:right="160" w:hanging="2331"/>
        <w:spacing w:after="0" w:line="233" w:lineRule="auto"/>
        <w:rPr>
          <w:sz w:val="20"/>
          <w:szCs w:val="20"/>
          <w:color w:val="auto"/>
        </w:rPr>
      </w:pPr>
      <w:r>
        <w:rPr>
          <w:rFonts w:ascii="Times New Roman" w:cs="Times New Roman" w:eastAsia="Times New Roman" w:hAnsi="Times New Roman"/>
          <w:sz w:val="22"/>
          <w:szCs w:val="22"/>
          <w:color w:val="auto"/>
        </w:rPr>
        <w:t>UN applies to entire entry See § 746.1(b) for UN controls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6350</wp:posOffset>
                </wp:positionV>
                <wp:extent cx="2635250" cy="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5pt" to="208.65pt,0.5pt" o:allowincell="f" strokecolor="#000000" strokeweight="0.4799pt"/>
            </w:pict>
          </mc:Fallback>
        </mc:AlternateContent>
      </w:r>
    </w:p>
    <w:p>
      <w:pPr>
        <w:spacing w:after="0" w:line="25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080" w:hanging="719"/>
        <w:spacing w:after="0" w:line="236"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1B613.</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 0A919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foreign-made “military commodities”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US-origin “600 series” controlled content. </w:t>
      </w: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r>
        <w:rPr>
          <w:rFonts w:ascii="Times New Roman" w:cs="Times New Roman" w:eastAsia="Times New Roman" w:hAnsi="Times New Roman"/>
          <w:sz w:val="22"/>
          <w:szCs w:val="22"/>
          <w:i w:val="1"/>
          <w:iCs w:val="1"/>
          <w:color w:val="auto"/>
        </w:rPr>
        <w:t xml:space="preserve"> Items:</w:t>
      </w:r>
    </w:p>
    <w:p>
      <w:pPr>
        <w:spacing w:after="0" w:line="200" w:lineRule="exact"/>
        <w:rPr>
          <w:sz w:val="20"/>
          <w:szCs w:val="20"/>
          <w:color w:val="auto"/>
        </w:rPr>
      </w:pPr>
    </w:p>
    <w:p>
      <w:pPr>
        <w:spacing w:after="0" w:line="306"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 Test, inspection, and “production” “equipment,” not controlled by USML Category X(c), that is “specially designed” for the “development,” “production,” repair, overhaul, or refurbishing of commodities controlled by ECCN 1A613 or USML Category X.</w:t>
      </w:r>
    </w:p>
    <w:p>
      <w:pPr>
        <w:spacing w:after="0" w:line="266"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b. Plasma pressure compaction (P2C) “equipment” “specially designed” for the “production” of ceramic or composite body armor plates controlled by ECCN 1A613 or USML Category X.</w:t>
      </w:r>
    </w:p>
    <w:p>
      <w:pPr>
        <w:spacing w:after="0" w:line="270"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1B999 Specific processing equipment, n.e.s.,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1" w:name="page32"/>
    <w:bookmarkEnd w:id="3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32</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36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North Korea</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for anti-terrorism reasons. The Commerce Country Chart is not designed to determine AT licensing requirements for this entry. See §742.19 of the EAR for additional information</w:t>
      </w:r>
    </w:p>
    <w:p>
      <w:pPr>
        <w:spacing w:after="0" w:line="27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RS applies to entire entry. A license is required for items controlled by this entry for export or reexport to Iraq or transfer within Iraq for</w:t>
      </w:r>
    </w:p>
    <w:p>
      <w:pPr>
        <w:spacing w:after="0" w:line="13"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1"/>
          <w:szCs w:val="21"/>
          <w:color w:val="auto"/>
        </w:rPr>
        <w:t>regional stability reasons. The Commerce Country Chart is not designed to determine RS license requirements for this entry. See §§742.6 and 746.3 of the EAR for additional information.</w:t>
      </w:r>
    </w:p>
    <w:p>
      <w:pPr>
        <w:spacing w:after="0" w:line="259"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1B001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1B101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1B201</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1B225</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1D999</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4"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color w:val="auto"/>
        </w:rPr>
        <w:t>a. Electrolytic cells for fluorine production, n.e.s.;</w:t>
      </w:r>
    </w:p>
    <w:p>
      <w:pPr>
        <w:spacing w:after="0" w:line="253" w:lineRule="exact"/>
        <w:rPr>
          <w:sz w:val="20"/>
          <w:szCs w:val="20"/>
          <w:color w:val="auto"/>
        </w:rPr>
      </w:pPr>
    </w:p>
    <w:p>
      <w:pPr>
        <w:ind w:left="340" w:hanging="340"/>
        <w:spacing w:after="0"/>
        <w:tabs>
          <w:tab w:leader="none" w:pos="340"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Particle accelerators;</w:t>
      </w:r>
    </w:p>
    <w:p>
      <w:pPr>
        <w:spacing w:after="0" w:line="264" w:lineRule="exact"/>
        <w:rPr>
          <w:rFonts w:ascii="Times New Roman" w:cs="Times New Roman" w:eastAsia="Times New Roman" w:hAnsi="Times New Roman"/>
          <w:sz w:val="22"/>
          <w:szCs w:val="22"/>
          <w:color w:val="auto"/>
        </w:rPr>
      </w:pPr>
    </w:p>
    <w:p>
      <w:pPr>
        <w:spacing w:after="0" w:line="234" w:lineRule="auto"/>
        <w:tabs>
          <w:tab w:leader="none" w:pos="269"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Industrial process control hardware/systems designed for power industries, n.e.s.;</w:t>
      </w:r>
    </w:p>
    <w:p>
      <w:pPr>
        <w:spacing w:after="0" w:line="266" w:lineRule="exact"/>
        <w:rPr>
          <w:rFonts w:ascii="Times New Roman" w:cs="Times New Roman" w:eastAsia="Times New Roman" w:hAnsi="Times New Roman"/>
          <w:sz w:val="22"/>
          <w:szCs w:val="22"/>
          <w:color w:val="auto"/>
        </w:rPr>
      </w:pPr>
    </w:p>
    <w:p>
      <w:pPr>
        <w:jc w:val="both"/>
        <w:spacing w:after="0" w:line="235" w:lineRule="auto"/>
        <w:tabs>
          <w:tab w:leader="none" w:pos="312"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Freon and chilled water cooling systems capable of continuous cooling duties of 100,000 BTU/hr (29.3 kW) or greater;</w:t>
      </w:r>
    </w:p>
    <w:p>
      <w:pPr>
        <w:spacing w:after="0" w:line="268" w:lineRule="exact"/>
        <w:rPr>
          <w:rFonts w:ascii="Times New Roman" w:cs="Times New Roman" w:eastAsia="Times New Roman" w:hAnsi="Times New Roman"/>
          <w:sz w:val="22"/>
          <w:szCs w:val="22"/>
          <w:color w:val="auto"/>
        </w:rPr>
      </w:pPr>
    </w:p>
    <w:p>
      <w:pPr>
        <w:spacing w:after="0" w:line="234" w:lineRule="auto"/>
        <w:tabs>
          <w:tab w:leader="none" w:pos="271"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for the production of structural composites, fibers, prepregs and preforms, n.e.s.</w:t>
      </w:r>
    </w:p>
    <w:p>
      <w:pPr>
        <w:spacing w:after="0" w:line="200" w:lineRule="exact"/>
        <w:rPr>
          <w:rFonts w:ascii="Times New Roman" w:cs="Times New Roman" w:eastAsia="Times New Roman" w:hAnsi="Times New Roman"/>
          <w:sz w:val="22"/>
          <w:szCs w:val="22"/>
          <w:color w:val="auto"/>
        </w:rPr>
      </w:pPr>
    </w:p>
    <w:p>
      <w:pPr>
        <w:spacing w:after="0" w:line="307" w:lineRule="exact"/>
        <w:rPr>
          <w:rFonts w:ascii="Times New Roman" w:cs="Times New Roman" w:eastAsia="Times New Roman" w:hAnsi="Times New Roman"/>
          <w:sz w:val="22"/>
          <w:szCs w:val="22"/>
          <w:color w:val="auto"/>
        </w:rPr>
      </w:pPr>
    </w:p>
    <w:p>
      <w:pPr>
        <w:ind w:left="1580" w:hanging="396"/>
        <w:spacing w:after="0"/>
        <w:tabs>
          <w:tab w:leader="none" w:pos="1580" w:val="left"/>
        </w:tabs>
        <w:numPr>
          <w:ilvl w:val="1"/>
          <w:numId w:val="67"/>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“MATERIALS”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Metals and alloys: Unless provision to the contrary is made, the words “metals” and “alloys” in 1C001 to 1C011 cover crude and semi-fabricated forms, as follows:</w:t>
      </w:r>
    </w:p>
    <w:p>
      <w:pPr>
        <w:spacing w:after="0" w:line="270"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Crude forms: Anodes, balls, bars (including notched bars and wire bars), billets, blocks, blooms, brickets, cakes, cathodes, crystals, cubes, dice, grains, granules, ingots, lumps, pellets, pigs, powder, rondelles, shot, slabs, slugs, sponge, sticks;</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i w:val="1"/>
          <w:iCs w:val="1"/>
          <w:color w:val="auto"/>
        </w:rPr>
        <w:t>Semi-fabricated forms (whether or not coated, plated, drilled or punched):</w:t>
      </w:r>
    </w:p>
    <w:p>
      <w:pPr>
        <w:spacing w:after="0" w:line="267" w:lineRule="exact"/>
        <w:rPr>
          <w:sz w:val="20"/>
          <w:szCs w:val="20"/>
          <w:color w:val="auto"/>
        </w:rPr>
      </w:pPr>
    </w:p>
    <w:p>
      <w:pPr>
        <w:jc w:val="both"/>
        <w:ind w:firstLine="361"/>
        <w:spacing w:after="0" w:line="238" w:lineRule="auto"/>
        <w:tabs>
          <w:tab w:leader="none" w:pos="702" w:val="left"/>
        </w:tabs>
        <w:numPr>
          <w:ilvl w:val="0"/>
          <w:numId w:val="6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Wrought or worked materials fabricated by rolling, drawing, extruding, forging, impact extruding, pressing, graining, atomizing, and grinding, i.e.: angles, channels, circles, discs, dust, flakes, foils and leaf, forging, plate, powder, pressings and stampings, ribbons, rings, rods (including bare welding rods, wire rods, and rolled wire), sections, shapes, sheets, strip, pipe and tubes (including tube rounds, squares, and hollows), drawn or extruded wire;</w:t>
      </w:r>
    </w:p>
    <w:p>
      <w:pPr>
        <w:spacing w:after="0" w:line="274" w:lineRule="exact"/>
        <w:rPr>
          <w:rFonts w:ascii="Times New Roman" w:cs="Times New Roman" w:eastAsia="Times New Roman" w:hAnsi="Times New Roman"/>
          <w:sz w:val="22"/>
          <w:szCs w:val="22"/>
          <w:i w:val="1"/>
          <w:iCs w:val="1"/>
          <w:color w:val="auto"/>
        </w:rPr>
      </w:pPr>
    </w:p>
    <w:p>
      <w:pPr>
        <w:jc w:val="both"/>
        <w:ind w:firstLine="361"/>
        <w:spacing w:after="0" w:line="236" w:lineRule="auto"/>
        <w:tabs>
          <w:tab w:leader="none" w:pos="763" w:val="left"/>
        </w:tabs>
        <w:numPr>
          <w:ilvl w:val="0"/>
          <w:numId w:val="6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Cast material produced by casting in sand, die, metal, plaster or other types of molds, including high pressure castings, sintered forms, and forms made by powder metallurgy.</w:t>
      </w:r>
    </w:p>
    <w:p>
      <w:pPr>
        <w:spacing w:after="0" w:line="27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The object of the control should not be defeated by the export of non-listed forms alleged to be finished products but representing in reality crude forms or semi-fabricated forms.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1C001 Materials “specially designed” for absorbing electromagnetic radiation, or intrinsically conductive polymers,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2" w:name="page33"/>
    <w:bookmarkEnd w:id="3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33</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326390</wp:posOffset>
                </wp:positionV>
                <wp:extent cx="2635250"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25.7pt" to="208.6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815340</wp:posOffset>
                </wp:positionV>
                <wp:extent cx="2635250" cy="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2pt" to="208.6pt,64.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981710</wp:posOffset>
                </wp:positionV>
                <wp:extent cx="2635250" cy="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77.3pt" to="208.6pt,77.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1148715</wp:posOffset>
                </wp:positionV>
                <wp:extent cx="2635250" cy="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90.45pt" to="208.6pt,90.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323850</wp:posOffset>
                </wp:positionV>
                <wp:extent cx="0" cy="995045"/>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9504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25.5pt" to="1.35pt,103.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323850</wp:posOffset>
                </wp:positionV>
                <wp:extent cx="0" cy="995045"/>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9504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25.5pt" to="118pt,103.8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323850</wp:posOffset>
                </wp:positionV>
                <wp:extent cx="0" cy="995045"/>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9504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25.5pt" to="208.4pt,103.85pt" o:allowincell="f" strokecolor="#000000" strokeweight="0.4799pt"/>
            </w:pict>
          </mc:Fallback>
        </mc:AlternateContent>
      </w:r>
    </w:p>
    <w:p>
      <w:pPr>
        <w:spacing w:after="0" w:line="200" w:lineRule="exact"/>
        <w:rPr>
          <w:sz w:val="20"/>
          <w:szCs w:val="20"/>
          <w:color w:val="auto"/>
        </w:rPr>
      </w:pPr>
    </w:p>
    <w:p>
      <w:pPr>
        <w:spacing w:after="0" w:line="298"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MT applies to entire entry MT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4445</wp:posOffset>
                </wp:positionV>
                <wp:extent cx="2635250" cy="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35pt" to="208.6pt,0.35pt" o:allowincell="f" strokecolor="#000000" strokeweight="0.48pt"/>
            </w:pict>
          </mc:Fallback>
        </mc:AlternateConten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7"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7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4" w:lineRule="exact"/>
        <w:rPr>
          <w:sz w:val="20"/>
          <w:szCs w:val="20"/>
          <w:color w:val="auto"/>
        </w:rPr>
      </w:pPr>
    </w:p>
    <w:p>
      <w:pPr>
        <w:jc w:val="both"/>
        <w:ind w:left="1080" w:hanging="719"/>
        <w:spacing w:after="0" w:line="251" w:lineRule="auto"/>
        <w:tabs>
          <w:tab w:leader="none" w:pos="1060" w:val="left"/>
        </w:tabs>
        <w:rPr>
          <w:sz w:val="20"/>
          <w:szCs w:val="20"/>
          <w:color w:val="auto"/>
        </w:rPr>
      </w:pPr>
      <w:r>
        <w:rPr>
          <w:rFonts w:ascii="Times New Roman" w:cs="Times New Roman" w:eastAsia="Times New Roman" w:hAnsi="Times New Roman"/>
          <w:sz w:val="21"/>
          <w:szCs w:val="21"/>
          <w:i w:val="1"/>
          <w:iCs w:val="1"/>
          <w:color w:val="auto"/>
        </w:rPr>
        <w:t>STA:</w:t>
      </w:r>
      <w:r>
        <w:rPr>
          <w:sz w:val="20"/>
          <w:szCs w:val="20"/>
          <w:color w:val="auto"/>
        </w:rPr>
        <w:tab/>
      </w:r>
      <w:r>
        <w:rPr>
          <w:rFonts w:ascii="Times New Roman" w:cs="Times New Roman" w:eastAsia="Times New Roman" w:hAnsi="Times New Roman"/>
          <w:sz w:val="21"/>
          <w:szCs w:val="21"/>
          <w:color w:val="auto"/>
        </w:rPr>
        <w:t>License Exception STA may not be used to ship any item in this entry to any of the destinations listed in Country Group A:6 (See Supplement No.1 to part 740 of the EAR).</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8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1C101</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spacing w:after="0" w:line="236" w:lineRule="auto"/>
        <w:tabs>
          <w:tab w:leader="none" w:pos="639"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Materials for absorbing frequencies exceeding 2 x 10</w:t>
      </w:r>
      <w:r>
        <w:rPr>
          <w:rFonts w:ascii="Times New Roman" w:cs="Times New Roman" w:eastAsia="Times New Roman" w:hAnsi="Times New Roman"/>
          <w:sz w:val="28"/>
          <w:szCs w:val="28"/>
          <w:color w:val="auto"/>
          <w:vertAlign w:val="superscript"/>
        </w:rPr>
        <w:t>8</w:t>
      </w:r>
      <w:r>
        <w:rPr>
          <w:rFonts w:ascii="Times New Roman" w:cs="Times New Roman" w:eastAsia="Times New Roman" w:hAnsi="Times New Roman"/>
          <w:sz w:val="22"/>
          <w:szCs w:val="22"/>
          <w:color w:val="auto"/>
        </w:rPr>
        <w:t xml:space="preserve"> Hz but less than 3 x 10</w:t>
      </w:r>
      <w:r>
        <w:rPr>
          <w:rFonts w:ascii="Times New Roman" w:cs="Times New Roman" w:eastAsia="Times New Roman" w:hAnsi="Times New Roman"/>
          <w:sz w:val="28"/>
          <w:szCs w:val="28"/>
          <w:color w:val="auto"/>
          <w:vertAlign w:val="superscript"/>
        </w:rPr>
        <w:t>12</w:t>
      </w:r>
      <w:r>
        <w:rPr>
          <w:rFonts w:ascii="Times New Roman" w:cs="Times New Roman" w:eastAsia="Times New Roman" w:hAnsi="Times New Roman"/>
          <w:sz w:val="22"/>
          <w:szCs w:val="22"/>
          <w:color w:val="auto"/>
        </w:rPr>
        <w:t xml:space="preserve"> Hz.</w:t>
      </w:r>
    </w:p>
    <w:p>
      <w:pPr>
        <w:spacing w:after="0" w:line="183" w:lineRule="exact"/>
        <w:rPr>
          <w:sz w:val="20"/>
          <w:szCs w:val="20"/>
          <w:color w:val="auto"/>
        </w:rPr>
      </w:pPr>
    </w:p>
    <w:p>
      <w:pPr>
        <w:ind w:left="360"/>
        <w:spacing w:after="0"/>
        <w:tabs>
          <w:tab w:leader="none" w:pos="1180" w:val="left"/>
        </w:tabs>
        <w:rPr>
          <w:sz w:val="20"/>
          <w:szCs w:val="20"/>
          <w:color w:val="auto"/>
        </w:rPr>
      </w:pPr>
      <w:r>
        <w:rPr>
          <w:rFonts w:ascii="Times New Roman" w:cs="Times New Roman" w:eastAsia="Times New Roman" w:hAnsi="Times New Roman"/>
          <w:sz w:val="22"/>
          <w:szCs w:val="22"/>
          <w:b w:val="1"/>
          <w:bCs w:val="1"/>
          <w:i w:val="1"/>
          <w:iCs w:val="1"/>
          <w:color w:val="auto"/>
        </w:rPr>
        <w:t>Note 1:</w:t>
      </w:r>
      <w:r>
        <w:rPr>
          <w:sz w:val="20"/>
          <w:szCs w:val="20"/>
          <w:color w:val="auto"/>
        </w:rPr>
        <w:tab/>
      </w:r>
      <w:r>
        <w:rPr>
          <w:rFonts w:ascii="Times New Roman" w:cs="Times New Roman" w:eastAsia="Times New Roman" w:hAnsi="Times New Roman"/>
          <w:sz w:val="22"/>
          <w:szCs w:val="22"/>
          <w:i w:val="1"/>
          <w:iCs w:val="1"/>
          <w:color w:val="auto"/>
        </w:rPr>
        <w:t>1C001.a does not control:</w:t>
      </w:r>
    </w:p>
    <w:p>
      <w:pPr>
        <w:spacing w:after="0" w:line="265" w:lineRule="exact"/>
        <w:rPr>
          <w:sz w:val="20"/>
          <w:szCs w:val="20"/>
          <w:color w:val="auto"/>
        </w:rPr>
      </w:pPr>
    </w:p>
    <w:p>
      <w:pPr>
        <w:jc w:val="both"/>
        <w:ind w:firstLine="360"/>
        <w:spacing w:after="0" w:line="236" w:lineRule="auto"/>
        <w:tabs>
          <w:tab w:leader="none" w:pos="828" w:val="left"/>
        </w:tabs>
        <w:numPr>
          <w:ilvl w:val="0"/>
          <w:numId w:val="7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Hair type absorbers, constructed of natural or synthetic fibers, with non-magnetic loading to provide absorption;</w:t>
      </w:r>
    </w:p>
    <w:p>
      <w:pPr>
        <w:spacing w:after="0" w:line="265" w:lineRule="exact"/>
        <w:rPr>
          <w:rFonts w:ascii="Times New Roman" w:cs="Times New Roman" w:eastAsia="Times New Roman" w:hAnsi="Times New Roman"/>
          <w:sz w:val="22"/>
          <w:szCs w:val="22"/>
          <w:i w:val="1"/>
          <w:iCs w:val="1"/>
          <w:color w:val="auto"/>
        </w:rPr>
      </w:pPr>
    </w:p>
    <w:p>
      <w:pPr>
        <w:jc w:val="both"/>
        <w:ind w:firstLine="360"/>
        <w:spacing w:after="0" w:line="234" w:lineRule="auto"/>
        <w:tabs>
          <w:tab w:leader="none" w:pos="704" w:val="left"/>
        </w:tabs>
        <w:numPr>
          <w:ilvl w:val="0"/>
          <w:numId w:val="7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Absorbers having no magnetic loss and whose incident surface is non-planar in shape,</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i w:val="1"/>
          <w:iCs w:val="1"/>
          <w:color w:val="auto"/>
        </w:rPr>
        <w:t>including pyramids, cones, wedges and convoluted surfaces;</w:t>
      </w:r>
    </w:p>
    <w:p>
      <w:pPr>
        <w:spacing w:after="0" w:line="267" w:lineRule="exact"/>
        <w:rPr>
          <w:sz w:val="20"/>
          <w:szCs w:val="20"/>
          <w:color w:val="auto"/>
        </w:rPr>
      </w:pPr>
    </w:p>
    <w:p>
      <w:pPr>
        <w:ind w:firstLine="361"/>
        <w:spacing w:after="0" w:line="234" w:lineRule="auto"/>
        <w:tabs>
          <w:tab w:leader="none" w:pos="805" w:val="left"/>
        </w:tabs>
        <w:numPr>
          <w:ilvl w:val="0"/>
          <w:numId w:val="7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Planar absorbers, having all of the following:</w:t>
      </w:r>
    </w:p>
    <w:p>
      <w:pPr>
        <w:spacing w:after="0" w:line="252" w:lineRule="exact"/>
        <w:rPr>
          <w:rFonts w:ascii="Times New Roman" w:cs="Times New Roman" w:eastAsia="Times New Roman" w:hAnsi="Times New Roman"/>
          <w:sz w:val="22"/>
          <w:szCs w:val="22"/>
          <w:i w:val="1"/>
          <w:iCs w:val="1"/>
          <w:color w:val="auto"/>
        </w:rPr>
      </w:pPr>
    </w:p>
    <w:p>
      <w:pPr>
        <w:ind w:left="1060" w:hanging="339"/>
        <w:spacing w:after="0"/>
        <w:tabs>
          <w:tab w:leader="none" w:pos="1060" w:val="left"/>
        </w:tabs>
        <w:numPr>
          <w:ilvl w:val="1"/>
          <w:numId w:val="7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Made from any of the following:</w:t>
      </w:r>
    </w:p>
    <w:p>
      <w:pPr>
        <w:spacing w:after="0" w:line="265" w:lineRule="exact"/>
        <w:rPr>
          <w:rFonts w:ascii="Times New Roman" w:cs="Times New Roman" w:eastAsia="Times New Roman" w:hAnsi="Times New Roman"/>
          <w:sz w:val="22"/>
          <w:szCs w:val="22"/>
          <w:i w:val="1"/>
          <w:iCs w:val="1"/>
          <w:color w:val="auto"/>
        </w:rPr>
      </w:pPr>
    </w:p>
    <w:p>
      <w:pPr>
        <w:jc w:val="both"/>
        <w:ind w:firstLine="1169"/>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Plastic foam materials (flexible or non-flexible) with carbon-loading, or organic materials, including binders, providing more than 5% echo compared with metal over a bandwidth exceeding ± 15% of the center frequency of the incident energy, and not capable of withstanding temperatures exceeding 450 K (177 C); or</w:t>
      </w:r>
    </w:p>
    <w:p>
      <w:pPr>
        <w:spacing w:after="0" w:line="269" w:lineRule="exact"/>
        <w:rPr>
          <w:rFonts w:ascii="Times New Roman" w:cs="Times New Roman" w:eastAsia="Times New Roman" w:hAnsi="Times New Roman"/>
          <w:sz w:val="22"/>
          <w:szCs w:val="22"/>
          <w:i w:val="1"/>
          <w:iCs w:val="1"/>
          <w:color w:val="auto"/>
        </w:rPr>
      </w:pPr>
    </w:p>
    <w:p>
      <w:pPr>
        <w:jc w:val="both"/>
        <w:ind w:firstLine="1080"/>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 Ceramic materials providing more than 20% echo compared with metal over a bandwidth exceeding ± 15% of the center frequency of the incident energy, and not capable of withstanding temperatures exceeding 800 K (527 C);</w:t>
      </w:r>
    </w:p>
    <w:p>
      <w:pPr>
        <w:spacing w:after="0" w:line="269"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Absorption test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samples for 1C001.a. Note 1.c.1 should be a square at least 5 wavelengths of the center frequency on a side and positioned in the far field of the radiating element.</w:t>
      </w:r>
    </w:p>
    <w:p>
      <w:pPr>
        <w:spacing w:after="0" w:line="209" w:lineRule="exact"/>
        <w:rPr>
          <w:sz w:val="20"/>
          <w:szCs w:val="20"/>
          <w:color w:val="auto"/>
        </w:rPr>
      </w:pPr>
    </w:p>
    <w:p>
      <w:pPr>
        <w:ind w:left="1180" w:hanging="370"/>
        <w:spacing w:after="0"/>
        <w:tabs>
          <w:tab w:leader="none" w:pos="1180" w:val="left"/>
        </w:tabs>
        <w:numPr>
          <w:ilvl w:val="2"/>
          <w:numId w:val="7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Tensile strength less than 7 x 10</w:t>
      </w:r>
      <w:r>
        <w:rPr>
          <w:rFonts w:ascii="Times New Roman" w:cs="Times New Roman" w:eastAsia="Times New Roman" w:hAnsi="Times New Roman"/>
          <w:sz w:val="28"/>
          <w:szCs w:val="28"/>
          <w:i w:val="1"/>
          <w:iCs w:val="1"/>
          <w:color w:val="auto"/>
          <w:vertAlign w:val="superscript"/>
        </w:rPr>
        <w:t>6</w:t>
      </w:r>
    </w:p>
    <w:p>
      <w:pPr>
        <w:spacing w:after="0" w:line="227"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 and</w:t>
      </w:r>
    </w:p>
    <w:p>
      <w:pPr>
        <w:spacing w:after="0" w:line="192" w:lineRule="exact"/>
        <w:rPr>
          <w:rFonts w:ascii="Times New Roman" w:cs="Times New Roman" w:eastAsia="Times New Roman" w:hAnsi="Times New Roman"/>
          <w:sz w:val="22"/>
          <w:szCs w:val="22"/>
          <w:i w:val="1"/>
          <w:iCs w:val="1"/>
          <w:color w:val="auto"/>
        </w:rPr>
      </w:pPr>
    </w:p>
    <w:p>
      <w:pPr>
        <w:ind w:left="1160" w:hanging="350"/>
        <w:spacing w:after="0"/>
        <w:tabs>
          <w:tab w:leader="none" w:pos="1160" w:val="left"/>
        </w:tabs>
        <w:numPr>
          <w:ilvl w:val="2"/>
          <w:numId w:val="72"/>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Compressive strength less than 14 x</w:t>
      </w:r>
    </w:p>
    <w:p>
      <w:pPr>
        <w:spacing w:after="0"/>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10</w:t>
      </w:r>
      <w:r>
        <w:rPr>
          <w:rFonts w:ascii="Times New Roman" w:cs="Times New Roman" w:eastAsia="Times New Roman" w:hAnsi="Times New Roman"/>
          <w:sz w:val="28"/>
          <w:szCs w:val="28"/>
          <w:i w:val="1"/>
          <w:iCs w:val="1"/>
          <w:color w:val="auto"/>
          <w:vertAlign w:val="superscript"/>
        </w:rPr>
        <w:t>6</w:t>
      </w:r>
      <w:r>
        <w:rPr>
          <w:rFonts w:ascii="Times New Roman" w:cs="Times New Roman" w:eastAsia="Times New Roman" w:hAnsi="Times New Roman"/>
          <w:sz w:val="22"/>
          <w:szCs w:val="22"/>
          <w:i w:val="1"/>
          <w:iCs w:val="1"/>
          <w:color w:val="auto"/>
        </w:rPr>
        <w:t xml:space="preserve"> N/m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spacing w:after="0" w:line="195" w:lineRule="exact"/>
        <w:rPr>
          <w:rFonts w:ascii="Times New Roman" w:cs="Times New Roman" w:eastAsia="Times New Roman" w:hAnsi="Times New Roman"/>
          <w:sz w:val="21"/>
          <w:szCs w:val="21"/>
          <w:i w:val="1"/>
          <w:iCs w:val="1"/>
          <w:color w:val="auto"/>
        </w:rPr>
      </w:pPr>
    </w:p>
    <w:p>
      <w:pPr>
        <w:ind w:firstLine="361"/>
        <w:spacing w:after="0" w:line="234" w:lineRule="auto"/>
        <w:tabs>
          <w:tab w:leader="none" w:pos="849" w:val="left"/>
        </w:tabs>
        <w:numPr>
          <w:ilvl w:val="0"/>
          <w:numId w:val="7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Planar absorbers made of sintered ferrite, having all of the following:</w:t>
      </w:r>
    </w:p>
    <w:p>
      <w:pPr>
        <w:spacing w:after="0" w:line="265" w:lineRule="exact"/>
        <w:rPr>
          <w:rFonts w:ascii="Times New Roman" w:cs="Times New Roman" w:eastAsia="Times New Roman" w:hAnsi="Times New Roman"/>
          <w:sz w:val="22"/>
          <w:szCs w:val="22"/>
          <w:i w:val="1"/>
          <w:iCs w:val="1"/>
          <w:color w:val="auto"/>
        </w:rPr>
      </w:pPr>
    </w:p>
    <w:p>
      <w:pPr>
        <w:ind w:left="1060" w:hanging="339"/>
        <w:spacing w:after="0"/>
        <w:tabs>
          <w:tab w:leader="none" w:pos="1060" w:val="left"/>
        </w:tabs>
        <w:numPr>
          <w:ilvl w:val="1"/>
          <w:numId w:val="73"/>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A specific gravity exceeding 4.4; and</w:t>
      </w:r>
    </w:p>
    <w:p>
      <w:pPr>
        <w:spacing w:after="0" w:line="264" w:lineRule="exact"/>
        <w:rPr>
          <w:rFonts w:ascii="Times New Roman" w:cs="Times New Roman" w:eastAsia="Times New Roman" w:hAnsi="Times New Roman"/>
          <w:sz w:val="21"/>
          <w:szCs w:val="21"/>
          <w:i w:val="1"/>
          <w:iCs w:val="1"/>
          <w:color w:val="auto"/>
        </w:rPr>
      </w:pPr>
    </w:p>
    <w:p>
      <w:pPr>
        <w:ind w:firstLine="721"/>
        <w:spacing w:after="0" w:line="244" w:lineRule="auto"/>
        <w:tabs>
          <w:tab w:leader="none" w:pos="1062" w:val="left"/>
        </w:tabs>
        <w:numPr>
          <w:ilvl w:val="1"/>
          <w:numId w:val="7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maximum operating temperature of 548 K (275 C).</w:t>
      </w:r>
    </w:p>
    <w:p>
      <w:pPr>
        <w:spacing w:after="0" w:line="262" w:lineRule="exact"/>
        <w:rPr>
          <w:sz w:val="20"/>
          <w:szCs w:val="20"/>
          <w:color w:val="auto"/>
        </w:rPr>
      </w:pPr>
    </w:p>
    <w:p>
      <w:pPr>
        <w:jc w:val="both"/>
        <w:ind w:firstLine="451"/>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Nothing in Note 1 releases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magnetic materials to provide absorption when contained in paint.</w:t>
      </w:r>
    </w:p>
    <w:p>
      <w:pPr>
        <w:spacing w:after="0" w:line="268" w:lineRule="exact"/>
        <w:rPr>
          <w:sz w:val="20"/>
          <w:szCs w:val="20"/>
          <w:color w:val="auto"/>
        </w:rPr>
      </w:pPr>
    </w:p>
    <w:p>
      <w:pPr>
        <w:jc w:val="both"/>
        <w:ind w:firstLine="1"/>
        <w:spacing w:after="0" w:line="234" w:lineRule="auto"/>
        <w:tabs>
          <w:tab w:leader="none" w:pos="341"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Materials not transparent to visible light and specially designed for absorbing near-infrared</w:t>
      </w:r>
    </w:p>
    <w:p>
      <w:pPr>
        <w:spacing w:after="0" w:line="246"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2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3" w:name="page34"/>
    <w:bookmarkEnd w:id="3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34</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radiation having a wavelength exceeding 810 nm but less than 2,000 nm (frequencies exceeding 150 THz but less than 370 THz);</w:t>
      </w:r>
    </w:p>
    <w:p>
      <w:pPr>
        <w:spacing w:after="0" w:line="268"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1C001.b does not apply to materials,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or formulated for any of the following applications:</w:t>
      </w:r>
    </w:p>
    <w:p>
      <w:pPr>
        <w:spacing w:after="0" w:line="256" w:lineRule="exact"/>
        <w:rPr>
          <w:sz w:val="20"/>
          <w:szCs w:val="20"/>
          <w:color w:val="auto"/>
        </w:rPr>
      </w:pPr>
    </w:p>
    <w:p>
      <w:pPr>
        <w:ind w:left="720" w:hanging="360"/>
        <w:spacing w:after="0"/>
        <w:tabs>
          <w:tab w:leader="none" w:pos="720" w:val="left"/>
        </w:tabs>
        <w:numPr>
          <w:ilvl w:val="1"/>
          <w:numId w:val="7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“Laser” marking of polymers; </w:t>
      </w:r>
      <w:r>
        <w:rPr>
          <w:rFonts w:ascii="Times New Roman" w:cs="Times New Roman" w:eastAsia="Times New Roman" w:hAnsi="Times New Roman"/>
          <w:sz w:val="22"/>
          <w:szCs w:val="22"/>
          <w:i w:val="1"/>
          <w:iCs w:val="1"/>
          <w:u w:val="single" w:color="auto"/>
          <w:color w:val="auto"/>
        </w:rPr>
        <w:t>or</w:t>
      </w:r>
    </w:p>
    <w:p>
      <w:pPr>
        <w:spacing w:after="0" w:line="252" w:lineRule="exact"/>
        <w:rPr>
          <w:rFonts w:ascii="Times New Roman" w:cs="Times New Roman" w:eastAsia="Times New Roman" w:hAnsi="Times New Roman"/>
          <w:sz w:val="22"/>
          <w:szCs w:val="22"/>
          <w:i w:val="1"/>
          <w:iCs w:val="1"/>
          <w:color w:val="auto"/>
        </w:rPr>
      </w:pPr>
    </w:p>
    <w:p>
      <w:pPr>
        <w:ind w:left="720" w:hanging="360"/>
        <w:spacing w:after="0"/>
        <w:tabs>
          <w:tab w:leader="none" w:pos="720" w:val="left"/>
        </w:tabs>
        <w:numPr>
          <w:ilvl w:val="1"/>
          <w:numId w:val="7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“Laser” welding of polymers.</w:t>
      </w:r>
    </w:p>
    <w:p>
      <w:pPr>
        <w:spacing w:after="0" w:line="264" w:lineRule="exact"/>
        <w:rPr>
          <w:rFonts w:ascii="Times New Roman" w:cs="Times New Roman" w:eastAsia="Times New Roman" w:hAnsi="Times New Roman"/>
          <w:sz w:val="22"/>
          <w:szCs w:val="22"/>
          <w:i w:val="1"/>
          <w:iCs w:val="1"/>
          <w:color w:val="auto"/>
        </w:rPr>
      </w:pPr>
    </w:p>
    <w:p>
      <w:pPr>
        <w:jc w:val="both"/>
        <w:spacing w:after="0" w:line="238"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color w:val="auto"/>
        </w:rPr>
        <w:t>c. Intrinsically conductive polymeric materials with a ‘bulk electrical conductivity’ exceeding 10,000 S/m (Siemens per meter) or a ‘sheet (surface) resistivity’ of less than 100 ohms/square, based on any of the following polymers: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c.1.</w:t>
        <w:tab/>
        <w:t>Polyaniline;</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c.2.</w:t>
        <w:tab/>
        <w:t>Polypyrrole;</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c.3.</w:t>
        <w:tab/>
        <w:t>Polythiophene;</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c.4.</w:t>
        <w:tab/>
        <w:t xml:space="preserve">Poly phenylene-vinylene;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c.5.</w:t>
        <w:tab/>
        <w:t>Poly thienylene-vinylene.</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1C001.c does not apply to materials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 liquid form.</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‘Bulk electrical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conductivity’ and ‘sheet (surface) resistivity’ should be determined using ASTM D-257 or national equivalents.</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1C002 Metal alloys, metal alloy powder and alloyed materials,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4"/>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NS Column 2</w:t>
            </w:r>
          </w:p>
        </w:tc>
      </w:tr>
    </w:tbl>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3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NP applies to 1C002.b.3</w:t>
            </w:r>
          </w:p>
        </w:tc>
        <w:tc>
          <w:tcPr>
            <w:tcW w:w="1620" w:type="dxa"/>
            <w:vAlign w:val="bottom"/>
            <w:tcBorders>
              <w:top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NP Column 1</w:t>
            </w:r>
          </w:p>
        </w:tc>
      </w:tr>
      <w:tr>
        <w:trPr>
          <w:trHeight w:val="252"/>
        </w:trPr>
        <w:tc>
          <w:tcPr>
            <w:tcW w:w="25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or  b.4  if  they  exceed  the</w:t>
            </w:r>
          </w:p>
        </w:tc>
        <w:tc>
          <w:tcPr>
            <w:tcW w:w="1620" w:type="dxa"/>
            <w:vAlign w:val="bottom"/>
            <w:tcBorders>
              <w:right w:val="single" w:sz="8" w:color="auto"/>
            </w:tcBorders>
          </w:tcPr>
          <w:p>
            <w:pPr>
              <w:spacing w:after="0"/>
              <w:rPr>
                <w:sz w:val="21"/>
                <w:szCs w:val="21"/>
                <w:color w:val="auto"/>
              </w:rPr>
            </w:pPr>
          </w:p>
        </w:tc>
      </w:tr>
      <w:tr>
        <w:trPr>
          <w:trHeight w:val="255"/>
        </w:trPr>
        <w:tc>
          <w:tcPr>
            <w:tcW w:w="254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parameters stated in 1C202</w:t>
            </w:r>
          </w:p>
        </w:tc>
        <w:tc>
          <w:tcPr>
            <w:tcW w:w="1620" w:type="dxa"/>
            <w:vAlign w:val="bottom"/>
            <w:tcBorders>
              <w:bottom w:val="single" w:sz="8" w:color="auto"/>
              <w:right w:val="single" w:sz="8" w:color="auto"/>
            </w:tcBorders>
          </w:tcPr>
          <w:p>
            <w:pPr>
              <w:spacing w:after="0"/>
              <w:rPr>
                <w:sz w:val="22"/>
                <w:szCs w:val="22"/>
                <w:color w:val="auto"/>
              </w:rPr>
            </w:pPr>
          </w:p>
        </w:tc>
      </w:tr>
      <w:tr>
        <w:trPr>
          <w:trHeight w:val="244"/>
        </w:trPr>
        <w:tc>
          <w:tcPr>
            <w:tcW w:w="254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 N/A for NP</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 </w:t>
      </w:r>
      <w:r>
        <w:rPr>
          <w:rFonts w:ascii="Times New Roman" w:cs="Times New Roman" w:eastAsia="Times New Roman" w:hAnsi="Times New Roman"/>
          <w:sz w:val="22"/>
          <w:szCs w:val="22"/>
          <w:u w:val="single" w:color="auto"/>
          <w:color w:val="0000FF"/>
        </w:rPr>
        <w:t>1C202</w:t>
      </w:r>
      <w:r>
        <w:rPr>
          <w:rFonts w:ascii="Times New Roman" w:cs="Times New Roman" w:eastAsia="Times New Roman" w:hAnsi="Times New Roman"/>
          <w:sz w:val="22"/>
          <w:szCs w:val="22"/>
          <w:color w:val="000000"/>
        </w:rPr>
        <w:t>. (3) Aluminum alloys and titanium</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alloys in physical forms and finished products “specially designed” or prepared for use in separating uranium isotopes are subject to the export licensing authority of the Nuclear Regulatory Commission (see 10 CFR part 110).</w:t>
      </w:r>
    </w:p>
    <w:p>
      <w:pPr>
        <w:spacing w:after="0" w:line="11" w:lineRule="exact"/>
        <w:rPr>
          <w:sz w:val="20"/>
          <w:szCs w:val="20"/>
          <w:color w:val="auto"/>
        </w:rPr>
      </w:pPr>
    </w:p>
    <w:p>
      <w:pPr>
        <w:ind w:left="360"/>
        <w:spacing w:after="0"/>
        <w:tabs>
          <w:tab w:leader="none" w:pos="2200" w:val="left"/>
        </w:tabs>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1C002 does not control metal alloys,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metal alloy powder and alloyed materials, specially formulated for coating purposes.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1: </w:t>
      </w:r>
      <w:r>
        <w:rPr>
          <w:rFonts w:ascii="Times New Roman" w:cs="Times New Roman" w:eastAsia="Times New Roman" w:hAnsi="Times New Roman"/>
          <w:sz w:val="22"/>
          <w:szCs w:val="22"/>
          <w:i w:val="1"/>
          <w:iCs w:val="1"/>
          <w:color w:val="auto"/>
        </w:rPr>
        <w:t>The metal alloys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1C002 are those containing a higher percentage by weight of the stated metal than of any other element.</w:t>
      </w:r>
    </w:p>
    <w:p>
      <w:pPr>
        <w:spacing w:after="0" w:line="266" w:lineRule="exact"/>
        <w:rPr>
          <w:sz w:val="20"/>
          <w:szCs w:val="20"/>
          <w:color w:val="auto"/>
        </w:rPr>
      </w:pPr>
    </w:p>
    <w:p>
      <w:pPr>
        <w:jc w:val="both"/>
        <w:ind w:firstLine="449"/>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2: </w:t>
      </w:r>
      <w:r>
        <w:rPr>
          <w:rFonts w:ascii="Times New Roman" w:cs="Times New Roman" w:eastAsia="Times New Roman" w:hAnsi="Times New Roman"/>
          <w:sz w:val="22"/>
          <w:szCs w:val="22"/>
          <w:i w:val="1"/>
          <w:iCs w:val="1"/>
          <w:color w:val="auto"/>
        </w:rPr>
        <w:t>‘Stress-rupture life’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should be measured in accordance with ASTM standard E-139 or national equivalents.</w:t>
      </w:r>
    </w:p>
    <w:p>
      <w:pPr>
        <w:spacing w:after="0" w:line="267" w:lineRule="exact"/>
        <w:rPr>
          <w:sz w:val="20"/>
          <w:szCs w:val="20"/>
          <w:color w:val="auto"/>
        </w:rPr>
      </w:pPr>
    </w:p>
    <w:p>
      <w:pPr>
        <w:jc w:val="both"/>
        <w:ind w:firstLine="449"/>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3: </w:t>
      </w:r>
      <w:r>
        <w:rPr>
          <w:rFonts w:ascii="Times New Roman" w:cs="Times New Roman" w:eastAsia="Times New Roman" w:hAnsi="Times New Roman"/>
          <w:sz w:val="22"/>
          <w:szCs w:val="22"/>
          <w:i w:val="1"/>
          <w:iCs w:val="1"/>
          <w:color w:val="auto"/>
        </w:rPr>
        <w:t>‘Low cycle fatigue life’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should be measured in accordance with ASTM Standard E-606 ‘Recommended Practice for Constant-Amplitude Low-Cycle Fatigue Testing’ or national equivalents. Testing should be axial with an average stress ratio equal to 1 and a stress-concentration factor (K</w:t>
      </w:r>
      <w:r>
        <w:rPr>
          <w:rFonts w:ascii="Times New Roman" w:cs="Times New Roman" w:eastAsia="Times New Roman" w:hAnsi="Times New Roman"/>
          <w:sz w:val="14"/>
          <w:szCs w:val="14"/>
          <w:i w:val="1"/>
          <w:iCs w:val="1"/>
          <w:color w:val="auto"/>
        </w:rPr>
        <w:t>t</w:t>
      </w:r>
      <w:r>
        <w:rPr>
          <w:rFonts w:ascii="Times New Roman" w:cs="Times New Roman" w:eastAsia="Times New Roman" w:hAnsi="Times New Roman"/>
          <w:sz w:val="22"/>
          <w:szCs w:val="22"/>
          <w:i w:val="1"/>
          <w:iCs w:val="1"/>
          <w:color w:val="auto"/>
        </w:rPr>
        <w:t>) equal to 1. The average stress is defined as maximum stress</w:t>
      </w:r>
    </w:p>
    <w:p>
      <w:pPr>
        <w:spacing w:after="0" w:line="459"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8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4" w:name="page35"/>
    <w:bookmarkEnd w:id="3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35</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i w:val="1"/>
          <w:iCs w:val="1"/>
          <w:color w:val="auto"/>
        </w:rPr>
        <w:t>minus minimum stress divided by maximum stress.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Aluminides, as follows: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a.1. Nickel aluminides containing a minimum of 15% by weight aluminum, a maximum of 38% by weight aluminum and at least one additional alloying element;</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a.2. Titanium aluminides containing 10% by weight or more aluminum and at least one additional alloying element;</w:t>
      </w:r>
    </w:p>
    <w:p>
      <w:pPr>
        <w:spacing w:after="0" w:line="267" w:lineRule="exact"/>
        <w:rPr>
          <w:sz w:val="20"/>
          <w:szCs w:val="20"/>
          <w:color w:val="auto"/>
        </w:rPr>
      </w:pPr>
    </w:p>
    <w:p>
      <w:pPr>
        <w:jc w:val="both"/>
        <w:spacing w:after="0" w:line="234" w:lineRule="auto"/>
        <w:tabs>
          <w:tab w:leader="none" w:pos="422" w:val="left"/>
        </w:tabs>
        <w:numPr>
          <w:ilvl w:val="0"/>
          <w:numId w:val="7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Metal alloys, as follows, made from the powder or particulate material controlled by</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1C002.c:</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b.1. Nickel alloys having any of the following:</w:t>
      </w:r>
    </w:p>
    <w:p>
      <w:pPr>
        <w:spacing w:after="0" w:line="265" w:lineRule="exact"/>
        <w:rPr>
          <w:sz w:val="20"/>
          <w:szCs w:val="20"/>
          <w:color w:val="auto"/>
        </w:rPr>
      </w:pPr>
    </w:p>
    <w:p>
      <w:pPr>
        <w:jc w:val="both"/>
        <w:ind w:firstLine="720"/>
        <w:spacing w:after="0" w:line="242" w:lineRule="auto"/>
        <w:rPr>
          <w:sz w:val="20"/>
          <w:szCs w:val="20"/>
          <w:color w:val="auto"/>
        </w:rPr>
      </w:pPr>
      <w:r>
        <w:rPr>
          <w:rFonts w:ascii="Times New Roman" w:cs="Times New Roman" w:eastAsia="Times New Roman" w:hAnsi="Times New Roman"/>
          <w:sz w:val="22"/>
          <w:szCs w:val="22"/>
          <w:color w:val="auto"/>
        </w:rPr>
        <w:t>b.1.a. A ‘stress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rupture life’ of 10,000 </w:t>
      </w:r>
      <w:r>
        <w:rPr>
          <w:rFonts w:ascii="Times New Roman" w:cs="Times New Roman" w:eastAsia="Times New Roman" w:hAnsi="Times New Roman"/>
          <w:sz w:val="22"/>
          <w:szCs w:val="22"/>
          <w:color w:val="auto"/>
        </w:rPr>
        <w:t xml:space="preserve">hours or longer at 923 K (650 C) at a stress of 676 MPa; </w:t>
      </w:r>
      <w:r>
        <w:rPr>
          <w:rFonts w:ascii="Times New Roman" w:cs="Times New Roman" w:eastAsia="Times New Roman" w:hAnsi="Times New Roman"/>
          <w:sz w:val="22"/>
          <w:szCs w:val="22"/>
          <w:i w:val="1"/>
          <w:iCs w:val="1"/>
          <w:color w:val="auto"/>
        </w:rPr>
        <w:t>or</w:t>
      </w:r>
    </w:p>
    <w:p>
      <w:pPr>
        <w:spacing w:after="0" w:line="264" w:lineRule="exact"/>
        <w:rPr>
          <w:sz w:val="20"/>
          <w:szCs w:val="20"/>
          <w:color w:val="auto"/>
        </w:rPr>
      </w:pPr>
    </w:p>
    <w:p>
      <w:pPr>
        <w:jc w:val="both"/>
        <w:ind w:firstLine="720"/>
        <w:spacing w:after="0" w:line="242" w:lineRule="auto"/>
        <w:rPr>
          <w:sz w:val="20"/>
          <w:szCs w:val="20"/>
          <w:color w:val="auto"/>
        </w:rPr>
      </w:pPr>
      <w:r>
        <w:rPr>
          <w:rFonts w:ascii="Times New Roman" w:cs="Times New Roman" w:eastAsia="Times New Roman" w:hAnsi="Times New Roman"/>
          <w:sz w:val="22"/>
          <w:szCs w:val="22"/>
          <w:color w:val="auto"/>
        </w:rPr>
        <w:t xml:space="preserve">b.1.b. A ‘low cycle fatigue life’ of 10,000 </w:t>
      </w:r>
      <w:r>
        <w:rPr>
          <w:rFonts w:ascii="Times New Roman" w:cs="Times New Roman" w:eastAsia="Times New Roman" w:hAnsi="Times New Roman"/>
          <w:sz w:val="22"/>
          <w:szCs w:val="22"/>
          <w:color w:val="auto"/>
        </w:rPr>
        <w:t>cycles or more at 823 K (550 C) at a maximum stress of 1,095 MPa;</w:t>
      </w:r>
    </w:p>
    <w:p>
      <w:pPr>
        <w:spacing w:after="0" w:line="264"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b.2. Niobium alloys having any of the following:</w:t>
      </w:r>
    </w:p>
    <w:p>
      <w:pPr>
        <w:spacing w:after="0" w:line="267" w:lineRule="exact"/>
        <w:rPr>
          <w:sz w:val="20"/>
          <w:szCs w:val="20"/>
          <w:color w:val="auto"/>
        </w:rPr>
      </w:pPr>
    </w:p>
    <w:p>
      <w:pPr>
        <w:jc w:val="both"/>
        <w:ind w:firstLine="720"/>
        <w:spacing w:after="0" w:line="241" w:lineRule="auto"/>
        <w:rPr>
          <w:sz w:val="20"/>
          <w:szCs w:val="20"/>
          <w:color w:val="auto"/>
        </w:rPr>
      </w:pPr>
      <w:r>
        <w:rPr>
          <w:rFonts w:ascii="Times New Roman" w:cs="Times New Roman" w:eastAsia="Times New Roman" w:hAnsi="Times New Roman"/>
          <w:sz w:val="22"/>
          <w:szCs w:val="22"/>
          <w:color w:val="auto"/>
        </w:rPr>
        <w:t>b.2.a. A ‘stress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rupture life’ of 10,000 </w:t>
      </w:r>
      <w:r>
        <w:rPr>
          <w:rFonts w:ascii="Times New Roman" w:cs="Times New Roman" w:eastAsia="Times New Roman" w:hAnsi="Times New Roman"/>
          <w:sz w:val="22"/>
          <w:szCs w:val="22"/>
          <w:color w:val="auto"/>
        </w:rPr>
        <w:t xml:space="preserve">hours or longer at 1,073 K (800 C) at a stress of 400 MPa; </w:t>
      </w:r>
      <w:r>
        <w:rPr>
          <w:rFonts w:ascii="Times New Roman" w:cs="Times New Roman" w:eastAsia="Times New Roman" w:hAnsi="Times New Roman"/>
          <w:sz w:val="22"/>
          <w:szCs w:val="22"/>
          <w:i w:val="1"/>
          <w:iCs w:val="1"/>
          <w:color w:val="auto"/>
        </w:rPr>
        <w:t>or</w:t>
      </w:r>
    </w:p>
    <w:p>
      <w:pPr>
        <w:spacing w:after="0" w:line="254" w:lineRule="exact"/>
        <w:rPr>
          <w:sz w:val="20"/>
          <w:szCs w:val="20"/>
          <w:color w:val="auto"/>
        </w:rPr>
      </w:pPr>
    </w:p>
    <w:p>
      <w:pPr>
        <w:jc w:val="center"/>
        <w:ind w:left="720"/>
        <w:spacing w:after="0"/>
        <w:tabs>
          <w:tab w:leader="none" w:pos="240" w:val="left"/>
        </w:tabs>
        <w:rPr>
          <w:sz w:val="20"/>
          <w:szCs w:val="20"/>
          <w:color w:val="auto"/>
        </w:rPr>
      </w:pPr>
      <w:r>
        <w:rPr>
          <w:rFonts w:ascii="Times New Roman" w:cs="Times New Roman" w:eastAsia="Times New Roman" w:hAnsi="Times New Roman"/>
          <w:sz w:val="22"/>
          <w:szCs w:val="22"/>
          <w:color w:val="auto"/>
        </w:rPr>
        <w:t>b.2.b.</w:t>
        <w:tab/>
        <w:t>A  ‘low  cycle  fatigue  life’  of</w:t>
      </w:r>
    </w:p>
    <w:p>
      <w:pPr>
        <w:spacing w:after="0" w:line="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10,000 cycles or more at 973 K (700 C) at a maximum stress of 700 MPa;</w:t>
      </w:r>
    </w:p>
    <w:p>
      <w:pPr>
        <w:spacing w:after="0" w:line="293"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b.3. Titanium alloys having any of the following:</w:t>
      </w:r>
    </w:p>
    <w:p>
      <w:pPr>
        <w:spacing w:after="0" w:line="265" w:lineRule="exact"/>
        <w:rPr>
          <w:sz w:val="20"/>
          <w:szCs w:val="20"/>
          <w:color w:val="auto"/>
        </w:rPr>
      </w:pPr>
    </w:p>
    <w:p>
      <w:pPr>
        <w:jc w:val="both"/>
        <w:ind w:firstLine="720"/>
        <w:spacing w:after="0" w:line="242" w:lineRule="auto"/>
        <w:rPr>
          <w:sz w:val="20"/>
          <w:szCs w:val="20"/>
          <w:color w:val="auto"/>
        </w:rPr>
      </w:pPr>
      <w:r>
        <w:rPr>
          <w:rFonts w:ascii="Times New Roman" w:cs="Times New Roman" w:eastAsia="Times New Roman" w:hAnsi="Times New Roman"/>
          <w:sz w:val="22"/>
          <w:szCs w:val="22"/>
          <w:color w:val="auto"/>
        </w:rPr>
        <w:t>b.3.a. A ‘stress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rupture life’ of 10,000 </w:t>
      </w:r>
      <w:r>
        <w:rPr>
          <w:rFonts w:ascii="Times New Roman" w:cs="Times New Roman" w:eastAsia="Times New Roman" w:hAnsi="Times New Roman"/>
          <w:sz w:val="22"/>
          <w:szCs w:val="22"/>
          <w:color w:val="auto"/>
        </w:rPr>
        <w:t xml:space="preserve">hours or longer at 723 K (450 C) at a stress of 200 MPa;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firstLine="720"/>
        <w:spacing w:after="0" w:line="241" w:lineRule="auto"/>
        <w:rPr>
          <w:sz w:val="20"/>
          <w:szCs w:val="20"/>
          <w:color w:val="auto"/>
        </w:rPr>
      </w:pPr>
      <w:r>
        <w:rPr>
          <w:rFonts w:ascii="Times New Roman" w:cs="Times New Roman" w:eastAsia="Times New Roman" w:hAnsi="Times New Roman"/>
          <w:sz w:val="22"/>
          <w:szCs w:val="22"/>
          <w:color w:val="auto"/>
        </w:rPr>
        <w:t xml:space="preserve">b.3.b. A ‘low cycle fatigue life’ of </w:t>
      </w:r>
      <w:r>
        <w:rPr>
          <w:rFonts w:ascii="Times New Roman" w:cs="Times New Roman" w:eastAsia="Times New Roman" w:hAnsi="Times New Roman"/>
          <w:sz w:val="22"/>
          <w:szCs w:val="22"/>
          <w:color w:val="auto"/>
        </w:rPr>
        <w:t>10,000 cycles or more at 723 K (450 C) at a maximum stress of 400 MPa;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b.4 Aluminum alloys having any of the following:</w:t>
      </w:r>
    </w:p>
    <w:p>
      <w:pPr>
        <w:spacing w:after="0" w:line="267" w:lineRule="exact"/>
        <w:rPr>
          <w:sz w:val="20"/>
          <w:szCs w:val="20"/>
          <w:color w:val="auto"/>
        </w:rPr>
      </w:pPr>
    </w:p>
    <w:p>
      <w:pPr>
        <w:jc w:val="both"/>
        <w:ind w:firstLine="720"/>
        <w:spacing w:after="0" w:line="243" w:lineRule="auto"/>
        <w:rPr>
          <w:sz w:val="20"/>
          <w:szCs w:val="20"/>
          <w:color w:val="auto"/>
        </w:rPr>
      </w:pPr>
      <w:r>
        <w:rPr>
          <w:rFonts w:ascii="Times New Roman" w:cs="Times New Roman" w:eastAsia="Times New Roman" w:hAnsi="Times New Roman"/>
          <w:sz w:val="22"/>
          <w:szCs w:val="22"/>
          <w:color w:val="auto"/>
        </w:rPr>
        <w:t xml:space="preserve">b.4.a. A tensile strength of 240 MPa or more at 473 K (200 C); </w:t>
      </w:r>
      <w:r>
        <w:rPr>
          <w:rFonts w:ascii="Times New Roman" w:cs="Times New Roman" w:eastAsia="Times New Roman" w:hAnsi="Times New Roman"/>
          <w:sz w:val="22"/>
          <w:szCs w:val="22"/>
          <w:i w:val="1"/>
          <w:iCs w:val="1"/>
          <w:color w:val="auto"/>
        </w:rPr>
        <w:t>or</w:t>
      </w:r>
    </w:p>
    <w:p>
      <w:pPr>
        <w:spacing w:after="0" w:line="263" w:lineRule="exact"/>
        <w:rPr>
          <w:sz w:val="20"/>
          <w:szCs w:val="20"/>
          <w:color w:val="auto"/>
        </w:rPr>
      </w:pPr>
    </w:p>
    <w:p>
      <w:pPr>
        <w:jc w:val="both"/>
        <w:ind w:firstLine="720"/>
        <w:spacing w:after="0" w:line="243" w:lineRule="auto"/>
        <w:rPr>
          <w:sz w:val="20"/>
          <w:szCs w:val="20"/>
          <w:color w:val="auto"/>
        </w:rPr>
      </w:pPr>
      <w:r>
        <w:rPr>
          <w:rFonts w:ascii="Times New Roman" w:cs="Times New Roman" w:eastAsia="Times New Roman" w:hAnsi="Times New Roman"/>
          <w:sz w:val="22"/>
          <w:szCs w:val="22"/>
          <w:color w:val="auto"/>
        </w:rPr>
        <w:t>b.4.b. A tensile strength of 415 MPa or more at 298 K (25 C);</w:t>
      </w:r>
    </w:p>
    <w:p>
      <w:pPr>
        <w:spacing w:after="0" w:line="263"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b.5. Magnesium alloys having all the following:</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b.5.a. A tensile strength of 345 MPa or more; and</w:t>
      </w:r>
    </w:p>
    <w:p>
      <w:pPr>
        <w:spacing w:after="0" w:line="26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b.5.b. A corrosion rate of less than 1 mm/year in 3% sodium chloride aqueous solution measured in accordance with ASTM standard G-31 or national equivalents;</w:t>
      </w:r>
    </w:p>
    <w:p>
      <w:pPr>
        <w:spacing w:after="0" w:line="270" w:lineRule="exact"/>
        <w:rPr>
          <w:sz w:val="20"/>
          <w:szCs w:val="20"/>
          <w:color w:val="auto"/>
        </w:rPr>
      </w:pPr>
    </w:p>
    <w:p>
      <w:pPr>
        <w:ind w:firstLine="1"/>
        <w:spacing w:after="0" w:line="234" w:lineRule="auto"/>
        <w:tabs>
          <w:tab w:leader="none" w:pos="351" w:val="left"/>
        </w:tabs>
        <w:numPr>
          <w:ilvl w:val="0"/>
          <w:numId w:val="7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Metal alloy powder or particulate material, having all of the following:</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c.1. Made from any of the following composition systems:</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X in the following equals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one or more alloying elements.</w:t>
      </w:r>
    </w:p>
    <w:p>
      <w:pPr>
        <w:spacing w:after="0" w:line="264"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1"/>
          <w:szCs w:val="21"/>
          <w:color w:val="auto"/>
        </w:rPr>
        <w:t xml:space="preserve">c.1.a. Nickel alloys (Ni-Al-X, Ni-X-Al) qualified for turbine engine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color w:val="auto"/>
        </w:rPr>
        <w:t>parts</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color w:val="auto"/>
        </w:rPr>
        <w:t xml:space="preserve"> or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color w:val="auto"/>
        </w:rPr>
        <w:t>components,</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color w:val="auto"/>
        </w:rPr>
        <w:t>i.e. with less than 3 non-metallic</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color w:val="auto"/>
        </w:rPr>
        <w:t xml:space="preserve">particles (introduced during the manufacturing </w:t>
      </w:r>
      <w:r>
        <w:rPr>
          <w:rFonts w:ascii="Times New Roman" w:cs="Times New Roman" w:eastAsia="Times New Roman" w:hAnsi="Times New Roman"/>
          <w:sz w:val="21"/>
          <w:szCs w:val="21"/>
          <w:color w:val="auto"/>
        </w:rPr>
        <w:t>process) larger than 100 μm in 10</w:t>
      </w:r>
      <w:r>
        <w:rPr>
          <w:rFonts w:ascii="Times New Roman" w:cs="Times New Roman" w:eastAsia="Times New Roman" w:hAnsi="Times New Roman"/>
          <w:sz w:val="27"/>
          <w:szCs w:val="27"/>
          <w:color w:val="auto"/>
          <w:vertAlign w:val="superscript"/>
        </w:rPr>
        <w:t>9</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color w:val="auto"/>
        </w:rPr>
        <w:t>alloy particles;</w:t>
      </w:r>
    </w:p>
    <w:p>
      <w:pPr>
        <w:spacing w:after="0" w:line="183"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c.1.b. Niobium alloys (Nb-Al-X or Nb-X-Al, Nb-Si-X or Nb-X-Si, Nb-Ti-X or Nb-X-Ti);</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c.1.c. Titanium alloys (Ti-Al-X or Ti-X-Al);</w:t>
      </w:r>
    </w:p>
    <w:p>
      <w:pPr>
        <w:spacing w:after="0" w:line="26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c.1.d. Aluminum alloys (Al-Mg-X or Al-X-Mg, Al-Zn-X or Al-X-Zn, Al-Fe-X or Al-X-Fe);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c.1.e. Magnesium alloys (Mg-Al-X or Mg-X-Al);</w:t>
      </w:r>
    </w:p>
    <w:p>
      <w:pPr>
        <w:spacing w:after="0" w:line="519"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2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5" w:name="page36"/>
    <w:bookmarkEnd w:id="3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c.2. Made in a controlled environment by any of the following processes:</w:t>
      </w:r>
    </w:p>
    <w:p>
      <w:pPr>
        <w:spacing w:after="0" w:line="25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c.2.a. ‘Vacuum atomization’;</w:t>
      </w:r>
    </w:p>
    <w:p>
      <w:pPr>
        <w:spacing w:after="0" w:line="252"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c.2.b.</w:t>
        <w:tab/>
        <w:t>‘Gas atomization’;</w:t>
      </w:r>
    </w:p>
    <w:p>
      <w:pPr>
        <w:spacing w:after="0" w:line="253"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c.2.c.</w:t>
        <w:tab/>
        <w:t>‘Rotary atomization’;</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c.2.d.</w:t>
        <w:tab/>
        <w:t>‘Splat quenching’;</w:t>
      </w:r>
    </w:p>
    <w:p>
      <w:pPr>
        <w:spacing w:after="0" w:line="265"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c.2.e. ‘Melt spinning’ and ‘comminution’;</w:t>
      </w:r>
    </w:p>
    <w:p>
      <w:pPr>
        <w:spacing w:after="0" w:line="266"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c.2.f. ‘Melt extraction’ and ‘comminution’;</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 xml:space="preserve">c.2.g. ‘Mechanical alloying’;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c.2.h.</w:t>
      </w:r>
      <w:r>
        <w:rPr>
          <w:sz w:val="20"/>
          <w:szCs w:val="20"/>
          <w:color w:val="auto"/>
        </w:rPr>
        <w:tab/>
      </w:r>
      <w:r>
        <w:rPr>
          <w:rFonts w:ascii="Times New Roman" w:cs="Times New Roman" w:eastAsia="Times New Roman" w:hAnsi="Times New Roman"/>
          <w:sz w:val="22"/>
          <w:szCs w:val="22"/>
          <w:color w:val="auto"/>
        </w:rPr>
        <w:t xml:space="preserve">‘Plasma atomization’;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c.3. Capable of forming materials controlled by 1C002.a or 1C002.b;</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Alloyed materials, having all the following:</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d.1. Made from any of the composition systems specified by 1C002.c.1;</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d.2. In the form of uncomminuted flakes, ribbons or thin rods;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d.3. Produced in a controlled environment by any of the following:</w:t>
      </w:r>
    </w:p>
    <w:p>
      <w:pPr>
        <w:spacing w:after="0" w:line="25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d.3.a. ‘Splat quenching’;</w:t>
      </w:r>
    </w:p>
    <w:p>
      <w:pPr>
        <w:spacing w:after="0" w:line="252"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 xml:space="preserve">d.3.b. ‘Melt spinning’;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d.3.c. ‘Melt extraction’.</w:t>
      </w:r>
    </w:p>
    <w:p>
      <w:pPr>
        <w:spacing w:after="0" w:line="200" w:lineRule="exact"/>
        <w:rPr>
          <w:sz w:val="20"/>
          <w:szCs w:val="20"/>
          <w:color w:val="auto"/>
        </w:rPr>
      </w:pPr>
    </w:p>
    <w:p>
      <w:pPr>
        <w:spacing w:after="0" w:line="200" w:lineRule="exact"/>
        <w:rPr>
          <w:sz w:val="20"/>
          <w:szCs w:val="20"/>
          <w:color w:val="auto"/>
        </w:rPr>
      </w:pPr>
    </w:p>
    <w:p>
      <w:pPr>
        <w:spacing w:after="0" w:line="36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6" w:lineRule="exact"/>
        <w:rPr>
          <w:sz w:val="20"/>
          <w:szCs w:val="20"/>
          <w:color w:val="auto"/>
        </w:rPr>
      </w:pPr>
    </w:p>
    <w:p>
      <w:pPr>
        <w:jc w:val="both"/>
        <w:ind w:firstLine="720"/>
        <w:spacing w:after="0" w:line="251" w:lineRule="auto"/>
        <w:tabs>
          <w:tab w:leader="none" w:pos="1080" w:val="left"/>
        </w:tabs>
        <w:numPr>
          <w:ilvl w:val="0"/>
          <w:numId w:val="78"/>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‘Vacuum atomi</w:t>
      </w:r>
      <w:r>
        <w:rPr>
          <w:rFonts w:ascii="Times New Roman" w:cs="Times New Roman" w:eastAsia="Times New Roman" w:hAnsi="Times New Roman"/>
          <w:sz w:val="21"/>
          <w:szCs w:val="21"/>
          <w:i w:val="1"/>
          <w:iCs w:val="1"/>
          <w:color w:val="auto"/>
        </w:rPr>
        <w:t>z</w:t>
      </w:r>
      <w:r>
        <w:rPr>
          <w:rFonts w:ascii="Times New Roman" w:cs="Times New Roman" w:eastAsia="Times New Roman" w:hAnsi="Times New Roman"/>
          <w:sz w:val="21"/>
          <w:szCs w:val="21"/>
          <w:i w:val="1"/>
          <w:iCs w:val="1"/>
          <w:color w:val="auto"/>
        </w:rPr>
        <w:t xml:space="preserve">ation’ is a process to </w:t>
      </w:r>
      <w:r>
        <w:rPr>
          <w:rFonts w:ascii="Times New Roman" w:cs="Times New Roman" w:eastAsia="Times New Roman" w:hAnsi="Times New Roman"/>
          <w:sz w:val="21"/>
          <w:szCs w:val="21"/>
          <w:i w:val="1"/>
          <w:iCs w:val="1"/>
          <w:color w:val="auto"/>
        </w:rPr>
        <w:t xml:space="preserve">reduce a molten stream of metal to droplets of a </w:t>
      </w:r>
      <w:r>
        <w:rPr>
          <w:rFonts w:ascii="Times New Roman" w:cs="Times New Roman" w:eastAsia="Times New Roman" w:hAnsi="Times New Roman"/>
          <w:sz w:val="21"/>
          <w:szCs w:val="21"/>
          <w:i w:val="1"/>
          <w:iCs w:val="1"/>
          <w:color w:val="auto"/>
        </w:rPr>
        <w:t xml:space="preserve">diameter of 500 μm or less by the rapid evolution </w:t>
      </w:r>
      <w:r>
        <w:rPr>
          <w:rFonts w:ascii="Times New Roman" w:cs="Times New Roman" w:eastAsia="Times New Roman" w:hAnsi="Times New Roman"/>
          <w:sz w:val="21"/>
          <w:szCs w:val="21"/>
          <w:i w:val="1"/>
          <w:iCs w:val="1"/>
          <w:color w:val="auto"/>
        </w:rPr>
        <w:t>of a dissolved gas upon exposure to a vacuum.</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ind w:firstLine="721"/>
        <w:spacing w:after="0" w:line="237"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‘Gas atomi</w:t>
      </w:r>
      <w:r>
        <w:rPr>
          <w:rFonts w:ascii="Times New Roman" w:cs="Times New Roman" w:eastAsia="Times New Roman" w:hAnsi="Times New Roman"/>
          <w:sz w:val="22"/>
          <w:szCs w:val="22"/>
          <w:i w:val="1"/>
          <w:iCs w:val="1"/>
          <w:color w:val="auto"/>
        </w:rPr>
        <w:t>z</w:t>
      </w:r>
      <w:r>
        <w:rPr>
          <w:rFonts w:ascii="Times New Roman" w:cs="Times New Roman" w:eastAsia="Times New Roman" w:hAnsi="Times New Roman"/>
          <w:sz w:val="22"/>
          <w:szCs w:val="22"/>
          <w:i w:val="1"/>
          <w:iCs w:val="1"/>
          <w:color w:val="auto"/>
        </w:rPr>
        <w:t xml:space="preserve">ation’ is a process to </w:t>
      </w:r>
      <w:r>
        <w:rPr>
          <w:rFonts w:ascii="Times New Roman" w:cs="Times New Roman" w:eastAsia="Times New Roman" w:hAnsi="Times New Roman"/>
          <w:sz w:val="22"/>
          <w:szCs w:val="22"/>
          <w:i w:val="1"/>
          <w:iCs w:val="1"/>
          <w:color w:val="auto"/>
        </w:rPr>
        <w:t xml:space="preserve">reduce a molten stream of metal alloy to droplets </w:t>
      </w:r>
      <w:r>
        <w:rPr>
          <w:rFonts w:ascii="Times New Roman" w:cs="Times New Roman" w:eastAsia="Times New Roman" w:hAnsi="Times New Roman"/>
          <w:sz w:val="22"/>
          <w:szCs w:val="22"/>
          <w:i w:val="1"/>
          <w:iCs w:val="1"/>
          <w:color w:val="auto"/>
        </w:rPr>
        <w:t xml:space="preserve">of 500 μm diameter or less by a high pressure gas </w:t>
      </w:r>
      <w:r>
        <w:rPr>
          <w:rFonts w:ascii="Times New Roman" w:cs="Times New Roman" w:eastAsia="Times New Roman" w:hAnsi="Times New Roman"/>
          <w:sz w:val="22"/>
          <w:szCs w:val="22"/>
          <w:i w:val="1"/>
          <w:iCs w:val="1"/>
          <w:color w:val="auto"/>
        </w:rPr>
        <w:t>stream.</w:t>
      </w:r>
    </w:p>
    <w:p>
      <w:pPr>
        <w:spacing w:after="0" w:line="265" w:lineRule="exact"/>
        <w:rPr>
          <w:rFonts w:ascii="Times New Roman" w:cs="Times New Roman" w:eastAsia="Times New Roman" w:hAnsi="Times New Roman"/>
          <w:sz w:val="22"/>
          <w:szCs w:val="22"/>
          <w:i w:val="1"/>
          <w:iCs w:val="1"/>
          <w:color w:val="auto"/>
        </w:rPr>
      </w:pPr>
    </w:p>
    <w:p>
      <w:pPr>
        <w:jc w:val="both"/>
        <w:ind w:firstLine="721"/>
        <w:spacing w:after="0" w:line="237"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‘Rotary atomi</w:t>
      </w:r>
      <w:r>
        <w:rPr>
          <w:rFonts w:ascii="Times New Roman" w:cs="Times New Roman" w:eastAsia="Times New Roman" w:hAnsi="Times New Roman"/>
          <w:sz w:val="22"/>
          <w:szCs w:val="22"/>
          <w:i w:val="1"/>
          <w:iCs w:val="1"/>
          <w:color w:val="auto"/>
        </w:rPr>
        <w:t>z</w:t>
      </w:r>
      <w:r>
        <w:rPr>
          <w:rFonts w:ascii="Times New Roman" w:cs="Times New Roman" w:eastAsia="Times New Roman" w:hAnsi="Times New Roman"/>
          <w:sz w:val="22"/>
          <w:szCs w:val="22"/>
          <w:i w:val="1"/>
          <w:iCs w:val="1"/>
          <w:color w:val="auto"/>
        </w:rPr>
        <w:t xml:space="preserve">ation’ is a process to </w:t>
      </w:r>
      <w:r>
        <w:rPr>
          <w:rFonts w:ascii="Times New Roman" w:cs="Times New Roman" w:eastAsia="Times New Roman" w:hAnsi="Times New Roman"/>
          <w:sz w:val="22"/>
          <w:szCs w:val="22"/>
          <w:i w:val="1"/>
          <w:iCs w:val="1"/>
          <w:color w:val="auto"/>
        </w:rPr>
        <w:t xml:space="preserve">reduce a stream or pool of molten metal to droplets of </w:t>
      </w:r>
      <w:r>
        <w:rPr>
          <w:rFonts w:ascii="Times New Roman" w:cs="Times New Roman" w:eastAsia="Times New Roman" w:hAnsi="Times New Roman"/>
          <w:sz w:val="22"/>
          <w:szCs w:val="22"/>
          <w:i w:val="1"/>
          <w:iCs w:val="1"/>
          <w:color w:val="auto"/>
        </w:rPr>
        <w:t>a diameter of 500 μm or less</w:t>
      </w:r>
      <w:r>
        <w:rPr>
          <w:rFonts w:ascii="Times New Roman" w:cs="Times New Roman" w:eastAsia="Times New Roman" w:hAnsi="Times New Roman"/>
          <w:sz w:val="22"/>
          <w:szCs w:val="22"/>
          <w:i w:val="1"/>
          <w:iCs w:val="1"/>
          <w:color w:val="auto"/>
        </w:rPr>
        <w:t xml:space="preserve"> by centrifugal force.</w:t>
      </w:r>
    </w:p>
    <w:p>
      <w:pPr>
        <w:spacing w:after="0" w:line="265" w:lineRule="exact"/>
        <w:rPr>
          <w:rFonts w:ascii="Times New Roman" w:cs="Times New Roman" w:eastAsia="Times New Roman" w:hAnsi="Times New Roman"/>
          <w:sz w:val="22"/>
          <w:szCs w:val="22"/>
          <w:i w:val="1"/>
          <w:iCs w:val="1"/>
          <w:color w:val="auto"/>
        </w:rPr>
      </w:pPr>
    </w:p>
    <w:p>
      <w:pPr>
        <w:jc w:val="both"/>
        <w:ind w:firstLine="721"/>
        <w:spacing w:after="0" w:line="237"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‘Splat quenching’ is a process to ‘solidify rapidly’ a molten metal stream </w:t>
      </w:r>
      <w:r>
        <w:rPr>
          <w:rFonts w:ascii="Times New Roman" w:cs="Times New Roman" w:eastAsia="Times New Roman" w:hAnsi="Times New Roman"/>
          <w:sz w:val="22"/>
          <w:szCs w:val="22"/>
          <w:i w:val="1"/>
          <w:iCs w:val="1"/>
          <w:color w:val="auto"/>
        </w:rPr>
        <w:t>impinging upon a chilled block, forming a flake-like product.</w:t>
      </w:r>
    </w:p>
    <w:p>
      <w:pPr>
        <w:spacing w:after="0" w:line="266" w:lineRule="exact"/>
        <w:rPr>
          <w:rFonts w:ascii="Times New Roman" w:cs="Times New Roman" w:eastAsia="Times New Roman" w:hAnsi="Times New Roman"/>
          <w:sz w:val="22"/>
          <w:szCs w:val="22"/>
          <w:i w:val="1"/>
          <w:iCs w:val="1"/>
          <w:color w:val="auto"/>
        </w:rPr>
      </w:pPr>
    </w:p>
    <w:p>
      <w:pPr>
        <w:jc w:val="both"/>
        <w:ind w:firstLine="721"/>
        <w:spacing w:after="0" w:line="236"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‘Melt spinning’ is a process to ‘solidify rapidly’ a molten metal stream </w:t>
      </w:r>
      <w:r>
        <w:rPr>
          <w:rFonts w:ascii="Times New Roman" w:cs="Times New Roman" w:eastAsia="Times New Roman" w:hAnsi="Times New Roman"/>
          <w:sz w:val="22"/>
          <w:szCs w:val="22"/>
          <w:i w:val="1"/>
          <w:iCs w:val="1"/>
          <w:color w:val="auto"/>
        </w:rPr>
        <w:t>impinging upon a rotating chilled block, forming a flake, ribbon or rod-like product.</w:t>
      </w:r>
    </w:p>
    <w:p>
      <w:pPr>
        <w:spacing w:after="0" w:line="269" w:lineRule="exact"/>
        <w:rPr>
          <w:rFonts w:ascii="Times New Roman" w:cs="Times New Roman" w:eastAsia="Times New Roman" w:hAnsi="Times New Roman"/>
          <w:sz w:val="22"/>
          <w:szCs w:val="22"/>
          <w:i w:val="1"/>
          <w:iCs w:val="1"/>
          <w:color w:val="auto"/>
        </w:rPr>
      </w:pPr>
    </w:p>
    <w:p>
      <w:pPr>
        <w:jc w:val="both"/>
        <w:ind w:firstLine="721"/>
        <w:spacing w:after="0" w:line="235"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‘Comminution’ is a process to </w:t>
      </w:r>
      <w:r>
        <w:rPr>
          <w:rFonts w:ascii="Times New Roman" w:cs="Times New Roman" w:eastAsia="Times New Roman" w:hAnsi="Times New Roman"/>
          <w:sz w:val="22"/>
          <w:szCs w:val="22"/>
          <w:i w:val="1"/>
          <w:iCs w:val="1"/>
          <w:color w:val="auto"/>
        </w:rPr>
        <w:t>reduce a material to particles by crushing or grinding.</w:t>
      </w:r>
    </w:p>
    <w:p>
      <w:pPr>
        <w:spacing w:after="0" w:line="268" w:lineRule="exact"/>
        <w:rPr>
          <w:rFonts w:ascii="Times New Roman" w:cs="Times New Roman" w:eastAsia="Times New Roman" w:hAnsi="Times New Roman"/>
          <w:sz w:val="22"/>
          <w:szCs w:val="22"/>
          <w:i w:val="1"/>
          <w:iCs w:val="1"/>
          <w:color w:val="auto"/>
        </w:rPr>
      </w:pPr>
    </w:p>
    <w:p>
      <w:pPr>
        <w:jc w:val="both"/>
        <w:ind w:firstLine="721"/>
        <w:spacing w:after="0" w:line="237"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‘Melt extraction’ is a process to ‘solidify rapidly’ and extract a ribbon</w:t>
      </w:r>
      <w:r>
        <w:rPr>
          <w:rFonts w:ascii="Times New Roman" w:cs="Times New Roman" w:eastAsia="Times New Roman" w:hAnsi="Times New Roman"/>
          <w:sz w:val="22"/>
          <w:szCs w:val="22"/>
          <w:i w:val="1"/>
          <w:iCs w:val="1"/>
          <w:color w:val="auto"/>
        </w:rPr>
        <w:t>-like alloy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i w:val="1"/>
          <w:iCs w:val="1"/>
          <w:color w:val="auto"/>
        </w:rPr>
        <w:t>product by the insertion of a short segment of a rotating chilled block into a bath of a molten metal alloy.</w:t>
      </w:r>
    </w:p>
    <w:p>
      <w:pPr>
        <w:spacing w:after="0" w:line="269" w:lineRule="exact"/>
        <w:rPr>
          <w:rFonts w:ascii="Times New Roman" w:cs="Times New Roman" w:eastAsia="Times New Roman" w:hAnsi="Times New Roman"/>
          <w:sz w:val="22"/>
          <w:szCs w:val="22"/>
          <w:i w:val="1"/>
          <w:iCs w:val="1"/>
          <w:color w:val="auto"/>
        </w:rPr>
      </w:pPr>
    </w:p>
    <w:p>
      <w:pPr>
        <w:jc w:val="both"/>
        <w:ind w:firstLine="721"/>
        <w:spacing w:after="0" w:line="238"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‘Mechanical alloying’ is an alloying </w:t>
      </w:r>
      <w:r>
        <w:rPr>
          <w:rFonts w:ascii="Times New Roman" w:cs="Times New Roman" w:eastAsia="Times New Roman" w:hAnsi="Times New Roman"/>
          <w:sz w:val="22"/>
          <w:szCs w:val="22"/>
          <w:i w:val="1"/>
          <w:iCs w:val="1"/>
          <w:color w:val="auto"/>
        </w:rPr>
        <w:t>process resulting from the bonding, fracturing and rebonding of elemental and master alloy powders by mechanical impact. Non-metallic particles may be incorporated in the alloy by addition of the appropriate powders.</w:t>
      </w:r>
    </w:p>
    <w:p>
      <w:pPr>
        <w:spacing w:after="0" w:line="264" w:lineRule="exact"/>
        <w:rPr>
          <w:rFonts w:ascii="Times New Roman" w:cs="Times New Roman" w:eastAsia="Times New Roman" w:hAnsi="Times New Roman"/>
          <w:sz w:val="22"/>
          <w:szCs w:val="22"/>
          <w:i w:val="1"/>
          <w:iCs w:val="1"/>
          <w:color w:val="auto"/>
        </w:rPr>
      </w:pPr>
    </w:p>
    <w:p>
      <w:pPr>
        <w:jc w:val="both"/>
        <w:ind w:firstLine="721"/>
        <w:spacing w:after="0" w:line="237"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‘Plasma atomi</w:t>
      </w:r>
      <w:r>
        <w:rPr>
          <w:rFonts w:ascii="Times New Roman" w:cs="Times New Roman" w:eastAsia="Times New Roman" w:hAnsi="Times New Roman"/>
          <w:sz w:val="22"/>
          <w:szCs w:val="22"/>
          <w:i w:val="1"/>
          <w:iCs w:val="1"/>
          <w:color w:val="auto"/>
        </w:rPr>
        <w:t>z</w:t>
      </w:r>
      <w:r>
        <w:rPr>
          <w:rFonts w:ascii="Times New Roman" w:cs="Times New Roman" w:eastAsia="Times New Roman" w:hAnsi="Times New Roman"/>
          <w:sz w:val="22"/>
          <w:szCs w:val="22"/>
          <w:i w:val="1"/>
          <w:iCs w:val="1"/>
          <w:color w:val="auto"/>
        </w:rPr>
        <w:t xml:space="preserve">ation’ is a process to </w:t>
      </w:r>
      <w:r>
        <w:rPr>
          <w:rFonts w:ascii="Times New Roman" w:cs="Times New Roman" w:eastAsia="Times New Roman" w:hAnsi="Times New Roman"/>
          <w:sz w:val="22"/>
          <w:szCs w:val="22"/>
          <w:i w:val="1"/>
          <w:iCs w:val="1"/>
          <w:color w:val="auto"/>
        </w:rPr>
        <w:t xml:space="preserve">reduce a molten stream or solid metal to droplets </w:t>
      </w:r>
      <w:r>
        <w:rPr>
          <w:rFonts w:ascii="Times New Roman" w:cs="Times New Roman" w:eastAsia="Times New Roman" w:hAnsi="Times New Roman"/>
          <w:sz w:val="22"/>
          <w:szCs w:val="22"/>
          <w:i w:val="1"/>
          <w:iCs w:val="1"/>
          <w:color w:val="auto"/>
        </w:rPr>
        <w:t xml:space="preserve">of 500 μm diameter or less, using plasma torches </w:t>
      </w:r>
      <w:r>
        <w:rPr>
          <w:rFonts w:ascii="Times New Roman" w:cs="Times New Roman" w:eastAsia="Times New Roman" w:hAnsi="Times New Roman"/>
          <w:sz w:val="22"/>
          <w:szCs w:val="22"/>
          <w:i w:val="1"/>
          <w:iCs w:val="1"/>
          <w:color w:val="auto"/>
        </w:rPr>
        <w:t>in an inert gas environment.</w:t>
      </w:r>
    </w:p>
    <w:p>
      <w:pPr>
        <w:spacing w:after="0" w:line="266" w:lineRule="exact"/>
        <w:rPr>
          <w:rFonts w:ascii="Times New Roman" w:cs="Times New Roman" w:eastAsia="Times New Roman" w:hAnsi="Times New Roman"/>
          <w:sz w:val="22"/>
          <w:szCs w:val="22"/>
          <w:i w:val="1"/>
          <w:iCs w:val="1"/>
          <w:color w:val="auto"/>
        </w:rPr>
      </w:pPr>
    </w:p>
    <w:p>
      <w:pPr>
        <w:jc w:val="both"/>
        <w:ind w:firstLine="721"/>
        <w:spacing w:after="0" w:line="235" w:lineRule="auto"/>
        <w:tabs>
          <w:tab w:leader="none" w:pos="1080" w:val="left"/>
        </w:tabs>
        <w:numPr>
          <w:ilvl w:val="0"/>
          <w:numId w:val="7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‘Solidify rapidly’ is a process </w:t>
      </w:r>
      <w:r>
        <w:rPr>
          <w:rFonts w:ascii="Times New Roman" w:cs="Times New Roman" w:eastAsia="Times New Roman" w:hAnsi="Times New Roman"/>
          <w:sz w:val="22"/>
          <w:szCs w:val="22"/>
          <w:i w:val="1"/>
          <w:iCs w:val="1"/>
          <w:color w:val="auto"/>
        </w:rPr>
        <w:t>involving the solidification of molten material at cooling rates exceeding 1000 K/sec.</w:t>
      </w:r>
    </w:p>
    <w:p>
      <w:pPr>
        <w:spacing w:after="0" w:line="200" w:lineRule="exact"/>
        <w:rPr>
          <w:sz w:val="20"/>
          <w:szCs w:val="20"/>
          <w:color w:val="auto"/>
        </w:rPr>
      </w:pPr>
    </w:p>
    <w:p>
      <w:pPr>
        <w:spacing w:after="0" w:line="322"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1C003 Magnetic metals, of all types and of whatever form, having any of the following (see List of Items Controlled).</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6" w:name="page37"/>
    <w:bookmarkEnd w:id="3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37</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653415</wp:posOffset>
                </wp:positionV>
                <wp:extent cx="2635250" cy="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45pt" to="208.6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820420</wp:posOffset>
                </wp:positionV>
                <wp:extent cx="2635250" cy="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pt" to="208.6pt,64.6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04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9" o:spid="_x0000_s1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04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04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3"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4445</wp:posOffset>
                </wp:positionV>
                <wp:extent cx="2635250" cy="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35pt" to="208.6pt,0.35pt" o:allowincell="f" strokecolor="#000000" strokeweight="0.48pt"/>
            </w:pict>
          </mc:Fallback>
        </mc:AlternateContent>
      </w:r>
    </w:p>
    <w:p>
      <w:pPr>
        <w:spacing w:after="0" w:line="256"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tabs>
          <w:tab w:leader="none" w:pos="385" w:val="left"/>
        </w:tabs>
        <w:numPr>
          <w:ilvl w:val="0"/>
          <w:numId w:val="8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Initial relative permeability of 120,000 or more and a thickness of 0.05 mm or less;</w:t>
      </w:r>
    </w:p>
    <w:p>
      <w:pPr>
        <w:spacing w:after="0" w:line="268"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Measurement of initial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relative permeability must be performed on fully annealed materials.</w:t>
      </w:r>
    </w:p>
    <w:p>
      <w:pPr>
        <w:spacing w:after="0" w:line="267" w:lineRule="exact"/>
        <w:rPr>
          <w:sz w:val="20"/>
          <w:szCs w:val="20"/>
          <w:color w:val="auto"/>
        </w:rPr>
      </w:pPr>
    </w:p>
    <w:p>
      <w:pPr>
        <w:spacing w:after="0" w:line="234" w:lineRule="auto"/>
        <w:tabs>
          <w:tab w:leader="none" w:pos="393" w:val="left"/>
        </w:tabs>
        <w:numPr>
          <w:ilvl w:val="0"/>
          <w:numId w:val="8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Magnetostrictive alloys having any of the following:</w:t>
      </w:r>
    </w:p>
    <w:p>
      <w:pPr>
        <w:spacing w:after="0" w:line="265" w:lineRule="exact"/>
        <w:rPr>
          <w:sz w:val="20"/>
          <w:szCs w:val="20"/>
          <w:color w:val="auto"/>
        </w:rPr>
      </w:pPr>
    </w:p>
    <w:p>
      <w:pPr>
        <w:ind w:firstLine="360"/>
        <w:spacing w:after="0" w:line="236" w:lineRule="auto"/>
        <w:rPr>
          <w:sz w:val="20"/>
          <w:szCs w:val="20"/>
          <w:color w:val="auto"/>
        </w:rPr>
      </w:pPr>
      <w:r>
        <w:rPr>
          <w:rFonts w:ascii="Times New Roman" w:cs="Times New Roman" w:eastAsia="Times New Roman" w:hAnsi="Times New Roman"/>
          <w:sz w:val="22"/>
          <w:szCs w:val="22"/>
          <w:color w:val="auto"/>
        </w:rPr>
        <w:t>b.1. A saturation magnetostriction of more than 5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194"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b.2. A magnetomechanical coupling factor (k) of more than 0.8;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spacing w:after="0" w:line="234" w:lineRule="auto"/>
        <w:tabs>
          <w:tab w:leader="none" w:pos="329" w:val="left"/>
        </w:tabs>
        <w:numPr>
          <w:ilvl w:val="0"/>
          <w:numId w:val="8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Amorphous or ‘nanocrystalline’ alloy strips, having all of the following:</w:t>
      </w:r>
    </w:p>
    <w:p>
      <w:pPr>
        <w:spacing w:after="0" w:line="266"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c.1. A composition having a minimum of 75% by weight of iron, cobalt or nickel;</w:t>
      </w:r>
    </w:p>
    <w:p>
      <w:pPr>
        <w:spacing w:after="0" w:line="267"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c.2. A saturation magnetic induction (B</w:t>
      </w:r>
      <w:r>
        <w:rPr>
          <w:rFonts w:ascii="Times New Roman" w:cs="Times New Roman" w:eastAsia="Times New Roman" w:hAnsi="Times New Roman"/>
          <w:sz w:val="14"/>
          <w:szCs w:val="14"/>
          <w:color w:val="auto"/>
        </w:rPr>
        <w:t>s</w:t>
      </w:r>
      <w:r>
        <w:rPr>
          <w:rFonts w:ascii="Times New Roman" w:cs="Times New Roman" w:eastAsia="Times New Roman" w:hAnsi="Times New Roman"/>
          <w:sz w:val="22"/>
          <w:szCs w:val="22"/>
          <w:color w:val="auto"/>
        </w:rPr>
        <w:t xml:space="preserve">) of 1.6 T or more; </w:t>
      </w:r>
      <w:r>
        <w:rPr>
          <w:rFonts w:ascii="Times New Roman" w:cs="Times New Roman" w:eastAsia="Times New Roman" w:hAnsi="Times New Roman"/>
          <w:sz w:val="22"/>
          <w:szCs w:val="22"/>
          <w:i w:val="1"/>
          <w:iCs w:val="1"/>
          <w:color w:val="auto"/>
        </w:rPr>
        <w:t>and</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c.3.</w:t>
        <w:tab/>
        <w:t>Any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c.3.a.</w:t>
        <w:tab/>
        <w:t>A strip thickness of 0.02 mm or</w:t>
      </w:r>
    </w:p>
    <w:p>
      <w:pPr>
        <w:spacing w:after="0"/>
        <w:rPr>
          <w:sz w:val="20"/>
          <w:szCs w:val="20"/>
          <w:color w:val="auto"/>
        </w:rPr>
      </w:pPr>
      <w:r>
        <w:rPr>
          <w:rFonts w:ascii="Times New Roman" w:cs="Times New Roman" w:eastAsia="Times New Roman" w:hAnsi="Times New Roman"/>
          <w:sz w:val="22"/>
          <w:szCs w:val="22"/>
          <w:color w:val="auto"/>
        </w:rPr>
        <w:t xml:space="preserve">less; </w:t>
      </w:r>
      <w:r>
        <w:rPr>
          <w:rFonts w:ascii="Times New Roman" w:cs="Times New Roman" w:eastAsia="Times New Roman" w:hAnsi="Times New Roman"/>
          <w:sz w:val="22"/>
          <w:szCs w:val="22"/>
          <w:i w:val="1"/>
          <w:iCs w:val="1"/>
          <w:color w:val="auto"/>
        </w:rPr>
        <w:t>or</w:t>
      </w:r>
    </w:p>
    <w:p>
      <w:pPr>
        <w:spacing w:after="0" w:line="248" w:lineRule="exact"/>
        <w:rPr>
          <w:sz w:val="20"/>
          <w:szCs w:val="20"/>
          <w:color w:val="auto"/>
        </w:rPr>
      </w:pPr>
    </w:p>
    <w:p>
      <w:pPr>
        <w:jc w:val="both"/>
        <w:ind w:firstLine="720"/>
        <w:spacing w:after="0" w:line="213" w:lineRule="auto"/>
        <w:rPr>
          <w:sz w:val="20"/>
          <w:szCs w:val="20"/>
          <w:color w:val="auto"/>
        </w:rPr>
      </w:pPr>
      <w:r>
        <w:rPr>
          <w:rFonts w:ascii="Times New Roman" w:cs="Times New Roman" w:eastAsia="Times New Roman" w:hAnsi="Times New Roman"/>
          <w:sz w:val="22"/>
          <w:szCs w:val="22"/>
          <w:color w:val="auto"/>
        </w:rPr>
        <w:t>c.3.b. An electrical resistivity of 2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ohm cm or more.</w:t>
      </w:r>
    </w:p>
    <w:p>
      <w:pPr>
        <w:spacing w:after="0" w:line="268"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‘Nanocrystalline’ materials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 1C003.c are those materials having a crystal grain size of 50 nm or less, as determined by X-ray diffraction.</w:t>
      </w:r>
    </w:p>
    <w:p>
      <w:pPr>
        <w:spacing w:after="0" w:line="200" w:lineRule="exact"/>
        <w:rPr>
          <w:sz w:val="20"/>
          <w:szCs w:val="20"/>
          <w:color w:val="auto"/>
        </w:rPr>
      </w:pPr>
    </w:p>
    <w:p>
      <w:pPr>
        <w:spacing w:after="0" w:line="32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1C004 Uranium titanium alloys or tungsten alloys with a “matrix” based on iron, nickel or copper, having all of the following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165100</wp:posOffset>
                </wp:positionV>
                <wp:extent cx="2635250" cy="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pt" to="208.65pt,1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820420</wp:posOffset>
                </wp:positionV>
                <wp:extent cx="2635250" cy="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pt" to="208.65pt,64.6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161925</wp:posOffset>
                </wp:positionV>
                <wp:extent cx="0" cy="82931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75pt" to="1.4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161925</wp:posOffset>
                </wp:positionV>
                <wp:extent cx="0" cy="82931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7" o:spid="_x0000_s1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75pt" to="118.05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931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8" o:spid="_x0000_s1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05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9" o:spid="_x0000_s10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1C117</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1C226</w:t>
      </w:r>
      <w:r>
        <w:rPr>
          <w:rFonts w:ascii="Times New Roman" w:cs="Times New Roman" w:eastAsia="Times New Roman" w:hAnsi="Times New Roman"/>
          <w:sz w:val="22"/>
          <w:szCs w:val="22"/>
          <w:color w:val="000000"/>
        </w:rPr>
        <w:t>.</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47" w:lineRule="exact"/>
        <w:rPr>
          <w:sz w:val="20"/>
          <w:szCs w:val="20"/>
          <w:color w:val="auto"/>
        </w:rPr>
      </w:pPr>
    </w:p>
    <w:p>
      <w:pPr>
        <w:ind w:left="340" w:hanging="339"/>
        <w:spacing w:after="0"/>
        <w:tabs>
          <w:tab w:leader="none" w:pos="340" w:val="left"/>
        </w:tabs>
        <w:numPr>
          <w:ilvl w:val="0"/>
          <w:numId w:val="8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density exceeding 17.5 g/cm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w:t>
      </w:r>
    </w:p>
    <w:p>
      <w:pPr>
        <w:spacing w:after="0" w:line="189"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8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 elastic limit exceeding 880 MPa;</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329" w:val="left"/>
        </w:tabs>
        <w:numPr>
          <w:ilvl w:val="0"/>
          <w:numId w:val="8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An ultimate tensile strength exceeding 1,270 MPa; </w:t>
      </w:r>
      <w:r>
        <w:rPr>
          <w:rFonts w:ascii="Times New Roman" w:cs="Times New Roman" w:eastAsia="Times New Roman" w:hAnsi="Times New Roman"/>
          <w:sz w:val="22"/>
          <w:szCs w:val="22"/>
          <w:i w:val="1"/>
          <w:iCs w:val="1"/>
          <w:color w:val="auto"/>
        </w:rPr>
        <w:t>and</w:t>
      </w:r>
    </w:p>
    <w:p>
      <w:pPr>
        <w:spacing w:after="0" w:line="254"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8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 elongation exceeding 8%.</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7" w:name="page38"/>
    <w:bookmarkEnd w:id="3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38</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1C005 “Superconductive” “composite” conductors in lengths exceeding 100 m or with a mass exceeding 100 g, as follows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165100</wp:posOffset>
                </wp:positionV>
                <wp:extent cx="2635250" cy="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0" o:spid="_x0000_s10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pt" to="208.6pt,1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653415</wp:posOffset>
                </wp:positionV>
                <wp:extent cx="2635250" cy="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1" o:spid="_x0000_s10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45pt" to="208.6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819785</wp:posOffset>
                </wp:positionV>
                <wp:extent cx="2635250" cy="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55pt" to="208.6pt,64.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161925</wp:posOffset>
                </wp:positionV>
                <wp:extent cx="0" cy="828675"/>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75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161925</wp:posOffset>
                </wp:positionV>
                <wp:extent cx="0" cy="828675"/>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4" o:spid="_x0000_s1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75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8675"/>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5" o:spid="_x0000_s10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4445</wp:posOffset>
                </wp:positionV>
                <wp:extent cx="2635250" cy="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35pt" to="208.6pt,0.35pt" o:allowincell="f" strokecolor="#000000" strokeweight="0.4799pt"/>
            </w:pict>
          </mc:Fallback>
        </mc:AlternateContent>
      </w:r>
    </w:p>
    <w:p>
      <w:pPr>
        <w:spacing w:after="0" w:line="254"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tabs>
          <w:tab w:leader="none" w:pos="418" w:val="left"/>
        </w:tabs>
        <w:numPr>
          <w:ilvl w:val="0"/>
          <w:numId w:val="8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“Superconductive” “composite” conductors </w:t>
      </w:r>
      <w:r>
        <w:rPr>
          <w:rFonts w:ascii="Times New Roman" w:cs="Times New Roman" w:eastAsia="Times New Roman" w:hAnsi="Times New Roman"/>
          <w:sz w:val="22"/>
          <w:szCs w:val="22"/>
          <w:color w:val="auto"/>
        </w:rPr>
        <w:t>containing one or more niobium-titanium</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‘filaments’, having all of the following:</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a.1. Embedded in a “matrix” other than a </w:t>
      </w:r>
      <w:r>
        <w:rPr>
          <w:rFonts w:ascii="Times New Roman" w:cs="Times New Roman" w:eastAsia="Times New Roman" w:hAnsi="Times New Roman"/>
          <w:sz w:val="22"/>
          <w:szCs w:val="22"/>
          <w:color w:val="auto"/>
        </w:rPr>
        <w:t>copper or copper-</w:t>
      </w:r>
      <w:r>
        <w:rPr>
          <w:rFonts w:ascii="Times New Roman" w:cs="Times New Roman" w:eastAsia="Times New Roman" w:hAnsi="Times New Roman"/>
          <w:sz w:val="22"/>
          <w:szCs w:val="22"/>
          <w:color w:val="auto"/>
        </w:rPr>
        <w:t>based mixed “matrix”;</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360"/>
        <w:spacing w:after="0" w:line="216" w:lineRule="auto"/>
        <w:rPr>
          <w:sz w:val="20"/>
          <w:szCs w:val="20"/>
          <w:color w:val="auto"/>
        </w:rPr>
      </w:pPr>
      <w:r>
        <w:rPr>
          <w:rFonts w:ascii="Times New Roman" w:cs="Times New Roman" w:eastAsia="Times New Roman" w:hAnsi="Times New Roman"/>
          <w:sz w:val="22"/>
          <w:szCs w:val="22"/>
          <w:color w:val="auto"/>
        </w:rPr>
        <w:t>a.2. Having a cross-section area less than 0.28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(6 μm in diameter for circular</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‘filaments’);</w:t>
      </w:r>
    </w:p>
    <w:p>
      <w:pPr>
        <w:spacing w:after="0" w:line="266" w:lineRule="exact"/>
        <w:rPr>
          <w:sz w:val="20"/>
          <w:szCs w:val="20"/>
          <w:color w:val="auto"/>
        </w:rPr>
      </w:pPr>
    </w:p>
    <w:p>
      <w:pPr>
        <w:jc w:val="both"/>
        <w:spacing w:after="0" w:line="236" w:lineRule="auto"/>
        <w:tabs>
          <w:tab w:leader="none" w:pos="378" w:val="left"/>
        </w:tabs>
        <w:numPr>
          <w:ilvl w:val="0"/>
          <w:numId w:val="8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“Superconductive” “composite” conductors consisting of one or more “superconductive” ‘filaments’ other than niobium</w:t>
      </w:r>
      <w:r>
        <w:rPr>
          <w:rFonts w:ascii="Times New Roman" w:cs="Times New Roman" w:eastAsia="Times New Roman" w:hAnsi="Times New Roman"/>
          <w:sz w:val="22"/>
          <w:szCs w:val="22"/>
          <w:color w:val="auto"/>
        </w:rPr>
        <w:t>-titanium, having</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all of the following:</w:t>
      </w:r>
    </w:p>
    <w:p>
      <w:pPr>
        <w:spacing w:after="0" w:line="270"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b.1. A “critical temperature” at zero </w:t>
      </w:r>
      <w:r>
        <w:rPr>
          <w:rFonts w:ascii="Times New Roman" w:cs="Times New Roman" w:eastAsia="Times New Roman" w:hAnsi="Times New Roman"/>
          <w:sz w:val="22"/>
          <w:szCs w:val="22"/>
          <w:color w:val="auto"/>
        </w:rPr>
        <w:t xml:space="preserve">magnetic induction exceeding 9.85 K (-263.31 </w:t>
      </w:r>
      <w:r>
        <w:rPr>
          <w:rFonts w:ascii="Times New Roman" w:cs="Times New Roman" w:eastAsia="Times New Roman" w:hAnsi="Times New Roman"/>
          <w:sz w:val="28"/>
          <w:szCs w:val="28"/>
          <w:color w:val="auto"/>
          <w:vertAlign w:val="superscript"/>
        </w:rPr>
        <w:t>o</w:t>
      </w:r>
      <w:r>
        <w:rPr>
          <w:rFonts w:ascii="Times New Roman" w:cs="Times New Roman" w:eastAsia="Times New Roman" w:hAnsi="Times New Roman"/>
          <w:sz w:val="22"/>
          <w:szCs w:val="22"/>
          <w:color w:val="auto"/>
        </w:rPr>
        <w:t>C); and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firstLine="360"/>
        <w:spacing w:after="0" w:line="230" w:lineRule="auto"/>
        <w:rPr>
          <w:sz w:val="20"/>
          <w:szCs w:val="20"/>
          <w:color w:val="auto"/>
        </w:rPr>
      </w:pPr>
      <w:r>
        <w:rPr>
          <w:rFonts w:ascii="Times New Roman" w:cs="Times New Roman" w:eastAsia="Times New Roman" w:hAnsi="Times New Roman"/>
          <w:sz w:val="22"/>
          <w:szCs w:val="22"/>
          <w:color w:val="auto"/>
        </w:rPr>
        <w:t xml:space="preserve">b.2. Remaining in the “superconductive” </w:t>
      </w:r>
      <w:r>
        <w:rPr>
          <w:rFonts w:ascii="Times New Roman" w:cs="Times New Roman" w:eastAsia="Times New Roman" w:hAnsi="Times New Roman"/>
          <w:sz w:val="22"/>
          <w:szCs w:val="22"/>
          <w:color w:val="auto"/>
        </w:rPr>
        <w:t>state at a temperature of 4.2 K (-268.96ºC) when exposed to a magnetic field oriented in any direction perpendicular to the longitudinal axis of conductor and corresponding to a magnetic induction of 12 T with critical current density exceeding 1750 A/mm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on overall cross-section of the conductor.</w:t>
      </w:r>
    </w:p>
    <w:p>
      <w:pPr>
        <w:spacing w:after="0" w:line="272" w:lineRule="exact"/>
        <w:rPr>
          <w:sz w:val="20"/>
          <w:szCs w:val="20"/>
          <w:color w:val="auto"/>
        </w:rPr>
      </w:pPr>
    </w:p>
    <w:p>
      <w:pPr>
        <w:jc w:val="both"/>
        <w:ind w:firstLine="1"/>
        <w:spacing w:after="0" w:line="236" w:lineRule="auto"/>
        <w:tabs>
          <w:tab w:leader="none" w:pos="360" w:val="left"/>
        </w:tabs>
        <w:numPr>
          <w:ilvl w:val="0"/>
          <w:numId w:val="8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“Superconductive” “composite” co</w:t>
      </w:r>
      <w:r>
        <w:rPr>
          <w:rFonts w:ascii="Times New Roman" w:cs="Times New Roman" w:eastAsia="Times New Roman" w:hAnsi="Times New Roman"/>
          <w:sz w:val="22"/>
          <w:szCs w:val="22"/>
          <w:color w:val="auto"/>
        </w:rPr>
        <w:t>nductors</w:t>
      </w:r>
      <w:r>
        <w:rPr>
          <w:rFonts w:ascii="Times New Roman" w:cs="Times New Roman" w:eastAsia="Times New Roman" w:hAnsi="Times New Roman"/>
          <w:sz w:val="22"/>
          <w:szCs w:val="22"/>
          <w:color w:val="auto"/>
        </w:rPr>
        <w:t xml:space="preserve"> consisting of one or more “superconductive” ‘filaments’ which remain “superconductive” </w:t>
      </w:r>
      <w:r>
        <w:rPr>
          <w:rFonts w:ascii="Times New Roman" w:cs="Times New Roman" w:eastAsia="Times New Roman" w:hAnsi="Times New Roman"/>
          <w:sz w:val="22"/>
          <w:szCs w:val="22"/>
          <w:color w:val="auto"/>
        </w:rPr>
        <w:t>above 115 K (-158.16ºC).</w:t>
      </w:r>
    </w:p>
    <w:p>
      <w:pPr>
        <w:spacing w:after="0" w:line="271"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 of 1C005,</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‘filaments’ may be in wire, cylinder, film, tape or ribbon form.</w:t>
      </w:r>
    </w:p>
    <w:p>
      <w:pPr>
        <w:spacing w:after="0" w:line="200" w:lineRule="exact"/>
        <w:rPr>
          <w:sz w:val="20"/>
          <w:szCs w:val="20"/>
          <w:color w:val="auto"/>
        </w:rPr>
      </w:pPr>
    </w:p>
    <w:p>
      <w:pPr>
        <w:spacing w:after="0" w:line="32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1C006 Fluids and lubricating materials,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7" o:spid="_x0000_s10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828675"/>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821055</wp:posOffset>
                </wp:positionV>
                <wp:extent cx="2635250" cy="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0" o:spid="_x0000_s1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5pt" to="208.65pt,64.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828675"/>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1" o:spid="_x0000_s10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675"/>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2" o:spid="_x0000_s10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05pt" o:allowincell="f" strokecolor="#000000" strokeweight="0.4799pt"/>
            </w:pict>
          </mc:Fallback>
        </mc:AlternateContent>
      </w:r>
    </w:p>
    <w:p>
      <w:pPr>
        <w:spacing w:after="0" w:line="245"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3"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5080</wp:posOffset>
                </wp:positionV>
                <wp:extent cx="2635250" cy="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3" o:spid="_x0000_s10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pt" to="208.65pt,0.4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for 1C006.d</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1C006.d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1C996</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93" w:lineRule="exact"/>
        <w:rPr>
          <w:sz w:val="20"/>
          <w:szCs w:val="20"/>
          <w:color w:val="auto"/>
        </w:rPr>
      </w:pPr>
    </w:p>
    <w:p>
      <w:pPr>
        <w:ind w:left="340" w:hanging="339"/>
        <w:spacing w:after="0"/>
        <w:tabs>
          <w:tab w:leader="none" w:pos="340" w:val="left"/>
        </w:tabs>
        <w:numPr>
          <w:ilvl w:val="0"/>
          <w:numId w:val="8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6" w:lineRule="exact"/>
        <w:rPr>
          <w:rFonts w:ascii="Times New Roman" w:cs="Times New Roman" w:eastAsia="Times New Roman" w:hAnsi="Times New Roman"/>
          <w:sz w:val="22"/>
          <w:szCs w:val="22"/>
          <w:color w:val="auto"/>
        </w:rPr>
      </w:pPr>
    </w:p>
    <w:p>
      <w:pPr>
        <w:ind w:firstLine="1"/>
        <w:spacing w:after="0" w:line="234" w:lineRule="auto"/>
        <w:tabs>
          <w:tab w:leader="none" w:pos="424" w:val="left"/>
        </w:tabs>
        <w:numPr>
          <w:ilvl w:val="0"/>
          <w:numId w:val="8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Lubricating materials containing, as their principal ingredients, any of the following:</w:t>
      </w:r>
    </w:p>
    <w:p>
      <w:pPr>
        <w:spacing w:after="0" w:line="27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26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8" w:name="page39"/>
    <w:bookmarkEnd w:id="3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39</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b.1. Phenylene or alkylphenylene ethers or thio-ethers, or their mixtures, containing more than two ether or thio-ether functions or mixtures thereof;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360"/>
        <w:spacing w:after="0" w:line="221" w:lineRule="auto"/>
        <w:rPr>
          <w:sz w:val="20"/>
          <w:szCs w:val="20"/>
          <w:color w:val="auto"/>
        </w:rPr>
      </w:pPr>
      <w:r>
        <w:rPr>
          <w:rFonts w:ascii="Times New Roman" w:cs="Times New Roman" w:eastAsia="Times New Roman" w:hAnsi="Times New Roman"/>
          <w:sz w:val="22"/>
          <w:szCs w:val="22"/>
          <w:color w:val="auto"/>
        </w:rPr>
        <w:t>b.2. Fluorinated silicone fluids with a kinematic viscosity of less than 5,000 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/s (5,000 centistokes) measured at 298 K (25 C);</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c. Damping or flotation fluids having all of the following:</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c.1. Purity exceeding 99.8%;</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c.2. Containing less than 25 particles of 200 </w:t>
      </w:r>
      <w:r>
        <w:rPr>
          <w:rFonts w:ascii="Times New Roman" w:cs="Times New Roman" w:eastAsia="Times New Roman" w:hAnsi="Times New Roman"/>
          <w:sz w:val="22"/>
          <w:szCs w:val="22"/>
          <w:color w:val="auto"/>
        </w:rPr>
        <w:t xml:space="preserve">μm or larger in size per 100 ml;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c.3. Made from at least 85% of any of the following:</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c.3.a.Dibromotetrafluoroethane (CAS 25497- 30-7, 124-73-2, 27336-23- 8);</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c.3.b.Polychlorotrifluoroethylene (oily and waxy modifications only);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c.3.c.Polybromotrifluoroethylene;</w:t>
      </w:r>
    </w:p>
    <w:p>
      <w:pPr>
        <w:spacing w:after="0" w:line="266" w:lineRule="exact"/>
        <w:rPr>
          <w:sz w:val="20"/>
          <w:szCs w:val="20"/>
          <w:color w:val="auto"/>
        </w:rPr>
      </w:pPr>
    </w:p>
    <w:p>
      <w:pPr>
        <w:spacing w:after="0" w:line="234" w:lineRule="auto"/>
        <w:tabs>
          <w:tab w:leader="none" w:pos="341" w:val="left"/>
        </w:tabs>
        <w:numPr>
          <w:ilvl w:val="0"/>
          <w:numId w:val="8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Fluorocarbon electronic cooling fluids having all of the following:</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d.1. Containing 85% by weight or more of any of the following, or mixtures thereof:</w:t>
      </w:r>
    </w:p>
    <w:p>
      <w:pPr>
        <w:spacing w:after="0" w:line="254" w:lineRule="exact"/>
        <w:rPr>
          <w:sz w:val="20"/>
          <w:szCs w:val="20"/>
          <w:color w:val="auto"/>
        </w:rPr>
      </w:pPr>
    </w:p>
    <w:p>
      <w:pPr>
        <w:ind w:left="720"/>
        <w:spacing w:after="0"/>
        <w:tabs>
          <w:tab w:leader="none" w:pos="1640" w:val="left"/>
          <w:tab w:leader="none" w:pos="3140" w:val="left"/>
          <w:tab w:leader="none" w:pos="4120" w:val="left"/>
        </w:tabs>
        <w:rPr>
          <w:sz w:val="20"/>
          <w:szCs w:val="20"/>
          <w:color w:val="auto"/>
        </w:rPr>
      </w:pPr>
      <w:r>
        <w:rPr>
          <w:rFonts w:ascii="Times New Roman" w:cs="Times New Roman" w:eastAsia="Times New Roman" w:hAnsi="Times New Roman"/>
          <w:sz w:val="22"/>
          <w:szCs w:val="22"/>
          <w:color w:val="auto"/>
        </w:rPr>
        <w:t>d.1.a.</w:t>
      </w:r>
      <w:r>
        <w:rPr>
          <w:sz w:val="20"/>
          <w:szCs w:val="20"/>
          <w:color w:val="auto"/>
        </w:rPr>
        <w:tab/>
      </w:r>
      <w:r>
        <w:rPr>
          <w:rFonts w:ascii="Times New Roman" w:cs="Times New Roman" w:eastAsia="Times New Roman" w:hAnsi="Times New Roman"/>
          <w:sz w:val="22"/>
          <w:szCs w:val="22"/>
          <w:color w:val="auto"/>
        </w:rPr>
        <w:t>Monomeric</w:t>
      </w:r>
      <w:r>
        <w:rPr>
          <w:sz w:val="20"/>
          <w:szCs w:val="20"/>
          <w:color w:val="auto"/>
        </w:rPr>
        <w:tab/>
      </w:r>
      <w:r>
        <w:rPr>
          <w:rFonts w:ascii="Times New Roman" w:cs="Times New Roman" w:eastAsia="Times New Roman" w:hAnsi="Times New Roman"/>
          <w:sz w:val="22"/>
          <w:szCs w:val="22"/>
          <w:color w:val="auto"/>
        </w:rPr>
        <w:t>forms</w:t>
      </w:r>
      <w:r>
        <w:rPr>
          <w:sz w:val="20"/>
          <w:szCs w:val="20"/>
          <w:color w:val="auto"/>
        </w:rPr>
        <w:tab/>
      </w:r>
      <w:r>
        <w:rPr>
          <w:rFonts w:ascii="Times New Roman" w:cs="Times New Roman" w:eastAsia="Times New Roman" w:hAnsi="Times New Roman"/>
          <w:sz w:val="21"/>
          <w:szCs w:val="21"/>
          <w:color w:val="auto"/>
        </w:rPr>
        <w:t>of</w:t>
      </w:r>
    </w:p>
    <w:p>
      <w:pPr>
        <w:spacing w:after="0" w:line="13"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color w:val="auto"/>
        </w:rPr>
        <w:t>perfluoropolyalkylether- triazines or perfluoroaliphatic-ethers;</w:t>
      </w:r>
    </w:p>
    <w:p>
      <w:pPr>
        <w:spacing w:after="0" w:line="255" w:lineRule="exact"/>
        <w:rPr>
          <w:sz w:val="20"/>
          <w:szCs w:val="20"/>
          <w:color w:val="auto"/>
        </w:rPr>
      </w:pPr>
    </w:p>
    <w:p>
      <w:pPr>
        <w:ind w:left="720"/>
        <w:spacing w:after="0"/>
        <w:tabs>
          <w:tab w:leader="none" w:pos="1380" w:val="left"/>
        </w:tabs>
        <w:rPr>
          <w:sz w:val="20"/>
          <w:szCs w:val="20"/>
          <w:color w:val="auto"/>
        </w:rPr>
      </w:pPr>
      <w:r>
        <w:rPr>
          <w:rFonts w:ascii="Times New Roman" w:cs="Times New Roman" w:eastAsia="Times New Roman" w:hAnsi="Times New Roman"/>
          <w:sz w:val="22"/>
          <w:szCs w:val="22"/>
          <w:color w:val="auto"/>
        </w:rPr>
        <w:t>d.1.b.</w:t>
      </w:r>
      <w:r>
        <w:rPr>
          <w:sz w:val="20"/>
          <w:szCs w:val="20"/>
          <w:color w:val="auto"/>
        </w:rPr>
        <w:tab/>
      </w:r>
      <w:r>
        <w:rPr>
          <w:rFonts w:ascii="Times New Roman" w:cs="Times New Roman" w:eastAsia="Times New Roman" w:hAnsi="Times New Roman"/>
          <w:sz w:val="21"/>
          <w:szCs w:val="21"/>
          <w:color w:val="auto"/>
        </w:rPr>
        <w:t>Perfluoroalkylamines;</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d.1.c.</w:t>
        <w:tab/>
        <w:t xml:space="preserve">Perfluorocycloalkanes;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720"/>
        <w:spacing w:after="0"/>
        <w:tabs>
          <w:tab w:leader="none" w:pos="1460" w:val="left"/>
        </w:tabs>
        <w:rPr>
          <w:sz w:val="20"/>
          <w:szCs w:val="20"/>
          <w:color w:val="auto"/>
        </w:rPr>
      </w:pPr>
      <w:r>
        <w:rPr>
          <w:rFonts w:ascii="Times New Roman" w:cs="Times New Roman" w:eastAsia="Times New Roman" w:hAnsi="Times New Roman"/>
          <w:sz w:val="22"/>
          <w:szCs w:val="22"/>
          <w:color w:val="auto"/>
        </w:rPr>
        <w:t>d.1.d.</w:t>
        <w:tab/>
        <w:t>Perfluoroalkanes;</w:t>
      </w:r>
    </w:p>
    <w:p>
      <w:pPr>
        <w:spacing w:after="0" w:line="257"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d.2. Density at 298 K (25 C) of 1.5 g/ml or more;</w:t>
      </w:r>
    </w:p>
    <w:p>
      <w:pPr>
        <w:spacing w:after="0" w:line="270" w:lineRule="exact"/>
        <w:rPr>
          <w:sz w:val="20"/>
          <w:szCs w:val="20"/>
          <w:color w:val="auto"/>
        </w:rPr>
      </w:pPr>
    </w:p>
    <w:p>
      <w:pPr>
        <w:ind w:left="360"/>
        <w:spacing w:after="0"/>
        <w:tabs>
          <w:tab w:leader="none" w:pos="840" w:val="left"/>
          <w:tab w:leader="none" w:pos="3400" w:val="left"/>
        </w:tabs>
        <w:rPr>
          <w:sz w:val="20"/>
          <w:szCs w:val="20"/>
          <w:color w:val="auto"/>
        </w:rPr>
      </w:pPr>
      <w:r>
        <w:rPr>
          <w:rFonts w:ascii="Times New Roman" w:cs="Times New Roman" w:eastAsia="Times New Roman" w:hAnsi="Times New Roman"/>
          <w:sz w:val="22"/>
          <w:szCs w:val="22"/>
          <w:color w:val="auto"/>
        </w:rPr>
        <w:t>d.3.</w:t>
        <w:tab/>
        <w:t>In a liquid state at 273 K (0</w:t>
      </w:r>
      <w:r>
        <w:rPr>
          <w:sz w:val="20"/>
          <w:szCs w:val="20"/>
          <w:color w:val="auto"/>
        </w:rPr>
        <w:tab/>
      </w:r>
      <w:r>
        <w:rPr>
          <w:rFonts w:ascii="Times New Roman" w:cs="Times New Roman" w:eastAsia="Times New Roman" w:hAnsi="Times New Roman"/>
          <w:sz w:val="21"/>
          <w:szCs w:val="21"/>
          <w:color w:val="auto"/>
        </w:rPr>
        <w:t xml:space="preserve">C); </w:t>
      </w:r>
      <w:r>
        <w:rPr>
          <w:rFonts w:ascii="Times New Roman" w:cs="Times New Roman" w:eastAsia="Times New Roman" w:hAnsi="Times New Roman"/>
          <w:sz w:val="21"/>
          <w:szCs w:val="21"/>
          <w:i w:val="1"/>
          <w:iCs w:val="1"/>
          <w:color w:val="auto"/>
        </w:rPr>
        <w:t>and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d.4. Containing 60% or more by weight of fluorine.</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1C006.d does not apply to materials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specified and packaged as medical products.</w:t>
      </w:r>
    </w:p>
    <w:p>
      <w:pPr>
        <w:spacing w:after="0" w:line="200" w:lineRule="exact"/>
        <w:rPr>
          <w:sz w:val="20"/>
          <w:szCs w:val="20"/>
          <w:color w:val="auto"/>
        </w:rPr>
      </w:pPr>
    </w:p>
    <w:p>
      <w:pPr>
        <w:spacing w:after="0" w:line="31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1C007 Ceramic powders, ceramic-“matrix” “composite” materials and ‘precursor materials,’ as follows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4" o:spid="_x0000_s1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5" o:spid="_x0000_s1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819785</wp:posOffset>
                </wp:positionV>
                <wp:extent cx="2635250" cy="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6" o:spid="_x0000_s1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55pt" to="208.65pt,64.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1951355</wp:posOffset>
                </wp:positionV>
                <wp:extent cx="2635250" cy="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53.65pt" to="208.65pt,153.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195961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596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167.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195961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596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9" o:spid="_x0000_s1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167.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195961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596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167.1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1" w:lineRule="exact"/>
        <w:rPr>
          <w:sz w:val="20"/>
          <w:szCs w:val="20"/>
          <w:color w:val="auto"/>
        </w:rPr>
      </w:pPr>
    </w:p>
    <w:p>
      <w:pPr>
        <w:ind w:left="40"/>
        <w:spacing w:after="0"/>
        <w:tabs>
          <w:tab w:leader="none" w:pos="480" w:val="left"/>
          <w:tab w:leader="none" w:pos="1540" w:val="left"/>
          <w:tab w:leader="none" w:pos="2160" w:val="left"/>
        </w:tabs>
        <w:rPr>
          <w:sz w:val="20"/>
          <w:szCs w:val="20"/>
          <w:color w:val="auto"/>
        </w:rPr>
      </w:pPr>
      <w:r>
        <w:rPr>
          <w:rFonts w:ascii="Times New Roman" w:cs="Times New Roman" w:eastAsia="Times New Roman" w:hAnsi="Times New Roman"/>
          <w:sz w:val="22"/>
          <w:szCs w:val="22"/>
          <w:color w:val="auto"/>
        </w:rPr>
        <w:t>MT</w:t>
        <w:tab/>
        <w:t>applies  to</w:t>
        <w:tab/>
        <w:t>items</w:t>
      </w:r>
      <w:r>
        <w:rPr>
          <w:sz w:val="20"/>
          <w:szCs w:val="20"/>
          <w:color w:val="auto"/>
        </w:rPr>
        <w:tab/>
      </w:r>
      <w:r>
        <w:rPr>
          <w:rFonts w:ascii="Times New Roman" w:cs="Times New Roman" w:eastAsia="Times New Roman" w:hAnsi="Times New Roman"/>
          <w:sz w:val="21"/>
          <w:szCs w:val="21"/>
          <w:color w:val="auto"/>
        </w:rPr>
        <w:t>in MT Column 1</w:t>
      </w:r>
    </w:p>
    <w:p>
      <w:pPr>
        <w:ind w:left="40"/>
        <w:spacing w:after="0"/>
        <w:tabs>
          <w:tab w:leader="none" w:pos="1180" w:val="left"/>
          <w:tab w:leader="none" w:pos="2060" w:val="left"/>
        </w:tabs>
        <w:rPr>
          <w:sz w:val="20"/>
          <w:szCs w:val="20"/>
          <w:color w:val="auto"/>
        </w:rPr>
      </w:pPr>
      <w:r>
        <w:rPr>
          <w:rFonts w:ascii="Times New Roman" w:cs="Times New Roman" w:eastAsia="Times New Roman" w:hAnsi="Times New Roman"/>
          <w:sz w:val="22"/>
          <w:szCs w:val="22"/>
          <w:color w:val="auto"/>
        </w:rPr>
        <w:t>1C007.c</w:t>
      </w:r>
      <w:r>
        <w:rPr>
          <w:sz w:val="20"/>
          <w:szCs w:val="20"/>
          <w:color w:val="auto"/>
        </w:rPr>
        <w:tab/>
      </w:r>
      <w:r>
        <w:rPr>
          <w:rFonts w:ascii="Times New Roman" w:cs="Times New Roman" w:eastAsia="Times New Roman" w:hAnsi="Times New Roman"/>
          <w:sz w:val="22"/>
          <w:szCs w:val="22"/>
          <w:color w:val="auto"/>
        </w:rPr>
        <w:t>when</w:t>
      </w:r>
      <w:r>
        <w:rPr>
          <w:sz w:val="20"/>
          <w:szCs w:val="20"/>
          <w:color w:val="auto"/>
        </w:rPr>
        <w:tab/>
      </w:r>
      <w:r>
        <w:rPr>
          <w:rFonts w:ascii="Times New Roman" w:cs="Times New Roman" w:eastAsia="Times New Roman" w:hAnsi="Times New Roman"/>
          <w:sz w:val="21"/>
          <w:szCs w:val="21"/>
          <w:color w:val="auto"/>
        </w:rPr>
        <w:t>the</w:t>
      </w:r>
    </w:p>
    <w:p>
      <w:pPr>
        <w:ind w:left="40"/>
        <w:spacing w:after="0"/>
        <w:rPr>
          <w:sz w:val="20"/>
          <w:szCs w:val="20"/>
          <w:color w:val="auto"/>
        </w:rPr>
      </w:pPr>
      <w:r>
        <w:rPr>
          <w:rFonts w:ascii="Times New Roman" w:cs="Times New Roman" w:eastAsia="Times New Roman" w:hAnsi="Times New Roman"/>
          <w:sz w:val="22"/>
          <w:szCs w:val="22"/>
          <w:color w:val="auto"/>
        </w:rPr>
        <w:t>dielectric constant is less</w:t>
      </w:r>
    </w:p>
    <w:p>
      <w:pPr>
        <w:ind w:left="40"/>
        <w:spacing w:after="0"/>
        <w:rPr>
          <w:sz w:val="20"/>
          <w:szCs w:val="20"/>
          <w:color w:val="auto"/>
        </w:rPr>
      </w:pPr>
      <w:r>
        <w:rPr>
          <w:rFonts w:ascii="Times New Roman" w:cs="Times New Roman" w:eastAsia="Times New Roman" w:hAnsi="Times New Roman"/>
          <w:sz w:val="22"/>
          <w:szCs w:val="22"/>
          <w:color w:val="auto"/>
        </w:rPr>
        <w:t>than  6  at  any  frequency</w:t>
      </w:r>
    </w:p>
    <w:p>
      <w:pPr>
        <w:ind w:left="40"/>
        <w:spacing w:after="0"/>
        <w:tabs>
          <w:tab w:leader="none" w:pos="600" w:val="left"/>
          <w:tab w:leader="none" w:pos="1080" w:val="left"/>
          <w:tab w:leader="none" w:pos="1680" w:val="left"/>
          <w:tab w:leader="none" w:pos="2000" w:val="left"/>
        </w:tabs>
        <w:rPr>
          <w:sz w:val="20"/>
          <w:szCs w:val="20"/>
          <w:color w:val="auto"/>
        </w:rPr>
      </w:pPr>
      <w:r>
        <w:rPr>
          <w:rFonts w:ascii="Times New Roman" w:cs="Times New Roman" w:eastAsia="Times New Roman" w:hAnsi="Times New Roman"/>
          <w:sz w:val="22"/>
          <w:szCs w:val="22"/>
          <w:color w:val="auto"/>
        </w:rPr>
        <w:t>from</w:t>
        <w:tab/>
        <w:t>100</w:t>
        <w:tab/>
        <w:t>MHz</w:t>
        <w:tab/>
        <w:t>to</w:t>
      </w:r>
      <w:r>
        <w:rPr>
          <w:sz w:val="20"/>
          <w:szCs w:val="20"/>
          <w:color w:val="auto"/>
        </w:rPr>
        <w:tab/>
      </w:r>
      <w:r>
        <w:rPr>
          <w:rFonts w:ascii="Times New Roman" w:cs="Times New Roman" w:eastAsia="Times New Roman" w:hAnsi="Times New Roman"/>
          <w:sz w:val="21"/>
          <w:szCs w:val="21"/>
          <w:color w:val="auto"/>
        </w:rPr>
        <w:t>100</w:t>
      </w:r>
    </w:p>
    <w:p>
      <w:pPr>
        <w:ind w:left="40"/>
        <w:spacing w:after="0"/>
        <w:rPr>
          <w:sz w:val="20"/>
          <w:szCs w:val="20"/>
          <w:color w:val="auto"/>
        </w:rPr>
      </w:pPr>
      <w:r>
        <w:rPr>
          <w:rFonts w:ascii="Times New Roman" w:cs="Times New Roman" w:eastAsia="Times New Roman" w:hAnsi="Times New Roman"/>
          <w:sz w:val="22"/>
          <w:szCs w:val="22"/>
          <w:color w:val="auto"/>
        </w:rPr>
        <w:t>GHz for use in “missile”</w:t>
      </w:r>
    </w:p>
    <w:p>
      <w:pPr>
        <w:ind w:left="40"/>
        <w:spacing w:after="0"/>
        <w:rPr>
          <w:sz w:val="20"/>
          <w:szCs w:val="20"/>
          <w:color w:val="auto"/>
        </w:rPr>
      </w:pPr>
      <w:r>
        <w:rPr>
          <w:rFonts w:ascii="Times New Roman" w:cs="Times New Roman" w:eastAsia="Times New Roman" w:hAnsi="Times New Roman"/>
          <w:sz w:val="22"/>
          <w:szCs w:val="22"/>
          <w:color w:val="auto"/>
        </w:rPr>
        <w:t>radomes</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4445</wp:posOffset>
                </wp:positionV>
                <wp:extent cx="2635250" cy="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1" o:spid="_x0000_s1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35pt" to="208.65pt,0.35pt" o:allowincell="f" strokecolor="#000000" strokeweight="0.48pt"/>
            </w:pict>
          </mc:Fallback>
        </mc:AlternateConten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7"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70"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7" w:lineRule="exact"/>
        <w:rPr>
          <w:sz w:val="20"/>
          <w:szCs w:val="20"/>
          <w:color w:val="auto"/>
        </w:rPr>
      </w:pPr>
    </w:p>
    <w:p>
      <w:pPr>
        <w:jc w:val="both"/>
        <w:ind w:left="1080" w:hanging="719"/>
        <w:spacing w:after="0" w:line="234"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 except N/A for MT and for 1C007.e</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080" w:hanging="719"/>
        <w:spacing w:after="0" w:line="236"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any item in 1C007.c entry to any of the destinations listed in Country Group A:6 (See</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2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39" w:name="page40"/>
    <w:bookmarkEnd w:id="3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40</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left="1080"/>
        <w:spacing w:after="0" w:line="233" w:lineRule="auto"/>
        <w:rPr>
          <w:sz w:val="20"/>
          <w:szCs w:val="20"/>
          <w:color w:val="auto"/>
        </w:rPr>
      </w:pPr>
      <w:r>
        <w:rPr>
          <w:rFonts w:ascii="Times New Roman" w:cs="Times New Roman" w:eastAsia="Times New Roman" w:hAnsi="Times New Roman"/>
          <w:sz w:val="22"/>
          <w:szCs w:val="22"/>
          <w:color w:val="auto"/>
        </w:rPr>
        <w:t>Supplement No.1 to part 740 of the EAR</w:t>
      </w:r>
      <w:r>
        <w:rPr>
          <w:rFonts w:ascii="Times New Roman" w:cs="Times New Roman" w:eastAsia="Times New Roman" w:hAnsi="Times New Roman"/>
          <w:sz w:val="24"/>
          <w:szCs w:val="24"/>
          <w:color w:val="auto"/>
        </w:rPr>
        <w:t>).</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8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1C107</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68" w:lineRule="exact"/>
        <w:rPr>
          <w:sz w:val="20"/>
          <w:szCs w:val="20"/>
          <w:color w:val="auto"/>
        </w:rPr>
      </w:pPr>
    </w:p>
    <w:p>
      <w:pPr>
        <w:jc w:val="both"/>
        <w:spacing w:after="0" w:line="238" w:lineRule="auto"/>
        <w:tabs>
          <w:tab w:leader="none" w:pos="230" w:val="left"/>
        </w:tabs>
        <w:numPr>
          <w:ilvl w:val="0"/>
          <w:numId w:val="8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Ceramic powders of titanium diboride (TiB</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(CAS 12045-63-5) having total metallic impurities, excluding intentional additions, of less than 5,000 ppm, an average particle size equal to or less than 5 µm and no more than 10% of the particles larger than 10 µm;</w:t>
      </w:r>
    </w:p>
    <w:p>
      <w:pPr>
        <w:spacing w:after="0" w:line="252"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8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5" w:lineRule="exact"/>
        <w:rPr>
          <w:rFonts w:ascii="Times New Roman" w:cs="Times New Roman" w:eastAsia="Times New Roman" w:hAnsi="Times New Roman"/>
          <w:sz w:val="22"/>
          <w:szCs w:val="22"/>
          <w:color w:val="auto"/>
        </w:rPr>
      </w:pPr>
    </w:p>
    <w:p>
      <w:pPr>
        <w:spacing w:after="0" w:line="234" w:lineRule="auto"/>
        <w:tabs>
          <w:tab w:leader="none" w:pos="275" w:val="left"/>
        </w:tabs>
        <w:numPr>
          <w:ilvl w:val="0"/>
          <w:numId w:val="8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Ceramic-”matrix” “composite” materials as follows:</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c.1. Ceramic-ceramic “composite” materials with a glass or oxide-“matrix” and reinforced with any of the following:</w:t>
      </w:r>
    </w:p>
    <w:p>
      <w:pPr>
        <w:spacing w:after="0" w:line="269"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c.1.a. Continuous fibers made from any of the following materials:</w:t>
      </w:r>
    </w:p>
    <w:p>
      <w:pPr>
        <w:spacing w:after="0" w:line="257"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c.1.a.1. Al</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xml:space="preserve"> (CAS 1344-28-1); </w:t>
      </w:r>
      <w:r>
        <w:rPr>
          <w:rFonts w:ascii="Times New Roman" w:cs="Times New Roman" w:eastAsia="Times New Roman" w:hAnsi="Times New Roman"/>
          <w:sz w:val="22"/>
          <w:szCs w:val="22"/>
          <w:i w:val="1"/>
          <w:iCs w:val="1"/>
          <w:color w:val="auto"/>
        </w:rPr>
        <w:t>or</w:t>
      </w:r>
    </w:p>
    <w:p>
      <w:pPr>
        <w:spacing w:after="0" w:line="249"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 xml:space="preserve">c.1.a.2. Si-C-N;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1C007.c.1.a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“composites” containing fibers with a tensile strength of less than 700 MPa at 1,273 K (1,000ºC) or tensile creep resistance of more than 1% creep strain at 100 MPa load and 1,273 K (1,000ºC) for 100 hours.</w:t>
      </w:r>
    </w:p>
    <w:p>
      <w:pPr>
        <w:spacing w:after="0" w:line="251"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c.1.b.</w:t>
        <w:tab/>
        <w:t>Fibers being all of the following:</w:t>
      </w:r>
    </w:p>
    <w:p>
      <w:pPr>
        <w:spacing w:after="0" w:line="266" w:lineRule="exact"/>
        <w:rPr>
          <w:sz w:val="20"/>
          <w:szCs w:val="20"/>
          <w:color w:val="auto"/>
        </w:rPr>
      </w:pPr>
    </w:p>
    <w:p>
      <w:pPr>
        <w:jc w:val="both"/>
        <w:ind w:firstLine="1080"/>
        <w:spacing w:after="0" w:line="234" w:lineRule="auto"/>
        <w:rPr>
          <w:sz w:val="20"/>
          <w:szCs w:val="20"/>
          <w:color w:val="auto"/>
        </w:rPr>
      </w:pPr>
      <w:r>
        <w:rPr>
          <w:rFonts w:ascii="Times New Roman" w:cs="Times New Roman" w:eastAsia="Times New Roman" w:hAnsi="Times New Roman"/>
          <w:sz w:val="22"/>
          <w:szCs w:val="22"/>
          <w:color w:val="auto"/>
        </w:rPr>
        <w:t>c.1.b.1. Made from any of the following materials:</w:t>
      </w:r>
    </w:p>
    <w:p>
      <w:pPr>
        <w:spacing w:after="0" w:line="253" w:lineRule="exact"/>
        <w:rPr>
          <w:sz w:val="20"/>
          <w:szCs w:val="20"/>
          <w:color w:val="auto"/>
        </w:rPr>
      </w:pPr>
    </w:p>
    <w:p>
      <w:pPr>
        <w:ind w:left="1440"/>
        <w:spacing w:after="0"/>
        <w:tabs>
          <w:tab w:leader="none" w:pos="2400" w:val="left"/>
        </w:tabs>
        <w:rPr>
          <w:sz w:val="20"/>
          <w:szCs w:val="20"/>
          <w:color w:val="auto"/>
        </w:rPr>
      </w:pPr>
      <w:r>
        <w:rPr>
          <w:rFonts w:ascii="Times New Roman" w:cs="Times New Roman" w:eastAsia="Times New Roman" w:hAnsi="Times New Roman"/>
          <w:sz w:val="22"/>
          <w:szCs w:val="22"/>
          <w:color w:val="auto"/>
        </w:rPr>
        <w:t>c.1.b.1.a.</w:t>
        <w:tab/>
        <w:t>Si-N;</w:t>
      </w:r>
    </w:p>
    <w:p>
      <w:pPr>
        <w:spacing w:after="0" w:line="253" w:lineRule="exact"/>
        <w:rPr>
          <w:sz w:val="20"/>
          <w:szCs w:val="20"/>
          <w:color w:val="auto"/>
        </w:rPr>
      </w:pPr>
    </w:p>
    <w:p>
      <w:pPr>
        <w:ind w:left="1440"/>
        <w:spacing w:after="0"/>
        <w:tabs>
          <w:tab w:leader="none" w:pos="2400" w:val="left"/>
        </w:tabs>
        <w:rPr>
          <w:sz w:val="20"/>
          <w:szCs w:val="20"/>
          <w:color w:val="auto"/>
        </w:rPr>
      </w:pPr>
      <w:r>
        <w:rPr>
          <w:rFonts w:ascii="Times New Roman" w:cs="Times New Roman" w:eastAsia="Times New Roman" w:hAnsi="Times New Roman"/>
          <w:sz w:val="22"/>
          <w:szCs w:val="22"/>
          <w:color w:val="auto"/>
        </w:rPr>
        <w:t>c.1.b.1.b.</w:t>
        <w:tab/>
        <w:t>Si-C;</w:t>
      </w:r>
    </w:p>
    <w:p>
      <w:pPr>
        <w:spacing w:after="0" w:line="254" w:lineRule="exact"/>
        <w:rPr>
          <w:sz w:val="20"/>
          <w:szCs w:val="20"/>
          <w:color w:val="auto"/>
        </w:rPr>
      </w:pPr>
    </w:p>
    <w:p>
      <w:pPr>
        <w:jc w:val="center"/>
        <w:ind w:left="780"/>
        <w:spacing w:after="0"/>
        <w:tabs>
          <w:tab w:leader="none" w:pos="160" w:val="left"/>
        </w:tabs>
        <w:rPr>
          <w:sz w:val="20"/>
          <w:szCs w:val="20"/>
          <w:color w:val="auto"/>
        </w:rPr>
      </w:pPr>
      <w:r>
        <w:rPr>
          <w:rFonts w:ascii="Times New Roman" w:cs="Times New Roman" w:eastAsia="Times New Roman" w:hAnsi="Times New Roman"/>
          <w:sz w:val="22"/>
          <w:szCs w:val="22"/>
          <w:color w:val="auto"/>
        </w:rPr>
        <w:t>c.1.b.1.c.</w:t>
      </w:r>
      <w:r>
        <w:rPr>
          <w:sz w:val="20"/>
          <w:szCs w:val="20"/>
          <w:color w:val="auto"/>
        </w:rPr>
        <w:tab/>
      </w:r>
      <w:r>
        <w:rPr>
          <w:rFonts w:ascii="Times New Roman" w:cs="Times New Roman" w:eastAsia="Times New Roman" w:hAnsi="Times New Roman"/>
          <w:sz w:val="21"/>
          <w:szCs w:val="21"/>
          <w:color w:val="auto"/>
        </w:rPr>
        <w:t xml:space="preserve">Si-Al-O-N; </w:t>
      </w:r>
      <w:r>
        <w:rPr>
          <w:rFonts w:ascii="Times New Roman" w:cs="Times New Roman" w:eastAsia="Times New Roman" w:hAnsi="Times New Roman"/>
          <w:sz w:val="21"/>
          <w:szCs w:val="21"/>
          <w:i w:val="1"/>
          <w:iCs w:val="1"/>
          <w:color w:val="auto"/>
        </w:rPr>
        <w:t>or</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1440"/>
        <w:spacing w:after="0"/>
        <w:tabs>
          <w:tab w:leader="none" w:pos="2400" w:val="left"/>
        </w:tabs>
        <w:rPr>
          <w:sz w:val="20"/>
          <w:szCs w:val="20"/>
          <w:color w:val="auto"/>
        </w:rPr>
      </w:pPr>
      <w:r>
        <w:rPr>
          <w:rFonts w:ascii="Times New Roman" w:cs="Times New Roman" w:eastAsia="Times New Roman" w:hAnsi="Times New Roman"/>
          <w:sz w:val="22"/>
          <w:szCs w:val="22"/>
          <w:color w:val="auto"/>
        </w:rPr>
        <w:t>c.1.b.1.d.</w:t>
        <w:tab/>
        <w:t xml:space="preserve">Si-O-N;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1080"/>
        <w:spacing w:after="0" w:line="236" w:lineRule="auto"/>
        <w:rPr>
          <w:sz w:val="20"/>
          <w:szCs w:val="20"/>
          <w:color w:val="auto"/>
        </w:rPr>
      </w:pPr>
      <w:r>
        <w:rPr>
          <w:rFonts w:ascii="Times New Roman" w:cs="Times New Roman" w:eastAsia="Times New Roman" w:hAnsi="Times New Roman"/>
          <w:sz w:val="22"/>
          <w:szCs w:val="22"/>
          <w:color w:val="auto"/>
        </w:rPr>
        <w:t>c.1.b.2. Having a “specific tensile strength” exceeding 12.7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m;</w:t>
      </w:r>
    </w:p>
    <w:p>
      <w:pPr>
        <w:spacing w:after="0" w:line="193"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c.2. Ceramic-”matrix” “composite” materials with a “matrix” formed of carbides or nitrides of silicon, zirconium or boron;</w:t>
      </w:r>
    </w:p>
    <w:p>
      <w:pPr>
        <w:spacing w:after="0" w:line="268"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items previously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1C007.c see 1C007.c.1.b.</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[Reserved]</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items previously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1C007.d see 1C007.c.2.</w:t>
      </w:r>
    </w:p>
    <w:p>
      <w:pPr>
        <w:spacing w:after="0" w:line="264"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e. ‘Precursor materials’ “specially designed” for the “production” of materials controlled by</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1C007.c, as follows: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e.1. Polydiorganosilanes;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e.2. Polysilazanes;</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e.3. Polycarbosilazanes;</w:t>
      </w:r>
    </w:p>
    <w:p>
      <w:pPr>
        <w:spacing w:after="0" w:line="266" w:lineRule="exact"/>
        <w:rPr>
          <w:sz w:val="20"/>
          <w:szCs w:val="20"/>
          <w:color w:val="auto"/>
        </w:rPr>
      </w:pPr>
    </w:p>
    <w:p>
      <w:pPr>
        <w:jc w:val="both"/>
        <w:ind w:left="36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1C007, ‘precursor materials’ are special purpose polymeric or metallo-organic materials used for the “production” of silicon carbide, silicon nitride, or ceramics with silicon, carbon and nitrogen.</w:t>
      </w:r>
    </w:p>
    <w:p>
      <w:pPr>
        <w:spacing w:after="0" w:line="252" w:lineRule="exact"/>
        <w:rPr>
          <w:sz w:val="20"/>
          <w:szCs w:val="20"/>
          <w:color w:val="auto"/>
        </w:rPr>
      </w:pPr>
    </w:p>
    <w:p>
      <w:pPr>
        <w:spacing w:after="0"/>
        <w:tabs>
          <w:tab w:leader="none" w:pos="280" w:val="left"/>
        </w:tabs>
        <w:rPr>
          <w:sz w:val="20"/>
          <w:szCs w:val="20"/>
          <w:color w:val="auto"/>
        </w:rPr>
      </w:pPr>
      <w:r>
        <w:rPr>
          <w:rFonts w:ascii="Times New Roman" w:cs="Times New Roman" w:eastAsia="Times New Roman" w:hAnsi="Times New Roman"/>
          <w:sz w:val="22"/>
          <w:szCs w:val="22"/>
          <w:color w:val="auto"/>
        </w:rPr>
        <w:t>f.</w:t>
        <w:tab/>
        <w:t>[Reserved]</w:t>
      </w:r>
    </w:p>
    <w:p>
      <w:pPr>
        <w:spacing w:after="0" w:line="267"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items previously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1C007.f see 1C007.c.1.a.</w:t>
      </w:r>
    </w:p>
    <w:p>
      <w:pPr>
        <w:spacing w:after="0" w:line="200" w:lineRule="exact"/>
        <w:rPr>
          <w:sz w:val="20"/>
          <w:szCs w:val="20"/>
          <w:color w:val="auto"/>
        </w:rPr>
      </w:pPr>
    </w:p>
    <w:p>
      <w:pPr>
        <w:spacing w:after="0" w:line="32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1C008 Non-fluorinated polymeric substances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745105" cy="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510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72" o:spid="_x0000_s1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17.3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494665"/>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3" o:spid="_x0000_s10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51.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1556385</wp:posOffset>
                </wp:positionH>
                <wp:positionV relativeFrom="paragraph">
                  <wp:posOffset>162560</wp:posOffset>
                </wp:positionV>
                <wp:extent cx="0" cy="494665"/>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4" o:spid="_x0000_s10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5pt,12.8pt" to="122.55pt,51.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2756535</wp:posOffset>
                </wp:positionH>
                <wp:positionV relativeFrom="paragraph">
                  <wp:posOffset>162560</wp:posOffset>
                </wp:positionV>
                <wp:extent cx="0" cy="494665"/>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4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7.05pt,12.8pt" to="217.05pt,51.75pt" o:allowincell="f" strokecolor="#000000" strokeweight="0.48pt"/>
            </w:pict>
          </mc:Fallback>
        </mc:AlternateContent>
      </w:r>
    </w:p>
    <w:p>
      <w:pPr>
        <w:spacing w:after="0" w:line="245" w:lineRule="exact"/>
        <w:rPr>
          <w:sz w:val="20"/>
          <w:szCs w:val="20"/>
          <w:color w:val="auto"/>
        </w:rPr>
      </w:pPr>
    </w:p>
    <w:p>
      <w:pPr>
        <w:ind w:left="254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60" w:right="80" w:hanging="2412"/>
        <w:spacing w:after="0" w:line="234" w:lineRule="auto"/>
        <w:tabs>
          <w:tab w:leader="none" w:pos="254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4445</wp:posOffset>
                </wp:positionV>
                <wp:extent cx="2745105" cy="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510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76" o:spid="_x0000_s11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35pt" to="217.3pt,0.35pt" o:allowincell="f" strokecolor="#000000" strokeweight="0.4799pt"/>
            </w:pict>
          </mc:Fallback>
        </mc:AlternateConten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0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0" w:name="page41"/>
    <w:bookmarkEnd w:id="4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41</w:t>
      </w:r>
    </w:p>
    <w:p>
      <w:pPr>
        <w:sectPr>
          <w:pgSz w:w="12240" w:h="15840" w:orient="portrait"/>
          <w:cols w:equalWidth="0" w:num="1">
            <w:col w:w="9360"/>
          </w:cols>
          <w:pgMar w:left="1440" w:top="1293" w:right="1440" w:bottom="124" w:gutter="0" w:footer="0" w:header="0"/>
        </w:sectPr>
      </w:pPr>
    </w:p>
    <w:p>
      <w:pPr>
        <w:spacing w:after="0" w:line="258" w:lineRule="exact"/>
        <w:rPr>
          <w:sz w:val="20"/>
          <w:szCs w:val="20"/>
          <w:color w:val="auto"/>
        </w:rPr>
      </w:pPr>
    </w:p>
    <w:tbl>
      <w:tblPr>
        <w:tblLayout w:type="fixed"/>
        <w:tblInd w:w="30" w:type="dxa"/>
        <w:tblCellMar>
          <w:top w:w="0" w:type="dxa"/>
          <w:left w:w="0" w:type="dxa"/>
          <w:bottom w:w="0" w:type="dxa"/>
          <w:right w:w="0" w:type="dxa"/>
        </w:tblCellMar>
      </w:tblPr>
      <w:tr>
        <w:trPr>
          <w:trHeight w:val="262"/>
        </w:trPr>
        <w:tc>
          <w:tcPr>
            <w:tcW w:w="2440" w:type="dxa"/>
            <w:vAlign w:val="bottom"/>
            <w:tcBorders>
              <w:top w:val="single" w:sz="8" w:color="auto"/>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top w:val="single" w:sz="8" w:color="auto"/>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4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$200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1A003</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ind w:left="360" w:right="2120" w:hanging="360"/>
        <w:spacing w:after="0" w:line="468" w:lineRule="auto"/>
        <w:tabs>
          <w:tab w:leader="none" w:pos="329" w:val="left"/>
        </w:tabs>
        <w:numPr>
          <w:ilvl w:val="0"/>
          <w:numId w:val="9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Imides as follows: a.1. Bismaleimides;</w:t>
      </w:r>
    </w:p>
    <w:p>
      <w:pPr>
        <w:spacing w:after="0" w:line="26" w:lineRule="exact"/>
        <w:rPr>
          <w:sz w:val="20"/>
          <w:szCs w:val="20"/>
          <w:color w:val="auto"/>
        </w:rPr>
      </w:pPr>
    </w:p>
    <w:p>
      <w:pPr>
        <w:jc w:val="both"/>
        <w:ind w:right="20" w:firstLine="360"/>
        <w:spacing w:after="0" w:line="235" w:lineRule="auto"/>
        <w:rPr>
          <w:sz w:val="20"/>
          <w:szCs w:val="20"/>
          <w:color w:val="auto"/>
        </w:rPr>
      </w:pPr>
      <w:r>
        <w:rPr>
          <w:rFonts w:ascii="Times New Roman" w:cs="Times New Roman" w:eastAsia="Times New Roman" w:hAnsi="Times New Roman"/>
          <w:sz w:val="22"/>
          <w:szCs w:val="22"/>
          <w:color w:val="auto"/>
        </w:rPr>
        <w:t>a.2. Aromatic polyamide-imides (PAI) having a ‘glass transition temperature (Tg)’ exceeding 563 K (290ºC);</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4"/>
          <w:szCs w:val="24"/>
          <w:color w:val="auto"/>
        </w:rPr>
        <w:t>a.3. Aromatic polyimides having a ‘glass transition temperature (Tg)’ exceeding 505 K (232°C);</w:t>
      </w:r>
    </w:p>
    <w:p>
      <w:pPr>
        <w:spacing w:after="0" w:line="269" w:lineRule="exact"/>
        <w:rPr>
          <w:sz w:val="20"/>
          <w:szCs w:val="20"/>
          <w:color w:val="auto"/>
        </w:rPr>
      </w:pPr>
    </w:p>
    <w:p>
      <w:pPr>
        <w:jc w:val="both"/>
        <w:ind w:right="20" w:firstLine="360"/>
        <w:spacing w:after="0" w:line="235" w:lineRule="auto"/>
        <w:rPr>
          <w:sz w:val="20"/>
          <w:szCs w:val="20"/>
          <w:color w:val="auto"/>
        </w:rPr>
      </w:pPr>
      <w:r>
        <w:rPr>
          <w:rFonts w:ascii="Times New Roman" w:cs="Times New Roman" w:eastAsia="Times New Roman" w:hAnsi="Times New Roman"/>
          <w:sz w:val="22"/>
          <w:szCs w:val="22"/>
          <w:color w:val="auto"/>
        </w:rPr>
        <w:t>a.4. Aromatic polyetherimides having a ‘glass transition temperature (Tg)’ exceeding 563 K (290º C);</w:t>
      </w:r>
    </w:p>
    <w:p>
      <w:pPr>
        <w:spacing w:after="0" w:line="270"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1C008.a controls the substances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liquid or solid “fusible” form, including resin, powder, pellet, film, sheet, tape, or ribbon.</w:t>
      </w:r>
    </w:p>
    <w:p>
      <w:pPr>
        <w:spacing w:after="0" w:line="253" w:lineRule="exact"/>
        <w:rPr>
          <w:sz w:val="20"/>
          <w:szCs w:val="20"/>
          <w:color w:val="auto"/>
        </w:rPr>
      </w:pPr>
    </w:p>
    <w:p>
      <w:pPr>
        <w:ind w:left="360"/>
        <w:spacing w:after="0"/>
        <w:tabs>
          <w:tab w:leader="none" w:pos="1060" w:val="left"/>
          <w:tab w:leader="none" w:pos="1840" w:val="left"/>
          <w:tab w:leader="none" w:pos="3500" w:val="left"/>
        </w:tabs>
        <w:rPr>
          <w:sz w:val="20"/>
          <w:szCs w:val="20"/>
          <w:color w:val="auto"/>
        </w:rPr>
      </w:pPr>
      <w:r>
        <w:rPr>
          <w:rFonts w:ascii="Times New Roman" w:cs="Times New Roman" w:eastAsia="Times New Roman" w:hAnsi="Times New Roman"/>
          <w:sz w:val="22"/>
          <w:szCs w:val="22"/>
          <w:b w:val="1"/>
          <w:bCs w:val="1"/>
          <w:i w:val="1"/>
          <w:iCs w:val="1"/>
          <w:color w:val="auto"/>
        </w:rPr>
        <w:t>N.B.:</w:t>
      </w:r>
      <w:r>
        <w:rPr>
          <w:sz w:val="20"/>
          <w:szCs w:val="20"/>
          <w:color w:val="auto"/>
        </w:rPr>
        <w:tab/>
      </w:r>
      <w:r>
        <w:rPr>
          <w:rFonts w:ascii="Times New Roman" w:cs="Times New Roman" w:eastAsia="Times New Roman" w:hAnsi="Times New Roman"/>
          <w:sz w:val="22"/>
          <w:szCs w:val="22"/>
          <w:i w:val="1"/>
          <w:iCs w:val="1"/>
          <w:color w:val="auto"/>
        </w:rPr>
        <w:t>For</w:t>
      </w:r>
      <w:r>
        <w:rPr>
          <w:sz w:val="20"/>
          <w:szCs w:val="20"/>
          <w:color w:val="auto"/>
        </w:rPr>
        <w:tab/>
      </w:r>
      <w:r>
        <w:rPr>
          <w:rFonts w:ascii="Times New Roman" w:cs="Times New Roman" w:eastAsia="Times New Roman" w:hAnsi="Times New Roman"/>
          <w:sz w:val="22"/>
          <w:szCs w:val="22"/>
          <w:i w:val="1"/>
          <w:iCs w:val="1"/>
          <w:color w:val="auto"/>
        </w:rPr>
        <w:t>non-“fusible”</w:t>
      </w:r>
      <w:r>
        <w:rPr>
          <w:sz w:val="20"/>
          <w:szCs w:val="20"/>
          <w:color w:val="auto"/>
        </w:rPr>
        <w:tab/>
      </w:r>
      <w:r>
        <w:rPr>
          <w:rFonts w:ascii="Times New Roman" w:cs="Times New Roman" w:eastAsia="Times New Roman" w:hAnsi="Times New Roman"/>
          <w:sz w:val="22"/>
          <w:szCs w:val="22"/>
          <w:i w:val="1"/>
          <w:iCs w:val="1"/>
          <w:color w:val="auto"/>
        </w:rPr>
        <w:t>aromatic</w:t>
      </w:r>
    </w:p>
    <w:p>
      <w:pPr>
        <w:spacing w:after="0" w:line="1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i w:val="1"/>
          <w:iCs w:val="1"/>
          <w:color w:val="auto"/>
        </w:rPr>
        <w:t>polyimides in film, sheet, tape, or ribbon form, see ECCN 1A003.</w:t>
      </w:r>
    </w:p>
    <w:p>
      <w:pPr>
        <w:spacing w:after="0" w:line="251" w:lineRule="exact"/>
        <w:rPr>
          <w:sz w:val="20"/>
          <w:szCs w:val="20"/>
          <w:color w:val="auto"/>
        </w:rPr>
      </w:pPr>
    </w:p>
    <w:p>
      <w:pPr>
        <w:ind w:left="220" w:hanging="220"/>
        <w:spacing w:after="0"/>
        <w:tabs>
          <w:tab w:leader="none" w:pos="220" w:val="left"/>
        </w:tabs>
        <w:numPr>
          <w:ilvl w:val="0"/>
          <w:numId w:val="9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320" w:hanging="320"/>
        <w:spacing w:after="0"/>
        <w:tabs>
          <w:tab w:leader="none" w:pos="320" w:val="left"/>
        </w:tabs>
        <w:numPr>
          <w:ilvl w:val="0"/>
          <w:numId w:val="9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9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Polyarylene ketones;</w:t>
      </w:r>
    </w:p>
    <w:p>
      <w:pPr>
        <w:spacing w:after="0" w:line="264" w:lineRule="exact"/>
        <w:rPr>
          <w:rFonts w:ascii="Times New Roman" w:cs="Times New Roman" w:eastAsia="Times New Roman" w:hAnsi="Times New Roman"/>
          <w:sz w:val="22"/>
          <w:szCs w:val="22"/>
          <w:color w:val="auto"/>
        </w:rPr>
      </w:pPr>
    </w:p>
    <w:p>
      <w:pPr>
        <w:jc w:val="both"/>
        <w:ind w:right="20"/>
        <w:spacing w:after="0" w:line="236" w:lineRule="auto"/>
        <w:tabs>
          <w:tab w:leader="none" w:pos="419" w:val="left"/>
        </w:tabs>
        <w:numPr>
          <w:ilvl w:val="0"/>
          <w:numId w:val="9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Polyarylene sulphides, where the arylene group is biphenylene, triphenylene or combinations thereof;</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firstLine="1"/>
        <w:spacing w:after="0" w:line="234" w:lineRule="auto"/>
        <w:tabs>
          <w:tab w:leader="none" w:pos="305" w:val="left"/>
        </w:tabs>
        <w:numPr>
          <w:ilvl w:val="0"/>
          <w:numId w:val="9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Polybiphenylenethersulphone having a ‘glass transition temperature (Tg)’ exceeding 563 K</w:t>
      </w:r>
    </w:p>
    <w:p>
      <w:pPr>
        <w:spacing w:after="0" w:line="23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(290  C).</w:t>
      </w:r>
    </w:p>
    <w:p>
      <w:pPr>
        <w:spacing w:after="0" w:line="28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5" w:lineRule="exact"/>
        <w:rPr>
          <w:sz w:val="20"/>
          <w:szCs w:val="20"/>
          <w:color w:val="auto"/>
        </w:rPr>
      </w:pPr>
    </w:p>
    <w:p>
      <w:pPr>
        <w:ind w:left="580" w:hanging="219"/>
        <w:spacing w:after="0"/>
        <w:tabs>
          <w:tab w:leader="none" w:pos="580" w:val="left"/>
        </w:tabs>
        <w:numPr>
          <w:ilvl w:val="0"/>
          <w:numId w:val="93"/>
        </w:numPr>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The ‘glass transition temperature (Tg)’ for</w:t>
      </w:r>
    </w:p>
    <w:p>
      <w:pPr>
        <w:spacing w:after="0" w:line="12" w:lineRule="exact"/>
        <w:rPr>
          <w:rFonts w:ascii="Times New Roman" w:cs="Times New Roman" w:eastAsia="Times New Roman" w:hAnsi="Times New Roman"/>
          <w:sz w:val="21"/>
          <w:szCs w:val="21"/>
          <w:b w:val="1"/>
          <w:bCs w:val="1"/>
          <w:i w:val="1"/>
          <w:iCs w:val="1"/>
          <w:color w:val="auto"/>
        </w:rPr>
      </w:pPr>
    </w:p>
    <w:p>
      <w:pPr>
        <w:jc w:val="both"/>
        <w:spacing w:after="0" w:line="236" w:lineRule="auto"/>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2"/>
          <w:szCs w:val="22"/>
          <w:i w:val="1"/>
          <w:iCs w:val="1"/>
          <w:color w:val="auto"/>
        </w:rPr>
        <w:t>1C008.a.2 thermoplastic materials, 1C008.a.4 materials and 1C008.f materials is determined using the method described in ISO 11357-2 (1999) or national equivalents.</w:t>
      </w:r>
    </w:p>
    <w:p>
      <w:pPr>
        <w:spacing w:after="0" w:line="268" w:lineRule="exact"/>
        <w:rPr>
          <w:rFonts w:ascii="Times New Roman" w:cs="Times New Roman" w:eastAsia="Times New Roman" w:hAnsi="Times New Roman"/>
          <w:sz w:val="21"/>
          <w:szCs w:val="21"/>
          <w:b w:val="1"/>
          <w:bCs w:val="1"/>
          <w:i w:val="1"/>
          <w:iCs w:val="1"/>
          <w:color w:val="auto"/>
        </w:rPr>
      </w:pPr>
    </w:p>
    <w:p>
      <w:pPr>
        <w:ind w:left="580" w:hanging="219"/>
        <w:spacing w:after="0"/>
        <w:tabs>
          <w:tab w:leader="none" w:pos="580" w:val="left"/>
        </w:tabs>
        <w:numPr>
          <w:ilvl w:val="0"/>
          <w:numId w:val="93"/>
        </w:numPr>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The ‘glass transition temperature (Tg)’ for</w:t>
      </w:r>
    </w:p>
    <w:p>
      <w:pPr>
        <w:spacing w:after="0"/>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2"/>
          <w:szCs w:val="22"/>
          <w:i w:val="1"/>
          <w:iCs w:val="1"/>
          <w:color w:val="auto"/>
        </w:rPr>
        <w:t>1C008.a.2thermosettingmaterialsand</w:t>
      </w:r>
    </w:p>
    <w:p>
      <w:pPr>
        <w:spacing w:after="0" w:line="11" w:lineRule="exact"/>
        <w:rPr>
          <w:rFonts w:ascii="Times New Roman" w:cs="Times New Roman" w:eastAsia="Times New Roman" w:hAnsi="Times New Roman"/>
          <w:sz w:val="21"/>
          <w:szCs w:val="21"/>
          <w:b w:val="1"/>
          <w:bCs w:val="1"/>
          <w:i w:val="1"/>
          <w:iCs w:val="1"/>
          <w:color w:val="auto"/>
        </w:rPr>
      </w:pPr>
    </w:p>
    <w:p>
      <w:pPr>
        <w:jc w:val="both"/>
        <w:spacing w:after="0" w:line="238" w:lineRule="auto"/>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2"/>
          <w:szCs w:val="22"/>
          <w:i w:val="1"/>
          <w:iCs w:val="1"/>
          <w:color w:val="auto"/>
        </w:rPr>
        <w:t>1C008.a.3 materials is determined using the 3-point bend method described in ASTM D 7028-07 or equivalent national standard. The test is to be performed using a dry test specimen which has attained a minimum of 90% degree of cure as specified by ASTM E 2160-04 or equivalent national standard, and was cured using the combination of standard- and post-cure processes that yield the highest Tg.</w:t>
      </w:r>
    </w:p>
    <w:p>
      <w:pPr>
        <w:spacing w:after="0" w:line="200" w:lineRule="exact"/>
        <w:rPr>
          <w:sz w:val="20"/>
          <w:szCs w:val="20"/>
          <w:color w:val="auto"/>
        </w:rPr>
      </w:pPr>
    </w:p>
    <w:p>
      <w:pPr>
        <w:spacing w:after="0" w:line="32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1C009 Unprocessed fluorinated compounds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165100</wp:posOffset>
                </wp:positionV>
                <wp:extent cx="2635250" cy="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pt" to="208.65pt,1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8" o:spid="_x0000_s11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819785</wp:posOffset>
                </wp:positionV>
                <wp:extent cx="2635250" cy="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9" o:spid="_x0000_s11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55pt" to="208.65pt,64.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161925</wp:posOffset>
                </wp:positionV>
                <wp:extent cx="0" cy="828675"/>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0" o:spid="_x0000_s11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75pt" to="1.4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161925</wp:posOffset>
                </wp:positionV>
                <wp:extent cx="0" cy="828675"/>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1" o:spid="_x0000_s11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75pt" to="118.0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8675"/>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82" o:spid="_x0000_s11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pt" o:allowincell="f" strokecolor="#000000" strokeweight="0.4799pt"/>
            </w:pict>
          </mc:Fallback>
        </mc:AlternateContent>
      </w:r>
    </w:p>
    <w:p>
      <w:pPr>
        <w:spacing w:after="0" w:line="243"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83" o:spid="_x0000_s11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0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1A001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28" w:lineRule="exact"/>
        <w:rPr>
          <w:sz w:val="20"/>
          <w:szCs w:val="20"/>
          <w:color w:val="auto"/>
        </w:rPr>
      </w:pPr>
    </w:p>
    <w:p>
      <w:pPr>
        <w:sectPr>
          <w:pgSz w:w="12240" w:h="15840" w:orient="portrait"/>
          <w:cols w:equalWidth="0" w:num="2">
            <w:col w:w="4340" w:space="700"/>
            <w:col w:w="4320"/>
          </w:cols>
          <w:pgMar w:left="1440" w:top="1293" w:right="1440" w:bottom="124" w:gutter="0" w:footer="0" w:header="0"/>
          <w:type w:val="continuous"/>
        </w:sectPr>
      </w:pPr>
    </w:p>
    <w:p>
      <w:pPr>
        <w:spacing w:after="0" w:line="200" w:lineRule="exact"/>
        <w:rPr>
          <w:sz w:val="20"/>
          <w:szCs w:val="20"/>
          <w:color w:val="auto"/>
        </w:rPr>
      </w:pPr>
    </w:p>
    <w:p>
      <w:pPr>
        <w:spacing w:after="0" w:line="27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1" w:name="page42"/>
    <w:bookmarkEnd w:id="4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42</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340" w:hanging="340"/>
        <w:spacing w:after="0"/>
        <w:tabs>
          <w:tab w:leader="none" w:pos="340" w:val="left"/>
        </w:tabs>
        <w:numPr>
          <w:ilvl w:val="0"/>
          <w:numId w:val="9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6" w:lineRule="exact"/>
        <w:rPr>
          <w:rFonts w:ascii="Times New Roman" w:cs="Times New Roman" w:eastAsia="Times New Roman" w:hAnsi="Times New Roman"/>
          <w:sz w:val="22"/>
          <w:szCs w:val="22"/>
          <w:color w:val="auto"/>
        </w:rPr>
      </w:pPr>
    </w:p>
    <w:p>
      <w:pPr>
        <w:ind w:right="140"/>
        <w:spacing w:after="0" w:line="234" w:lineRule="auto"/>
        <w:tabs>
          <w:tab w:leader="none" w:pos="287" w:val="left"/>
        </w:tabs>
        <w:numPr>
          <w:ilvl w:val="0"/>
          <w:numId w:val="9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Fluorinated polyimides containing 10% by weight or more of combined fluorine;</w:t>
      </w:r>
    </w:p>
    <w:p>
      <w:pPr>
        <w:spacing w:after="0" w:line="265" w:lineRule="exact"/>
        <w:rPr>
          <w:rFonts w:ascii="Times New Roman" w:cs="Times New Roman" w:eastAsia="Times New Roman" w:hAnsi="Times New Roman"/>
          <w:sz w:val="22"/>
          <w:szCs w:val="22"/>
          <w:color w:val="auto"/>
        </w:rPr>
      </w:pPr>
    </w:p>
    <w:p>
      <w:pPr>
        <w:ind w:right="140"/>
        <w:spacing w:after="0" w:line="236" w:lineRule="auto"/>
        <w:tabs>
          <w:tab w:leader="none" w:pos="329" w:val="left"/>
        </w:tabs>
        <w:numPr>
          <w:ilvl w:val="0"/>
          <w:numId w:val="9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Fluorinated phosphazene elastomers containing 30% by weight or more of combined fluorine.</w:t>
      </w:r>
    </w:p>
    <w:p>
      <w:pPr>
        <w:spacing w:after="0" w:line="200" w:lineRule="exact"/>
        <w:rPr>
          <w:sz w:val="20"/>
          <w:szCs w:val="20"/>
          <w:color w:val="auto"/>
        </w:rPr>
      </w:pPr>
    </w:p>
    <w:p>
      <w:pPr>
        <w:spacing w:after="0" w:line="320" w:lineRule="exact"/>
        <w:rPr>
          <w:sz w:val="20"/>
          <w:szCs w:val="20"/>
          <w:color w:val="auto"/>
        </w:rPr>
      </w:pPr>
    </w:p>
    <w:p>
      <w:pPr>
        <w:ind w:right="140"/>
        <w:spacing w:after="0" w:line="234" w:lineRule="auto"/>
        <w:rPr>
          <w:sz w:val="20"/>
          <w:szCs w:val="20"/>
          <w:color w:val="auto"/>
        </w:rPr>
      </w:pPr>
      <w:r>
        <w:rPr>
          <w:rFonts w:ascii="Times New Roman" w:cs="Times New Roman" w:eastAsia="Times New Roman" w:hAnsi="Times New Roman"/>
          <w:sz w:val="22"/>
          <w:szCs w:val="22"/>
          <w:b w:val="1"/>
          <w:bCs w:val="1"/>
          <w:color w:val="auto"/>
        </w:rPr>
        <w:t>1C010 “Fibrous or filamentary materials”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36" w:lineRule="exact"/>
        <w:rPr>
          <w:sz w:val="20"/>
          <w:szCs w:val="20"/>
          <w:color w:val="auto"/>
        </w:rPr>
      </w:pPr>
    </w:p>
    <w:tbl>
      <w:tblPr>
        <w:tblLayout w:type="fixed"/>
        <w:tblInd w:w="130" w:type="dxa"/>
        <w:tblCellMar>
          <w:top w:w="0" w:type="dxa"/>
          <w:left w:w="0" w:type="dxa"/>
          <w:bottom w:w="0" w:type="dxa"/>
          <w:right w:w="0" w:type="dxa"/>
        </w:tblCellMar>
      </w:tblPr>
      <w:tr>
        <w:trPr>
          <w:trHeight w:val="261"/>
        </w:trPr>
        <w:tc>
          <w:tcPr>
            <w:tcW w:w="1100" w:type="dxa"/>
            <w:vAlign w:val="bottom"/>
            <w:tcBorders>
              <w:top w:val="single" w:sz="8" w:color="auto"/>
              <w:left w:val="single" w:sz="8" w:color="auto"/>
            </w:tcBorders>
          </w:tcPr>
          <w:p>
            <w:pPr>
              <w:spacing w:after="0"/>
              <w:rPr>
                <w:sz w:val="22"/>
                <w:szCs w:val="22"/>
                <w:color w:val="auto"/>
              </w:rPr>
            </w:pPr>
          </w:p>
        </w:tc>
        <w:tc>
          <w:tcPr>
            <w:tcW w:w="460" w:type="dxa"/>
            <w:vAlign w:val="bottom"/>
            <w:tcBorders>
              <w:top w:val="single" w:sz="8" w:color="auto"/>
            </w:tcBorders>
          </w:tcPr>
          <w:p>
            <w:pPr>
              <w:spacing w:after="0"/>
              <w:rPr>
                <w:sz w:val="22"/>
                <w:szCs w:val="22"/>
                <w:color w:val="auto"/>
              </w:rPr>
            </w:pPr>
          </w:p>
        </w:tc>
        <w:tc>
          <w:tcPr>
            <w:tcW w:w="800" w:type="dxa"/>
            <w:vAlign w:val="bottom"/>
            <w:tcBorders>
              <w:top w:val="single" w:sz="8" w:color="auto"/>
            </w:tcBorders>
          </w:tcPr>
          <w:p>
            <w:pPr>
              <w:spacing w:after="0"/>
              <w:rPr>
                <w:sz w:val="22"/>
                <w:szCs w:val="22"/>
                <w:color w:val="auto"/>
              </w:rPr>
            </w:pPr>
          </w:p>
        </w:tc>
        <w:tc>
          <w:tcPr>
            <w:tcW w:w="460" w:type="dxa"/>
            <w:vAlign w:val="bottom"/>
            <w:tcBorders>
              <w:top w:val="single" w:sz="8" w:color="auto"/>
              <w:right w:val="single" w:sz="8" w:color="auto"/>
            </w:tcBorders>
          </w:tcPr>
          <w:p>
            <w:pPr>
              <w:spacing w:after="0"/>
              <w:rPr>
                <w:sz w:val="22"/>
                <w:szCs w:val="22"/>
                <w:color w:val="auto"/>
              </w:rPr>
            </w:pPr>
          </w:p>
        </w:tc>
        <w:tc>
          <w:tcPr>
            <w:tcW w:w="15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c>
          <w:tcPr>
            <w:tcW w:w="0" w:type="dxa"/>
            <w:vAlign w:val="bottom"/>
          </w:tcPr>
          <w:p>
            <w:pPr>
              <w:spacing w:after="0"/>
              <w:rPr>
                <w:sz w:val="1"/>
                <w:szCs w:val="1"/>
                <w:color w:val="auto"/>
              </w:rPr>
            </w:pPr>
          </w:p>
        </w:tc>
      </w:tr>
      <w:tr>
        <w:trPr>
          <w:trHeight w:val="253"/>
        </w:trPr>
        <w:tc>
          <w:tcPr>
            <w:tcW w:w="2360" w:type="dxa"/>
            <w:vAlign w:val="bottom"/>
            <w:tcBorders>
              <w:left w:val="single" w:sz="8" w:color="auto"/>
            </w:tcBorders>
            <w:gridSpan w:val="3"/>
            <w:vMerge w:val="restart"/>
          </w:tcPr>
          <w:p>
            <w:pPr>
              <w:ind w:left="9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60" w:type="dxa"/>
            <w:vAlign w:val="bottom"/>
            <w:tcBorders>
              <w:right w:val="single" w:sz="8" w:color="auto"/>
            </w:tcBorders>
          </w:tcPr>
          <w:p>
            <w:pPr>
              <w:spacing w:after="0"/>
              <w:rPr>
                <w:sz w:val="22"/>
                <w:szCs w:val="22"/>
                <w:color w:val="auto"/>
              </w:rPr>
            </w:pPr>
          </w:p>
        </w:tc>
        <w:tc>
          <w:tcPr>
            <w:tcW w:w="15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w:t>
            </w:r>
          </w:p>
        </w:tc>
        <w:tc>
          <w:tcPr>
            <w:tcW w:w="0" w:type="dxa"/>
            <w:vAlign w:val="bottom"/>
          </w:tcPr>
          <w:p>
            <w:pPr>
              <w:spacing w:after="0"/>
              <w:rPr>
                <w:sz w:val="1"/>
                <w:szCs w:val="1"/>
                <w:color w:val="auto"/>
              </w:rPr>
            </w:pPr>
          </w:p>
        </w:tc>
      </w:tr>
      <w:tr>
        <w:trPr>
          <w:trHeight w:val="127"/>
        </w:trPr>
        <w:tc>
          <w:tcPr>
            <w:tcW w:w="2360" w:type="dxa"/>
            <w:vAlign w:val="bottom"/>
            <w:tcBorders>
              <w:left w:val="single" w:sz="8" w:color="auto"/>
            </w:tcBorders>
            <w:gridSpan w:val="3"/>
            <w:vMerge w:val="continue"/>
          </w:tcPr>
          <w:p>
            <w:pPr>
              <w:spacing w:after="0"/>
              <w:rPr>
                <w:sz w:val="11"/>
                <w:szCs w:val="11"/>
                <w:color w:val="auto"/>
              </w:rPr>
            </w:pPr>
          </w:p>
        </w:tc>
        <w:tc>
          <w:tcPr>
            <w:tcW w:w="460" w:type="dxa"/>
            <w:vAlign w:val="bottom"/>
            <w:tcBorders>
              <w:right w:val="single" w:sz="8" w:color="auto"/>
            </w:tcBorders>
          </w:tcPr>
          <w:p>
            <w:pPr>
              <w:spacing w:after="0"/>
              <w:rPr>
                <w:sz w:val="11"/>
                <w:szCs w:val="11"/>
                <w:color w:val="auto"/>
              </w:rPr>
            </w:pPr>
          </w:p>
        </w:tc>
        <w:tc>
          <w:tcPr>
            <w:tcW w:w="152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No. 1 to part</w:t>
            </w:r>
          </w:p>
        </w:tc>
        <w:tc>
          <w:tcPr>
            <w:tcW w:w="0" w:type="dxa"/>
            <w:vAlign w:val="bottom"/>
          </w:tcPr>
          <w:p>
            <w:pPr>
              <w:spacing w:after="0"/>
              <w:rPr>
                <w:sz w:val="1"/>
                <w:szCs w:val="1"/>
                <w:color w:val="auto"/>
              </w:rPr>
            </w:pPr>
          </w:p>
        </w:tc>
      </w:tr>
      <w:tr>
        <w:trPr>
          <w:trHeight w:val="126"/>
        </w:trPr>
        <w:tc>
          <w:tcPr>
            <w:tcW w:w="1100" w:type="dxa"/>
            <w:vAlign w:val="bottom"/>
            <w:tcBorders>
              <w:left w:val="single" w:sz="8" w:color="auto"/>
            </w:tcBorders>
          </w:tcPr>
          <w:p>
            <w:pPr>
              <w:spacing w:after="0"/>
              <w:rPr>
                <w:sz w:val="10"/>
                <w:szCs w:val="10"/>
                <w:color w:val="auto"/>
              </w:rPr>
            </w:pPr>
          </w:p>
        </w:tc>
        <w:tc>
          <w:tcPr>
            <w:tcW w:w="460" w:type="dxa"/>
            <w:vAlign w:val="bottom"/>
          </w:tcPr>
          <w:p>
            <w:pPr>
              <w:spacing w:after="0"/>
              <w:rPr>
                <w:sz w:val="10"/>
                <w:szCs w:val="10"/>
                <w:color w:val="auto"/>
              </w:rPr>
            </w:pPr>
          </w:p>
        </w:tc>
        <w:tc>
          <w:tcPr>
            <w:tcW w:w="800" w:type="dxa"/>
            <w:vAlign w:val="bottom"/>
          </w:tcPr>
          <w:p>
            <w:pPr>
              <w:spacing w:after="0"/>
              <w:rPr>
                <w:sz w:val="10"/>
                <w:szCs w:val="10"/>
                <w:color w:val="auto"/>
              </w:rPr>
            </w:pPr>
          </w:p>
        </w:tc>
        <w:tc>
          <w:tcPr>
            <w:tcW w:w="460" w:type="dxa"/>
            <w:vAlign w:val="bottom"/>
            <w:tcBorders>
              <w:right w:val="single" w:sz="8" w:color="auto"/>
            </w:tcBorders>
          </w:tcPr>
          <w:p>
            <w:pPr>
              <w:spacing w:after="0"/>
              <w:rPr>
                <w:sz w:val="10"/>
                <w:szCs w:val="10"/>
                <w:color w:val="auto"/>
              </w:rPr>
            </w:pPr>
          </w:p>
        </w:tc>
        <w:tc>
          <w:tcPr>
            <w:tcW w:w="152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54"/>
        </w:trPr>
        <w:tc>
          <w:tcPr>
            <w:tcW w:w="1100" w:type="dxa"/>
            <w:vAlign w:val="bottom"/>
            <w:tcBorders>
              <w:left w:val="single" w:sz="8" w:color="auto"/>
              <w:bottom w:val="single" w:sz="8" w:color="auto"/>
            </w:tcBorders>
          </w:tcPr>
          <w:p>
            <w:pPr>
              <w:spacing w:after="0"/>
              <w:rPr>
                <w:sz w:val="22"/>
                <w:szCs w:val="22"/>
                <w:color w:val="auto"/>
              </w:rPr>
            </w:pPr>
          </w:p>
        </w:tc>
        <w:tc>
          <w:tcPr>
            <w:tcW w:w="460" w:type="dxa"/>
            <w:vAlign w:val="bottom"/>
            <w:tcBorders>
              <w:bottom w:val="single" w:sz="8" w:color="auto"/>
            </w:tcBorders>
          </w:tcPr>
          <w:p>
            <w:pPr>
              <w:spacing w:after="0"/>
              <w:rPr>
                <w:sz w:val="22"/>
                <w:szCs w:val="22"/>
                <w:color w:val="auto"/>
              </w:rPr>
            </w:pPr>
          </w:p>
        </w:tc>
        <w:tc>
          <w:tcPr>
            <w:tcW w:w="80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15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c>
          <w:tcPr>
            <w:tcW w:w="0" w:type="dxa"/>
            <w:vAlign w:val="bottom"/>
          </w:tcPr>
          <w:p>
            <w:pPr>
              <w:spacing w:after="0"/>
              <w:rPr>
                <w:sz w:val="1"/>
                <w:szCs w:val="1"/>
                <w:color w:val="auto"/>
              </w:rPr>
            </w:pPr>
          </w:p>
        </w:tc>
      </w:tr>
      <w:tr>
        <w:trPr>
          <w:trHeight w:val="242"/>
        </w:trPr>
        <w:tc>
          <w:tcPr>
            <w:tcW w:w="2360" w:type="dxa"/>
            <w:vAlign w:val="bottom"/>
            <w:tcBorders>
              <w:left w:val="single" w:sz="8" w:color="auto"/>
              <w:bottom w:val="single" w:sz="8" w:color="auto"/>
            </w:tcBorders>
            <w:gridSpan w:val="3"/>
          </w:tcPr>
          <w:p>
            <w:pPr>
              <w:ind w:left="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460" w:type="dxa"/>
            <w:vAlign w:val="bottom"/>
            <w:tcBorders>
              <w:bottom w:val="single" w:sz="8" w:color="auto"/>
              <w:right w:val="single" w:sz="8" w:color="auto"/>
            </w:tcBorders>
          </w:tcPr>
          <w:p>
            <w:pPr>
              <w:spacing w:after="0"/>
              <w:rPr>
                <w:sz w:val="21"/>
                <w:szCs w:val="21"/>
                <w:color w:val="auto"/>
              </w:rPr>
            </w:pPr>
          </w:p>
        </w:tc>
        <w:tc>
          <w:tcPr>
            <w:tcW w:w="15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NS Column 2</w:t>
            </w:r>
          </w:p>
        </w:tc>
        <w:tc>
          <w:tcPr>
            <w:tcW w:w="0" w:type="dxa"/>
            <w:vAlign w:val="bottom"/>
          </w:tcPr>
          <w:p>
            <w:pPr>
              <w:spacing w:after="0"/>
              <w:rPr>
                <w:sz w:val="1"/>
                <w:szCs w:val="1"/>
                <w:color w:val="auto"/>
              </w:rPr>
            </w:pPr>
          </w:p>
        </w:tc>
      </w:tr>
      <w:tr>
        <w:trPr>
          <w:trHeight w:val="241"/>
        </w:trPr>
        <w:tc>
          <w:tcPr>
            <w:tcW w:w="2820" w:type="dxa"/>
            <w:vAlign w:val="bottom"/>
            <w:tcBorders>
              <w:left w:val="single" w:sz="8" w:color="auto"/>
              <w:right w:val="single" w:sz="8" w:color="auto"/>
            </w:tcBorders>
            <w:gridSpan w:val="4"/>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1C010.a (aramid</w:t>
            </w:r>
          </w:p>
        </w:tc>
        <w:tc>
          <w:tcPr>
            <w:tcW w:w="152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“fibrous</w:t>
            </w:r>
          </w:p>
        </w:tc>
        <w:tc>
          <w:tcPr>
            <w:tcW w:w="460" w:type="dxa"/>
            <w:vAlign w:val="bottom"/>
          </w:tcPr>
          <w:p>
            <w:pPr>
              <w:ind w:left="60"/>
              <w:spacing w:after="0"/>
              <w:rPr>
                <w:sz w:val="20"/>
                <w:szCs w:val="20"/>
                <w:color w:val="auto"/>
              </w:rPr>
            </w:pPr>
            <w:r>
              <w:rPr>
                <w:rFonts w:ascii="Times New Roman" w:cs="Times New Roman" w:eastAsia="Times New Roman" w:hAnsi="Times New Roman"/>
                <w:sz w:val="22"/>
                <w:szCs w:val="22"/>
                <w:color w:val="auto"/>
              </w:rPr>
              <w:t>or</w:t>
            </w:r>
          </w:p>
        </w:tc>
        <w:tc>
          <w:tcPr>
            <w:tcW w:w="12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filamentary</w:t>
            </w:r>
          </w:p>
        </w:tc>
        <w:tc>
          <w:tcPr>
            <w:tcW w:w="15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4"/>
        </w:trPr>
        <w:tc>
          <w:tcPr>
            <w:tcW w:w="28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materials”, b (carbon “fibrous</w:t>
            </w:r>
          </w:p>
        </w:tc>
        <w:tc>
          <w:tcPr>
            <w:tcW w:w="15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2"/>
        </w:trPr>
        <w:tc>
          <w:tcPr>
            <w:tcW w:w="28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and  filamentary materials”),</w:t>
            </w:r>
          </w:p>
        </w:tc>
        <w:tc>
          <w:tcPr>
            <w:tcW w:w="15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8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and   e.1   for   “fibrous   and</w:t>
            </w:r>
          </w:p>
        </w:tc>
        <w:tc>
          <w:tcPr>
            <w:tcW w:w="15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110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filamentary</w:t>
            </w:r>
          </w:p>
        </w:tc>
        <w:tc>
          <w:tcPr>
            <w:tcW w:w="1260" w:type="dxa"/>
            <w:vAlign w:val="bottom"/>
            <w:gridSpan w:val="2"/>
          </w:tcPr>
          <w:p>
            <w:pPr>
              <w:ind w:left="200"/>
              <w:spacing w:after="0"/>
              <w:rPr>
                <w:sz w:val="20"/>
                <w:szCs w:val="20"/>
                <w:color w:val="auto"/>
              </w:rPr>
            </w:pPr>
            <w:r>
              <w:rPr>
                <w:rFonts w:ascii="Times New Roman" w:cs="Times New Roman" w:eastAsia="Times New Roman" w:hAnsi="Times New Roman"/>
                <w:sz w:val="22"/>
                <w:szCs w:val="22"/>
                <w:color w:val="auto"/>
              </w:rPr>
              <w:t>materials”</w:t>
            </w:r>
          </w:p>
        </w:tc>
        <w:tc>
          <w:tcPr>
            <w:tcW w:w="4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that</w:t>
            </w:r>
          </w:p>
        </w:tc>
        <w:tc>
          <w:tcPr>
            <w:tcW w:w="15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3"/>
        </w:trPr>
        <w:tc>
          <w:tcPr>
            <w:tcW w:w="28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meet  or  exceed  the  control</w:t>
            </w:r>
          </w:p>
        </w:tc>
        <w:tc>
          <w:tcPr>
            <w:tcW w:w="15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55"/>
        </w:trPr>
        <w:tc>
          <w:tcPr>
            <w:tcW w:w="2360" w:type="dxa"/>
            <w:vAlign w:val="bottom"/>
            <w:tcBorders>
              <w:left w:val="single" w:sz="8" w:color="auto"/>
              <w:bottom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criteria of ECCN 1C210</w:t>
            </w:r>
          </w:p>
        </w:tc>
        <w:tc>
          <w:tcPr>
            <w:tcW w:w="460" w:type="dxa"/>
            <w:vAlign w:val="bottom"/>
            <w:tcBorders>
              <w:bottom w:val="single" w:sz="8" w:color="auto"/>
              <w:right w:val="single" w:sz="8" w:color="auto"/>
            </w:tcBorders>
          </w:tcPr>
          <w:p>
            <w:pPr>
              <w:spacing w:after="0"/>
              <w:rPr>
                <w:sz w:val="22"/>
                <w:szCs w:val="22"/>
                <w:color w:val="auto"/>
              </w:rPr>
            </w:pPr>
          </w:p>
        </w:tc>
        <w:tc>
          <w:tcPr>
            <w:tcW w:w="152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3"/>
        </w:trPr>
        <w:tc>
          <w:tcPr>
            <w:tcW w:w="2360" w:type="dxa"/>
            <w:vAlign w:val="bottom"/>
            <w:tcBorders>
              <w:left w:val="single" w:sz="8" w:color="auto"/>
              <w:bottom w:val="single" w:sz="8" w:color="auto"/>
            </w:tcBorders>
            <w:gridSpan w:val="3"/>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460" w:type="dxa"/>
            <w:vAlign w:val="bottom"/>
            <w:tcBorders>
              <w:bottom w:val="single" w:sz="8" w:color="auto"/>
              <w:right w:val="single" w:sz="8" w:color="auto"/>
            </w:tcBorders>
          </w:tcPr>
          <w:p>
            <w:pPr>
              <w:spacing w:after="0"/>
              <w:rPr>
                <w:sz w:val="21"/>
                <w:szCs w:val="21"/>
                <w:color w:val="auto"/>
              </w:rPr>
            </w:pPr>
          </w:p>
        </w:tc>
        <w:tc>
          <w:tcPr>
            <w:tcW w:w="15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c>
          <w:tcPr>
            <w:tcW w:w="0" w:type="dxa"/>
            <w:vAlign w:val="bottom"/>
          </w:tcPr>
          <w:p>
            <w:pPr>
              <w:spacing w:after="0"/>
              <w:rPr>
                <w:sz w:val="1"/>
                <w:szCs w:val="1"/>
                <w:color w:val="auto"/>
              </w:rPr>
            </w:pPr>
          </w:p>
        </w:tc>
      </w:tr>
    </w:tbl>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64" w:lineRule="exact"/>
        <w:rPr>
          <w:sz w:val="20"/>
          <w:szCs w:val="20"/>
          <w:color w:val="auto"/>
        </w:rPr>
      </w:pPr>
    </w:p>
    <w:p>
      <w:pPr>
        <w:jc w:val="both"/>
        <w:ind w:left="360" w:right="140"/>
        <w:spacing w:after="0" w:line="237"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67" w:lineRule="exact"/>
        <w:rPr>
          <w:sz w:val="20"/>
          <w:szCs w:val="20"/>
          <w:color w:val="auto"/>
        </w:rPr>
      </w:pPr>
    </w:p>
    <w:p>
      <w:pPr>
        <w:ind w:right="14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 N/A for NP</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1080" w:hanging="719"/>
        <w:spacing w:after="0" w:line="251" w:lineRule="auto"/>
        <w:tabs>
          <w:tab w:leader="none" w:pos="1060" w:val="left"/>
        </w:tabs>
        <w:rPr>
          <w:sz w:val="20"/>
          <w:szCs w:val="20"/>
          <w:color w:val="auto"/>
        </w:rPr>
      </w:pPr>
      <w:r>
        <w:rPr>
          <w:rFonts w:ascii="Times New Roman" w:cs="Times New Roman" w:eastAsia="Times New Roman" w:hAnsi="Times New Roman"/>
          <w:sz w:val="21"/>
          <w:szCs w:val="21"/>
          <w:i w:val="1"/>
          <w:iCs w:val="1"/>
          <w:color w:val="auto"/>
        </w:rPr>
        <w:t>STA:</w:t>
      </w:r>
      <w:r>
        <w:rPr>
          <w:sz w:val="20"/>
          <w:szCs w:val="20"/>
          <w:color w:val="auto"/>
        </w:rPr>
        <w:tab/>
      </w:r>
      <w:r>
        <w:rPr>
          <w:rFonts w:ascii="Times New Roman" w:cs="Times New Roman" w:eastAsia="Times New Roman" w:hAnsi="Times New Roman"/>
          <w:sz w:val="21"/>
          <w:szCs w:val="21"/>
          <w:color w:val="auto"/>
        </w:rPr>
        <w:t>License Exception STA may not be used to ship any item in 1C010.c to any of the destinations listed in Country Group A:6 (See Supplement No.1 to part 740 of the EAR).</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ECCNs </w:t>
      </w:r>
      <w:r>
        <w:rPr>
          <w:rFonts w:ascii="Times New Roman" w:cs="Times New Roman" w:eastAsia="Times New Roman" w:hAnsi="Times New Roman"/>
          <w:sz w:val="22"/>
          <w:szCs w:val="22"/>
          <w:u w:val="single" w:color="auto"/>
          <w:color w:val="0000FF"/>
        </w:rPr>
        <w:t>1C210</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1C990</w:t>
      </w:r>
      <w:r>
        <w:rPr>
          <w:rFonts w:ascii="Times New Roman" w:cs="Times New Roman" w:eastAsia="Times New Roman" w:hAnsi="Times New Roman"/>
          <w:sz w:val="22"/>
          <w:szCs w:val="22"/>
          <w:color w:val="000000"/>
        </w:rPr>
        <w:t xml:space="preserve">. (3) See also 9C110 for material not controlled by </w:t>
      </w:r>
      <w:r>
        <w:rPr>
          <w:rFonts w:ascii="Times New Roman" w:cs="Times New Roman" w:eastAsia="Times New Roman" w:hAnsi="Times New Roman"/>
          <w:sz w:val="22"/>
          <w:szCs w:val="22"/>
          <w:u w:val="single" w:color="auto"/>
          <w:color w:val="0000FF"/>
        </w:rPr>
        <w:t>1C010.e</w:t>
      </w:r>
      <w:r>
        <w:rPr>
          <w:rFonts w:ascii="Times New Roman" w:cs="Times New Roman" w:eastAsia="Times New Roman" w:hAnsi="Times New Roman"/>
          <w:sz w:val="22"/>
          <w:szCs w:val="22"/>
          <w:color w:val="000000"/>
        </w:rPr>
        <w:t>, as defined by notes 1 or 2.</w:t>
      </w:r>
    </w:p>
    <w:p>
      <w:pPr>
        <w:spacing w:after="0" w:line="255" w:lineRule="exact"/>
        <w:rPr>
          <w:sz w:val="20"/>
          <w:szCs w:val="20"/>
          <w:color w:val="auto"/>
        </w:rPr>
      </w:pPr>
    </w:p>
    <w:p>
      <w:pPr>
        <w:ind w:left="360"/>
        <w:spacing w:after="0"/>
        <w:tabs>
          <w:tab w:leader="none" w:pos="1300" w:val="left"/>
          <w:tab w:leader="none" w:pos="2940" w:val="left"/>
          <w:tab w:leader="none" w:pos="3480" w:val="left"/>
        </w:tabs>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ab/>
      </w:r>
      <w:r>
        <w:rPr>
          <w:rFonts w:ascii="Times New Roman" w:cs="Times New Roman" w:eastAsia="Times New Roman" w:hAnsi="Times New Roman"/>
          <w:sz w:val="22"/>
          <w:szCs w:val="22"/>
          <w:i w:val="1"/>
          <w:iCs w:val="1"/>
          <w:color w:val="auto"/>
        </w:rPr>
        <w:t>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1.)</w:t>
      </w:r>
      <w:r>
        <w:rPr>
          <w:sz w:val="20"/>
          <w:szCs w:val="20"/>
          <w:color w:val="auto"/>
        </w:rPr>
        <w:tab/>
      </w:r>
      <w:r>
        <w:rPr>
          <w:rFonts w:ascii="Times New Roman" w:cs="Times New Roman" w:eastAsia="Times New Roman" w:hAnsi="Times New Roman"/>
          <w:sz w:val="22"/>
          <w:szCs w:val="22"/>
          <w:color w:val="auto"/>
        </w:rPr>
        <w:t>“Specific</w:t>
      </w:r>
    </w:p>
    <w:p>
      <w:pPr>
        <w:spacing w:after="0" w:line="13" w:lineRule="exact"/>
        <w:rPr>
          <w:sz w:val="20"/>
          <w:szCs w:val="20"/>
          <w:color w:val="auto"/>
        </w:rPr>
      </w:pPr>
    </w:p>
    <w:p>
      <w:pPr>
        <w:jc w:val="both"/>
        <w:ind w:left="360"/>
        <w:spacing w:after="0" w:line="229" w:lineRule="auto"/>
        <w:rPr>
          <w:sz w:val="20"/>
          <w:szCs w:val="20"/>
          <w:color w:val="auto"/>
        </w:rPr>
      </w:pPr>
      <w:r>
        <w:rPr>
          <w:rFonts w:ascii="Times New Roman" w:cs="Times New Roman" w:eastAsia="Times New Roman" w:hAnsi="Times New Roman"/>
          <w:sz w:val="22"/>
          <w:szCs w:val="22"/>
          <w:color w:val="auto"/>
        </w:rPr>
        <w:t>modulus”: Young’s modulus in pascals, equivalent to N/m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divided by specific weight in N/m³, measured at a temperature of (296</w:t>
      </w:r>
      <w:r>
        <w:rPr>
          <w:rFonts w:ascii="Times New Roman" w:cs="Times New Roman" w:eastAsia="Times New Roman" w:hAnsi="Times New Roman"/>
          <w:sz w:val="22"/>
          <w:szCs w:val="22"/>
          <w:i w:val="1"/>
          <w:iCs w:val="1"/>
          <w:u w:val="single" w:color="auto"/>
          <w:color w:val="auto"/>
        </w:rPr>
        <w:t>+</w:t>
      </w:r>
      <w:r>
        <w:rPr>
          <w:rFonts w:ascii="Times New Roman" w:cs="Times New Roman" w:eastAsia="Times New Roman" w:hAnsi="Times New Roman"/>
          <w:sz w:val="22"/>
          <w:szCs w:val="22"/>
          <w:color w:val="auto"/>
        </w:rPr>
        <w:t>2) K ((23</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2) C) and a relative humidity of (50</w:t>
      </w:r>
      <w:r>
        <w:rPr>
          <w:rFonts w:ascii="Times New Roman" w:cs="Times New Roman" w:eastAsia="Times New Roman" w:hAnsi="Times New Roman"/>
          <w:sz w:val="22"/>
          <w:szCs w:val="22"/>
          <w:i w:val="1"/>
          <w:iCs w:val="1"/>
          <w:u w:val="single" w:color="auto"/>
          <w:color w:val="auto"/>
        </w:rPr>
        <w:t>+</w:t>
      </w:r>
      <w:r>
        <w:rPr>
          <w:rFonts w:ascii="Times New Roman" w:cs="Times New Roman" w:eastAsia="Times New Roman" w:hAnsi="Times New Roman"/>
          <w:sz w:val="22"/>
          <w:szCs w:val="22"/>
          <w:color w:val="auto"/>
        </w:rPr>
        <w:t>5)%. 2.) “Specific tensile strength”: ultimate tensile strength in pascals, equivalent to N/m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divided by specific weight in N/m³, measured at a temperature of (296</w:t>
      </w:r>
      <w:r>
        <w:rPr>
          <w:rFonts w:ascii="Times New Roman" w:cs="Times New Roman" w:eastAsia="Times New Roman" w:hAnsi="Times New Roman"/>
          <w:sz w:val="22"/>
          <w:szCs w:val="22"/>
          <w:i w:val="1"/>
          <w:iCs w:val="1"/>
          <w:u w:val="single" w:color="auto"/>
          <w:color w:val="auto"/>
        </w:rPr>
        <w:t>+</w:t>
      </w:r>
      <w:r>
        <w:rPr>
          <w:rFonts w:ascii="Times New Roman" w:cs="Times New Roman" w:eastAsia="Times New Roman" w:hAnsi="Times New Roman"/>
          <w:sz w:val="22"/>
          <w:szCs w:val="22"/>
          <w:color w:val="auto"/>
        </w:rPr>
        <w:t>2) K ((23</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2) C) and a relative humidity of (50</w:t>
      </w:r>
      <w:r>
        <w:rPr>
          <w:rFonts w:ascii="Times New Roman" w:cs="Times New Roman" w:eastAsia="Times New Roman" w:hAnsi="Times New Roman"/>
          <w:sz w:val="22"/>
          <w:szCs w:val="22"/>
          <w:i w:val="1"/>
          <w:iCs w:val="1"/>
          <w:u w:val="single" w:color="auto"/>
          <w:color w:val="auto"/>
        </w:rPr>
        <w:t>+</w:t>
      </w:r>
      <w:r>
        <w:rPr>
          <w:rFonts w:ascii="Times New Roman" w:cs="Times New Roman" w:eastAsia="Times New Roman" w:hAnsi="Times New Roman"/>
          <w:sz w:val="22"/>
          <w:szCs w:val="22"/>
          <w:color w:val="auto"/>
        </w:rPr>
        <w:t>5)%.</w:t>
      </w:r>
    </w:p>
    <w:p>
      <w:pPr>
        <w:spacing w:after="0" w:line="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5" w:lineRule="exact"/>
        <w:rPr>
          <w:sz w:val="20"/>
          <w:szCs w:val="20"/>
          <w:color w:val="auto"/>
        </w:rPr>
      </w:pPr>
    </w:p>
    <w:p>
      <w:pPr>
        <w:jc w:val="both"/>
        <w:ind w:firstLine="361"/>
        <w:spacing w:after="0" w:line="236" w:lineRule="auto"/>
        <w:tabs>
          <w:tab w:leader="none" w:pos="720" w:val="left"/>
        </w:tabs>
        <w:numPr>
          <w:ilvl w:val="0"/>
          <w:numId w:val="95"/>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 of calculating “specific tensile strength”, “specific modulus” or specific weight of “fibrous or filamentary materials” in</w:t>
      </w:r>
    </w:p>
    <w:p>
      <w:pPr>
        <w:spacing w:after="0" w:line="13" w:lineRule="exact"/>
        <w:rPr>
          <w:rFonts w:ascii="Times New Roman" w:cs="Times New Roman" w:eastAsia="Times New Roman" w:hAnsi="Times New Roman"/>
          <w:sz w:val="22"/>
          <w:szCs w:val="22"/>
          <w:b w:val="1"/>
          <w:bCs w:val="1"/>
          <w:i w:val="1"/>
          <w:iCs w:val="1"/>
          <w:color w:val="auto"/>
        </w:rPr>
      </w:pPr>
    </w:p>
    <w:p>
      <w:pPr>
        <w:jc w:val="both"/>
        <w:spacing w:after="0" w:line="236" w:lineRule="auto"/>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1C010.a, 1C010.b or 1C010.c, the tensile strength and modulus should be determined by using Method A described in ISO 10618 (2004) or national equivalents.</w:t>
      </w:r>
    </w:p>
    <w:p>
      <w:pPr>
        <w:spacing w:after="0" w:line="269" w:lineRule="exact"/>
        <w:rPr>
          <w:rFonts w:ascii="Times New Roman" w:cs="Times New Roman" w:eastAsia="Times New Roman" w:hAnsi="Times New Roman"/>
          <w:sz w:val="22"/>
          <w:szCs w:val="22"/>
          <w:b w:val="1"/>
          <w:bCs w:val="1"/>
          <w:i w:val="1"/>
          <w:iCs w:val="1"/>
          <w:color w:val="auto"/>
        </w:rPr>
      </w:pPr>
    </w:p>
    <w:p>
      <w:pPr>
        <w:jc w:val="both"/>
        <w:ind w:firstLine="361"/>
        <w:spacing w:after="0" w:line="249" w:lineRule="auto"/>
        <w:tabs>
          <w:tab w:leader="none" w:pos="720" w:val="left"/>
        </w:tabs>
        <w:numPr>
          <w:ilvl w:val="0"/>
          <w:numId w:val="95"/>
        </w:numPr>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Assessing the “specific tensile strength”, “specific modulus” or specific weight of non-</w:t>
      </w:r>
    </w:p>
    <w:p>
      <w:pPr>
        <w:spacing w:after="0" w:line="4" w:lineRule="exact"/>
        <w:rPr>
          <w:rFonts w:ascii="Times New Roman" w:cs="Times New Roman" w:eastAsia="Times New Roman" w:hAnsi="Times New Roman"/>
          <w:sz w:val="21"/>
          <w:szCs w:val="21"/>
          <w:b w:val="1"/>
          <w:bCs w:val="1"/>
          <w:i w:val="1"/>
          <w:iCs w:val="1"/>
          <w:color w:val="auto"/>
        </w:rPr>
      </w:pPr>
    </w:p>
    <w:p>
      <w:pPr>
        <w:jc w:val="both"/>
        <w:spacing w:after="0" w:line="251" w:lineRule="auto"/>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unidirectional “fibrous or filamentary materials” (e.g., fabrics, random mats or braids) in 1C010 is to be based on the mechanical properties of the constituent unidirectional monofilaments (e.g., monofilaments, yarns, rovings or tows) prior to processing into the non-</w:t>
      </w:r>
    </w:p>
    <w:p>
      <w:pPr>
        <w:spacing w:after="0" w:line="3" w:lineRule="exact"/>
        <w:rPr>
          <w:rFonts w:ascii="Times New Roman" w:cs="Times New Roman" w:eastAsia="Times New Roman" w:hAnsi="Times New Roman"/>
          <w:sz w:val="21"/>
          <w:szCs w:val="21"/>
          <w:b w:val="1"/>
          <w:bCs w:val="1"/>
          <w:i w:val="1"/>
          <w:iCs w:val="1"/>
          <w:color w:val="auto"/>
        </w:rPr>
      </w:pPr>
    </w:p>
    <w:p>
      <w:pPr>
        <w:spacing w:after="0" w:line="234" w:lineRule="auto"/>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2"/>
          <w:szCs w:val="22"/>
          <w:i w:val="1"/>
          <w:iCs w:val="1"/>
          <w:color w:val="auto"/>
        </w:rPr>
        <w:t>unidirectional “fibrous or filamentary materials”.</w:t>
      </w:r>
    </w:p>
    <w:p>
      <w:pPr>
        <w:spacing w:after="0" w:line="200" w:lineRule="exact"/>
        <w:rPr>
          <w:sz w:val="20"/>
          <w:szCs w:val="20"/>
          <w:color w:val="auto"/>
        </w:rPr>
      </w:pPr>
    </w:p>
    <w:p>
      <w:pPr>
        <w:sectPr>
          <w:pgSz w:w="12240" w:h="15840" w:orient="portrait"/>
          <w:cols w:equalWidth="0" w:num="2">
            <w:col w:w="4460" w:space="580"/>
            <w:col w:w="4320"/>
          </w:cols>
          <w:pgMar w:left="1440" w:top="1293" w:right="1440" w:bottom="124" w:gutter="0" w:footer="0" w:header="0"/>
          <w:type w:val="continuous"/>
        </w:sectPr>
      </w:pPr>
    </w:p>
    <w:p>
      <w:pPr>
        <w:spacing w:after="0" w:line="200" w:lineRule="exact"/>
        <w:rPr>
          <w:sz w:val="20"/>
          <w:szCs w:val="20"/>
          <w:color w:val="auto"/>
        </w:rPr>
      </w:pPr>
    </w:p>
    <w:p>
      <w:pPr>
        <w:spacing w:after="0" w:line="33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2" w:name="page43"/>
    <w:bookmarkEnd w:id="4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43</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Organic “fibrous or filamentary materials”, having all of the following:</w:t>
      </w:r>
    </w:p>
    <w:p>
      <w:pPr>
        <w:spacing w:after="0" w:line="248" w:lineRule="exact"/>
        <w:rPr>
          <w:sz w:val="20"/>
          <w:szCs w:val="20"/>
          <w:color w:val="auto"/>
        </w:rPr>
      </w:pPr>
    </w:p>
    <w:p>
      <w:pPr>
        <w:jc w:val="both"/>
        <w:ind w:firstLine="360"/>
        <w:spacing w:after="0" w:line="213" w:lineRule="auto"/>
        <w:rPr>
          <w:sz w:val="20"/>
          <w:szCs w:val="20"/>
          <w:color w:val="auto"/>
        </w:rPr>
      </w:pPr>
      <w:r>
        <w:rPr>
          <w:rFonts w:ascii="Times New Roman" w:cs="Times New Roman" w:eastAsia="Times New Roman" w:hAnsi="Times New Roman"/>
          <w:sz w:val="22"/>
          <w:szCs w:val="22"/>
          <w:color w:val="auto"/>
        </w:rPr>
        <w:t>a.1. “Specific modulus” exceeding 12.7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a.2. “Specific tensile strength” exceeding 23.5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m;</w:t>
      </w:r>
    </w:p>
    <w:p>
      <w:pPr>
        <w:spacing w:after="0" w:line="195"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1C010.a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polyethylene.</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Carbon “fibrous or filamentary materials”, having all of the following:</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b.1. “Specific modulus” exceeding 14.65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w:t>
      </w:r>
      <w:r>
        <w:rPr>
          <w:rFonts w:ascii="Times New Roman" w:cs="Times New Roman" w:eastAsia="Times New Roman" w:hAnsi="Times New Roman"/>
          <w:sz w:val="22"/>
          <w:szCs w:val="22"/>
          <w:i w:val="1"/>
          <w:iCs w:val="1"/>
          <w:color w:val="auto"/>
        </w:rPr>
        <w:t>and</w:t>
      </w:r>
    </w:p>
    <w:p>
      <w:pPr>
        <w:spacing w:after="0" w:line="19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b.2. “Specific tensile strength” exceeding 26.82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m;</w:t>
      </w:r>
    </w:p>
    <w:p>
      <w:pPr>
        <w:spacing w:after="0" w:line="18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1C010.b does not control:</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i w:val="1"/>
          <w:iCs w:val="1"/>
          <w:color w:val="auto"/>
        </w:rPr>
        <w:t>a. “Fibrous or filamentary materials”, for the repair of “civil aircraft” structures or laminates, having all of the following:</w:t>
      </w:r>
    </w:p>
    <w:p>
      <w:pPr>
        <w:spacing w:after="0" w:line="205" w:lineRule="exact"/>
        <w:rPr>
          <w:sz w:val="20"/>
          <w:szCs w:val="20"/>
          <w:color w:val="auto"/>
        </w:rPr>
      </w:pPr>
    </w:p>
    <w:p>
      <w:pPr>
        <w:ind w:left="1080" w:hanging="360"/>
        <w:spacing w:after="0"/>
        <w:tabs>
          <w:tab w:leader="none" w:pos="1080" w:val="left"/>
        </w:tabs>
        <w:numPr>
          <w:ilvl w:val="2"/>
          <w:numId w:val="9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An area not exceeding 1 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ind w:left="1080" w:hanging="360"/>
        <w:spacing w:after="0" w:line="220" w:lineRule="auto"/>
        <w:tabs>
          <w:tab w:leader="none" w:pos="1080" w:val="left"/>
        </w:tabs>
        <w:numPr>
          <w:ilvl w:val="2"/>
          <w:numId w:val="9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length not exceeding 2.5 m; and</w:t>
      </w:r>
    </w:p>
    <w:p>
      <w:pPr>
        <w:ind w:left="1080" w:hanging="360"/>
        <w:spacing w:after="0"/>
        <w:tabs>
          <w:tab w:leader="none" w:pos="1080" w:val="left"/>
        </w:tabs>
        <w:numPr>
          <w:ilvl w:val="2"/>
          <w:numId w:val="9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width exceeding 15 mm.</w:t>
      </w:r>
    </w:p>
    <w:p>
      <w:pPr>
        <w:spacing w:after="0" w:line="265" w:lineRule="exact"/>
        <w:rPr>
          <w:rFonts w:ascii="Times New Roman" w:cs="Times New Roman" w:eastAsia="Times New Roman" w:hAnsi="Times New Roman"/>
          <w:sz w:val="22"/>
          <w:szCs w:val="22"/>
          <w:i w:val="1"/>
          <w:iCs w:val="1"/>
          <w:color w:val="auto"/>
        </w:rPr>
      </w:pPr>
    </w:p>
    <w:p>
      <w:pPr>
        <w:jc w:val="both"/>
        <w:ind w:firstLine="360"/>
        <w:spacing w:after="0" w:line="235"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 Mechanically chopped, milled or cut carbon “fibrous or filamentary materials” 25.0 mm or less in length.</w:t>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c. Inorganic “fibrous or filamentary materials”, having all of the following:</w:t>
      </w:r>
    </w:p>
    <w:p>
      <w:pPr>
        <w:spacing w:after="0" w:line="246" w:lineRule="exact"/>
        <w:rPr>
          <w:sz w:val="20"/>
          <w:szCs w:val="20"/>
          <w:color w:val="auto"/>
        </w:rPr>
      </w:pPr>
    </w:p>
    <w:p>
      <w:pPr>
        <w:jc w:val="both"/>
        <w:ind w:firstLine="360"/>
        <w:spacing w:after="0" w:line="213" w:lineRule="auto"/>
        <w:rPr>
          <w:sz w:val="20"/>
          <w:szCs w:val="20"/>
          <w:color w:val="auto"/>
        </w:rPr>
      </w:pPr>
      <w:r>
        <w:rPr>
          <w:rFonts w:ascii="Times New Roman" w:cs="Times New Roman" w:eastAsia="Times New Roman" w:hAnsi="Times New Roman"/>
          <w:sz w:val="22"/>
          <w:szCs w:val="22"/>
          <w:color w:val="auto"/>
        </w:rPr>
        <w:t>c.1. “Specific modulus” exceeding 2.54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and</w:t>
      </w:r>
    </w:p>
    <w:p>
      <w:pPr>
        <w:spacing w:after="0" w:line="268"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c.2. Melting, softening, decomposition or sublimation point exceeding 1,922 K (1,649 ºC) in an inert environment;</w:t>
      </w:r>
    </w:p>
    <w:p>
      <w:pPr>
        <w:spacing w:after="0" w:line="257" w:lineRule="exact"/>
        <w:rPr>
          <w:sz w:val="20"/>
          <w:szCs w:val="20"/>
          <w:color w:val="auto"/>
        </w:rPr>
      </w:pPr>
    </w:p>
    <w:p>
      <w:pPr>
        <w:ind w:left="360"/>
        <w:spacing w:after="0"/>
        <w:tabs>
          <w:tab w:leader="none" w:pos="102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2"/>
          <w:szCs w:val="22"/>
          <w:i w:val="1"/>
          <w:iCs w:val="1"/>
          <w:color w:val="auto"/>
        </w:rPr>
        <w:t>1C010.c does not control:</w:t>
      </w:r>
    </w:p>
    <w:p>
      <w:pPr>
        <w:spacing w:after="0" w:line="266"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1"/>
          <w:szCs w:val="21"/>
          <w:i w:val="1"/>
          <w:iCs w:val="1"/>
          <w:color w:val="auto"/>
        </w:rPr>
        <w:t>a. Discontinuous, multiphase, polycrystalline alumina fibers in chopped fiber or random mat form, containing 3% by weight or</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spacing w:after="0" w:line="236" w:lineRule="auto"/>
        <w:rPr>
          <w:sz w:val="20"/>
          <w:szCs w:val="20"/>
          <w:color w:val="auto"/>
        </w:rPr>
      </w:pPr>
      <w:r>
        <w:rPr>
          <w:rFonts w:ascii="Times New Roman" w:cs="Times New Roman" w:eastAsia="Times New Roman" w:hAnsi="Times New Roman"/>
          <w:sz w:val="22"/>
          <w:szCs w:val="22"/>
          <w:i w:val="1"/>
          <w:iCs w:val="1"/>
          <w:color w:val="auto"/>
        </w:rPr>
        <w:t>more silica, with a “specific modulus” of less than 10 x 10</w:t>
      </w:r>
      <w:r>
        <w:rPr>
          <w:rFonts w:ascii="Times New Roman" w:cs="Times New Roman" w:eastAsia="Times New Roman" w:hAnsi="Times New Roman"/>
          <w:sz w:val="28"/>
          <w:szCs w:val="28"/>
          <w:i w:val="1"/>
          <w:iCs w:val="1"/>
          <w:color w:val="auto"/>
          <w:vertAlign w:val="superscript"/>
        </w:rPr>
        <w:t>6</w:t>
      </w:r>
      <w:r>
        <w:rPr>
          <w:rFonts w:ascii="Times New Roman" w:cs="Times New Roman" w:eastAsia="Times New Roman" w:hAnsi="Times New Roman"/>
          <w:sz w:val="22"/>
          <w:szCs w:val="22"/>
          <w:i w:val="1"/>
          <w:iCs w:val="1"/>
          <w:color w:val="auto"/>
        </w:rPr>
        <w:t xml:space="preserve"> m;</w:t>
      </w:r>
    </w:p>
    <w:p>
      <w:pPr>
        <w:spacing w:after="0" w:line="182" w:lineRule="exact"/>
        <w:rPr>
          <w:sz w:val="20"/>
          <w:szCs w:val="20"/>
          <w:color w:val="auto"/>
        </w:rPr>
      </w:pPr>
    </w:p>
    <w:p>
      <w:pPr>
        <w:ind w:left="720"/>
        <w:spacing w:after="0"/>
        <w:tabs>
          <w:tab w:leader="none" w:pos="1040" w:val="left"/>
        </w:tabs>
        <w:rPr>
          <w:sz w:val="20"/>
          <w:szCs w:val="20"/>
          <w:color w:val="auto"/>
        </w:rPr>
      </w:pPr>
      <w:r>
        <w:rPr>
          <w:rFonts w:ascii="Times New Roman" w:cs="Times New Roman" w:eastAsia="Times New Roman" w:hAnsi="Times New Roman"/>
          <w:sz w:val="22"/>
          <w:szCs w:val="22"/>
          <w:i w:val="1"/>
          <w:iCs w:val="1"/>
          <w:color w:val="auto"/>
        </w:rPr>
        <w:t>b.</w:t>
        <w:tab/>
        <w:t>Molybdenum and molybdenum alloy</w:t>
      </w:r>
    </w:p>
    <w:p>
      <w:pPr>
        <w:spacing w:after="0"/>
        <w:rPr>
          <w:sz w:val="20"/>
          <w:szCs w:val="20"/>
          <w:color w:val="auto"/>
        </w:rPr>
      </w:pPr>
      <w:r>
        <w:rPr>
          <w:rFonts w:ascii="Times New Roman" w:cs="Times New Roman" w:eastAsia="Times New Roman" w:hAnsi="Times New Roman"/>
          <w:sz w:val="22"/>
          <w:szCs w:val="22"/>
          <w:i w:val="1"/>
          <w:iCs w:val="1"/>
          <w:color w:val="auto"/>
        </w:rPr>
        <w:t>fibers;</w:t>
      </w:r>
    </w:p>
    <w:p>
      <w:pPr>
        <w:spacing w:after="0" w:line="252" w:lineRule="exact"/>
        <w:rPr>
          <w:sz w:val="20"/>
          <w:szCs w:val="20"/>
          <w:color w:val="auto"/>
        </w:rPr>
      </w:pPr>
    </w:p>
    <w:p>
      <w:pPr>
        <w:ind w:left="1060" w:hanging="339"/>
        <w:spacing w:after="0"/>
        <w:tabs>
          <w:tab w:leader="none" w:pos="1060" w:val="left"/>
        </w:tabs>
        <w:numPr>
          <w:ilvl w:val="1"/>
          <w:numId w:val="9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Boron fibers;</w:t>
      </w:r>
    </w:p>
    <w:p>
      <w:pPr>
        <w:spacing w:after="0" w:line="265" w:lineRule="exact"/>
        <w:rPr>
          <w:rFonts w:ascii="Times New Roman" w:cs="Times New Roman" w:eastAsia="Times New Roman" w:hAnsi="Times New Roman"/>
          <w:sz w:val="22"/>
          <w:szCs w:val="22"/>
          <w:i w:val="1"/>
          <w:iCs w:val="1"/>
          <w:color w:val="auto"/>
        </w:rPr>
      </w:pPr>
    </w:p>
    <w:p>
      <w:pPr>
        <w:jc w:val="both"/>
        <w:ind w:firstLine="721"/>
        <w:spacing w:after="0" w:line="236" w:lineRule="auto"/>
        <w:tabs>
          <w:tab w:leader="none" w:pos="1080" w:val="left"/>
        </w:tabs>
        <w:numPr>
          <w:ilvl w:val="1"/>
          <w:numId w:val="9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Discontinuous ceramic fibers with a melting, softening, decomposition or sublimation point lower than 2,043 K (1,770ºC) in an inert environment.</w:t>
      </w:r>
    </w:p>
    <w:p>
      <w:pPr>
        <w:spacing w:after="0" w:line="268" w:lineRule="exact"/>
        <w:rPr>
          <w:rFonts w:ascii="Times New Roman" w:cs="Times New Roman" w:eastAsia="Times New Roman" w:hAnsi="Times New Roman"/>
          <w:sz w:val="22"/>
          <w:szCs w:val="22"/>
          <w:i w:val="1"/>
          <w:iCs w:val="1"/>
          <w:color w:val="auto"/>
        </w:rPr>
      </w:pPr>
    </w:p>
    <w:p>
      <w:pPr>
        <w:ind w:firstLine="1"/>
        <w:spacing w:after="0" w:line="234" w:lineRule="auto"/>
        <w:tabs>
          <w:tab w:leader="none" w:pos="383" w:val="left"/>
        </w:tabs>
        <w:numPr>
          <w:ilvl w:val="0"/>
          <w:numId w:val="9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“Fibrous or filamentary materials”, having any of the following:</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d.1.</w:t>
        <w:tab/>
        <w:t>Composed of any of the following:</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d.1.a. Polyetherimides controlled by 1C008.a;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d.1.b. Materials controlled by 1C008.b to 1C008.f;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d.2. Composed of materials controlled by 1C010.d.1.a or 1C010.d.1.b and ‘commingled’ with other fibers controlled by 1C010.a, 1C010.b or 1C010.c;</w:t>
      </w:r>
    </w:p>
    <w:p>
      <w:pPr>
        <w:spacing w:after="0" w:line="271"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‘Commingled’ is filament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filament blending of thermoplastic fibers and reinforcement fibers in order to produce a fiber reinforcement “matrix” mix in total fiber form.</w:t>
      </w:r>
    </w:p>
    <w:p>
      <w:pPr>
        <w:spacing w:after="0" w:line="269" w:lineRule="exact"/>
        <w:rPr>
          <w:sz w:val="20"/>
          <w:szCs w:val="20"/>
          <w:color w:val="auto"/>
        </w:rPr>
      </w:pPr>
    </w:p>
    <w:p>
      <w:pPr>
        <w:jc w:val="both"/>
        <w:ind w:firstLine="1"/>
        <w:spacing w:after="0" w:line="234" w:lineRule="auto"/>
        <w:tabs>
          <w:tab w:leader="none" w:pos="329" w:val="left"/>
        </w:tabs>
        <w:numPr>
          <w:ilvl w:val="0"/>
          <w:numId w:val="9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Fully or partially resin impregnated or pitch impregnated “fibrous or filamentary materials”</w:t>
      </w:r>
    </w:p>
    <w:p>
      <w:pPr>
        <w:spacing w:after="0" w:line="13"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(prepregs), metal or carbon coated “fibrous or filamentary materials” (preforms) or ‘carbon fiber preforms’, having all of the following:</w:t>
      </w:r>
    </w:p>
    <w:p>
      <w:pPr>
        <w:spacing w:after="0" w:line="256" w:lineRule="exact"/>
        <w:rPr>
          <w:sz w:val="20"/>
          <w:szCs w:val="20"/>
          <w:color w:val="auto"/>
        </w:rPr>
      </w:pPr>
    </w:p>
    <w:p>
      <w:pPr>
        <w:jc w:val="center"/>
        <w:ind w:right="680"/>
        <w:spacing w:after="0"/>
        <w:rPr>
          <w:sz w:val="20"/>
          <w:szCs w:val="20"/>
          <w:color w:val="auto"/>
        </w:rPr>
      </w:pPr>
      <w:r>
        <w:rPr>
          <w:rFonts w:ascii="Times New Roman" w:cs="Times New Roman" w:eastAsia="Times New Roman" w:hAnsi="Times New Roman"/>
          <w:sz w:val="22"/>
          <w:szCs w:val="22"/>
          <w:color w:val="auto"/>
        </w:rPr>
        <w:t>e.1. Having any of the following:</w:t>
      </w:r>
    </w:p>
    <w:p>
      <w:pPr>
        <w:spacing w:after="0" w:line="266"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color w:val="auto"/>
        </w:rPr>
        <w:t xml:space="preserve">e.1.a. Inorganic “fibrous or filamentary materials” controlled by 1C010.c;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e.1.b. Organic or carbon “fibrous or filamentary materials”, having all of the following:</w:t>
      </w:r>
    </w:p>
    <w:p>
      <w:pPr>
        <w:spacing w:after="0" w:line="716"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0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3" w:name="page44"/>
    <w:bookmarkEnd w:id="4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44</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firstLine="1080"/>
        <w:spacing w:after="0" w:line="236" w:lineRule="auto"/>
        <w:rPr>
          <w:sz w:val="20"/>
          <w:szCs w:val="20"/>
          <w:color w:val="auto"/>
        </w:rPr>
      </w:pPr>
      <w:r>
        <w:rPr>
          <w:rFonts w:ascii="Times New Roman" w:cs="Times New Roman" w:eastAsia="Times New Roman" w:hAnsi="Times New Roman"/>
          <w:sz w:val="22"/>
          <w:szCs w:val="22"/>
          <w:color w:val="auto"/>
        </w:rPr>
        <w:t>e.1.b.1. “Specific modulus” exceeding 10.15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w:t>
      </w:r>
      <w:r>
        <w:rPr>
          <w:rFonts w:ascii="Times New Roman" w:cs="Times New Roman" w:eastAsia="Times New Roman" w:hAnsi="Times New Roman"/>
          <w:sz w:val="22"/>
          <w:szCs w:val="22"/>
          <w:i w:val="1"/>
          <w:iCs w:val="1"/>
          <w:color w:val="auto"/>
        </w:rPr>
        <w:t>and</w:t>
      </w:r>
    </w:p>
    <w:p>
      <w:pPr>
        <w:spacing w:after="0" w:line="195" w:lineRule="exact"/>
        <w:rPr>
          <w:sz w:val="20"/>
          <w:szCs w:val="20"/>
          <w:color w:val="auto"/>
        </w:rPr>
      </w:pPr>
    </w:p>
    <w:p>
      <w:pPr>
        <w:jc w:val="both"/>
        <w:ind w:firstLine="1080"/>
        <w:spacing w:after="0" w:line="236" w:lineRule="auto"/>
        <w:rPr>
          <w:sz w:val="20"/>
          <w:szCs w:val="20"/>
          <w:color w:val="auto"/>
        </w:rPr>
      </w:pPr>
      <w:r>
        <w:rPr>
          <w:rFonts w:ascii="Times New Roman" w:cs="Times New Roman" w:eastAsia="Times New Roman" w:hAnsi="Times New Roman"/>
          <w:sz w:val="22"/>
          <w:szCs w:val="22"/>
          <w:color w:val="auto"/>
        </w:rPr>
        <w:t>e.1.b.2 “Specific tensile strength” exceeding 17.7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m; </w:t>
      </w:r>
      <w:r>
        <w:rPr>
          <w:rFonts w:ascii="Times New Roman" w:cs="Times New Roman" w:eastAsia="Times New Roman" w:hAnsi="Times New Roman"/>
          <w:sz w:val="22"/>
          <w:szCs w:val="22"/>
          <w:i w:val="1"/>
          <w:iCs w:val="1"/>
          <w:color w:val="auto"/>
        </w:rPr>
        <w:t>and</w:t>
      </w:r>
    </w:p>
    <w:p>
      <w:pPr>
        <w:spacing w:after="0" w:line="180"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e.2.</w:t>
        <w:tab/>
        <w:t>Having any of the following:</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e.2.a. Resin or pitch, controlled by 1C008 or 1C009.b;</w:t>
      </w:r>
    </w:p>
    <w:p>
      <w:pPr>
        <w:spacing w:after="0" w:line="265"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color w:val="auto"/>
        </w:rPr>
        <w:t>e.2.b. ‘Dynamic Mechanical Analysis glass transition temperature (DMA T</w:t>
      </w:r>
      <w:r>
        <w:rPr>
          <w:rFonts w:ascii="Times New Roman" w:cs="Times New Roman" w:eastAsia="Times New Roman" w:hAnsi="Times New Roman"/>
          <w:sz w:val="14"/>
          <w:szCs w:val="14"/>
          <w:color w:val="auto"/>
        </w:rPr>
        <w:t>g</w:t>
      </w:r>
      <w:r>
        <w:rPr>
          <w:rFonts w:ascii="Times New Roman" w:cs="Times New Roman" w:eastAsia="Times New Roman" w:hAnsi="Times New Roman"/>
          <w:sz w:val="22"/>
          <w:szCs w:val="22"/>
          <w:color w:val="auto"/>
        </w:rPr>
        <w:t xml:space="preserve">)’ equal to or exceeding 453 K (180ºC) and having a phenolic resin;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color w:val="auto"/>
        </w:rPr>
        <w:t>e.2.c. ‘Dynamic Mechanical Analysis glass transition temperature (DMA T</w:t>
      </w:r>
      <w:r>
        <w:rPr>
          <w:rFonts w:ascii="Times New Roman" w:cs="Times New Roman" w:eastAsia="Times New Roman" w:hAnsi="Times New Roman"/>
          <w:sz w:val="14"/>
          <w:szCs w:val="14"/>
          <w:color w:val="auto"/>
        </w:rPr>
        <w:t>g</w:t>
      </w:r>
      <w:r>
        <w:rPr>
          <w:rFonts w:ascii="Times New Roman" w:cs="Times New Roman" w:eastAsia="Times New Roman" w:hAnsi="Times New Roman"/>
          <w:sz w:val="22"/>
          <w:szCs w:val="22"/>
          <w:color w:val="auto"/>
        </w:rPr>
        <w:t>)’ equal to or exceeding 505 K (232ºC) and having a resin or pitch, not specified by 1C008 or 1C009.b, and not being a phenolic resin;</w:t>
      </w:r>
    </w:p>
    <w:p>
      <w:pPr>
        <w:spacing w:after="0" w:line="270"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Metal or carbon coated “fibrous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filamentary materials” (preforms) or ‘carbon fiber preforms’, not impregnated with resin or pitch, are specified by “fibrous or filamentary materials” in 1C010.a, 1C010.b or 1C010.c.</w:t>
      </w:r>
    </w:p>
    <w:p>
      <w:pPr>
        <w:spacing w:after="0" w:line="257" w:lineRule="exact"/>
        <w:rPr>
          <w:sz w:val="20"/>
          <w:szCs w:val="20"/>
          <w:color w:val="auto"/>
        </w:rPr>
      </w:pPr>
    </w:p>
    <w:p>
      <w:pPr>
        <w:ind w:left="360"/>
        <w:spacing w:after="0"/>
        <w:tabs>
          <w:tab w:leader="none" w:pos="1180" w:val="left"/>
        </w:tabs>
        <w:rPr>
          <w:sz w:val="20"/>
          <w:szCs w:val="20"/>
          <w:color w:val="auto"/>
        </w:rPr>
      </w:pPr>
      <w:r>
        <w:rPr>
          <w:rFonts w:ascii="Times New Roman" w:cs="Times New Roman" w:eastAsia="Times New Roman" w:hAnsi="Times New Roman"/>
          <w:sz w:val="22"/>
          <w:szCs w:val="22"/>
          <w:b w:val="1"/>
          <w:bCs w:val="1"/>
          <w:i w:val="1"/>
          <w:iCs w:val="1"/>
          <w:color w:val="auto"/>
        </w:rPr>
        <w:t>Note 2:</w:t>
      </w:r>
      <w:r>
        <w:rPr>
          <w:sz w:val="20"/>
          <w:szCs w:val="20"/>
          <w:color w:val="auto"/>
        </w:rPr>
        <w:tab/>
      </w:r>
      <w:r>
        <w:rPr>
          <w:rFonts w:ascii="Times New Roman" w:cs="Times New Roman" w:eastAsia="Times New Roman" w:hAnsi="Times New Roman"/>
          <w:sz w:val="22"/>
          <w:szCs w:val="22"/>
          <w:i w:val="1"/>
          <w:iCs w:val="1"/>
          <w:color w:val="auto"/>
        </w:rPr>
        <w:t>1C010.e does not apply to:</w:t>
      </w:r>
    </w:p>
    <w:p>
      <w:pPr>
        <w:spacing w:after="0" w:line="266"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1"/>
          <w:szCs w:val="21"/>
          <w:i w:val="1"/>
          <w:iCs w:val="1"/>
          <w:color w:val="auto"/>
        </w:rPr>
        <w:t>a. Epoxy resin “matrix” impregnated carbon “fibrous or filamentary materials” (prepregs) for the repair of “civil aircraft” structures or laminates, having all of the following:</w:t>
      </w:r>
    </w:p>
    <w:p>
      <w:pPr>
        <w:spacing w:after="0" w:line="198" w:lineRule="exact"/>
        <w:rPr>
          <w:sz w:val="20"/>
          <w:szCs w:val="20"/>
          <w:color w:val="auto"/>
        </w:rPr>
      </w:pPr>
    </w:p>
    <w:p>
      <w:pPr>
        <w:ind w:left="720" w:hanging="360"/>
        <w:spacing w:after="0"/>
        <w:tabs>
          <w:tab w:leader="none" w:pos="720" w:val="left"/>
        </w:tabs>
        <w:numPr>
          <w:ilvl w:val="1"/>
          <w:numId w:val="10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An area not exceeding 1 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ind w:left="720" w:hanging="360"/>
        <w:spacing w:after="0" w:line="220" w:lineRule="auto"/>
        <w:tabs>
          <w:tab w:leader="none" w:pos="720" w:val="left"/>
        </w:tabs>
        <w:numPr>
          <w:ilvl w:val="1"/>
          <w:numId w:val="10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length not exceeding 2.5 m; and</w:t>
      </w:r>
    </w:p>
    <w:p>
      <w:pPr>
        <w:ind w:left="720" w:hanging="360"/>
        <w:spacing w:after="0"/>
        <w:tabs>
          <w:tab w:leader="none" w:pos="720" w:val="left"/>
        </w:tabs>
        <w:numPr>
          <w:ilvl w:val="1"/>
          <w:numId w:val="10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width exceeding 15 mm;</w:t>
      </w:r>
    </w:p>
    <w:p>
      <w:pPr>
        <w:spacing w:after="0" w:line="264" w:lineRule="exact"/>
        <w:rPr>
          <w:rFonts w:ascii="Times New Roman" w:cs="Times New Roman" w:eastAsia="Times New Roman" w:hAnsi="Times New Roman"/>
          <w:sz w:val="22"/>
          <w:szCs w:val="22"/>
          <w:i w:val="1"/>
          <w:iCs w:val="1"/>
          <w:color w:val="auto"/>
        </w:rPr>
      </w:pPr>
    </w:p>
    <w:p>
      <w:pPr>
        <w:jc w:val="both"/>
        <w:spacing w:after="0" w:line="251"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1"/>
          <w:szCs w:val="21"/>
          <w:i w:val="1"/>
          <w:iCs w:val="1"/>
          <w:color w:val="auto"/>
        </w:rPr>
        <w:t>b. Fully or partially resin-impregnated or pitch-impregnated mechanically chopped, milled or cut carbon "fibrous or filamentary materials" 25.0 mm or less in length when using a resin or pitch other than those specified by 1C008 or 1C009.b</w:t>
      </w:r>
      <w:r>
        <w:rPr>
          <w:rFonts w:ascii="Times New Roman" w:cs="Times New Roman" w:eastAsia="Times New Roman" w:hAnsi="Times New Roman"/>
          <w:sz w:val="21"/>
          <w:szCs w:val="21"/>
          <w:b w:val="1"/>
          <w:bCs w:val="1"/>
          <w:i w:val="1"/>
          <w:iCs w:val="1"/>
          <w:color w:val="auto"/>
        </w:rPr>
        <w:t>.</w:t>
      </w:r>
    </w:p>
    <w:p>
      <w:pPr>
        <w:spacing w:after="0" w:line="24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6" w:lineRule="exact"/>
        <w:rPr>
          <w:sz w:val="20"/>
          <w:szCs w:val="20"/>
          <w:color w:val="auto"/>
        </w:rPr>
      </w:pPr>
    </w:p>
    <w:p>
      <w:pPr>
        <w:jc w:val="both"/>
        <w:ind w:firstLine="360"/>
        <w:spacing w:after="0" w:line="235" w:lineRule="auto"/>
        <w:tabs>
          <w:tab w:leader="none" w:pos="720" w:val="left"/>
        </w:tabs>
        <w:numPr>
          <w:ilvl w:val="0"/>
          <w:numId w:val="10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‘Carbon fiber preforms’ are an ordered arrangement of uncoated or coated fibers intended to constitute a framework of a part</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i w:val="1"/>
          <w:iCs w:val="1"/>
          <w:color w:val="auto"/>
        </w:rPr>
        <w:t>before the “matrix” is introduced to form a “composite”.</w:t>
      </w:r>
    </w:p>
    <w:p>
      <w:pPr>
        <w:spacing w:after="0" w:line="267" w:lineRule="exact"/>
        <w:rPr>
          <w:sz w:val="20"/>
          <w:szCs w:val="20"/>
          <w:color w:val="auto"/>
        </w:rPr>
      </w:pPr>
    </w:p>
    <w:p>
      <w:pPr>
        <w:jc w:val="both"/>
        <w:ind w:firstLine="361"/>
        <w:spacing w:after="0" w:line="238" w:lineRule="auto"/>
        <w:tabs>
          <w:tab w:leader="none" w:pos="598" w:val="left"/>
        </w:tabs>
        <w:numPr>
          <w:ilvl w:val="0"/>
          <w:numId w:val="102"/>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‘Dynamic Mechanical Analysis glass transition temperature (DMA T</w:t>
      </w:r>
      <w:r>
        <w:rPr>
          <w:rFonts w:ascii="Times New Roman" w:cs="Times New Roman" w:eastAsia="Times New Roman" w:hAnsi="Times New Roman"/>
          <w:sz w:val="14"/>
          <w:szCs w:val="14"/>
          <w:i w:val="1"/>
          <w:iCs w:val="1"/>
          <w:color w:val="auto"/>
        </w:rPr>
        <w:t>g</w:t>
      </w:r>
      <w:r>
        <w:rPr>
          <w:rFonts w:ascii="Times New Roman" w:cs="Times New Roman" w:eastAsia="Times New Roman" w:hAnsi="Times New Roman"/>
          <w:sz w:val="22"/>
          <w:szCs w:val="22"/>
          <w:i w:val="1"/>
          <w:iCs w:val="1"/>
          <w:color w:val="auto"/>
        </w:rPr>
        <w:t>)’ for materials controlled by 1C010.e is determined using the method described in ASTM D 7028 -07, or equivalent national standard, on a dry test specimen. In the case of thermoset materials, degree of cure of a dry test specimen shall be a minimum of 90% as defined by ASTM E 2160 04 or equivalent national standard.</w:t>
      </w:r>
    </w:p>
    <w:p>
      <w:pPr>
        <w:spacing w:after="0" w:line="200" w:lineRule="exact"/>
        <w:rPr>
          <w:sz w:val="20"/>
          <w:szCs w:val="20"/>
          <w:color w:val="auto"/>
        </w:rPr>
      </w:pPr>
    </w:p>
    <w:p>
      <w:pPr>
        <w:spacing w:after="0" w:line="32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1C011 Metals and compounds,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4" o:spid="_x0000_s11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5" o:spid="_x0000_s1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821055</wp:posOffset>
                </wp:positionV>
                <wp:extent cx="2635250" cy="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86" o:spid="_x0000_s11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5pt" to="208.65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1477645"/>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7764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7" o:spid="_x0000_s11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129.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1469390</wp:posOffset>
                </wp:positionV>
                <wp:extent cx="2635250" cy="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8" o:spid="_x0000_s11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15.7pt" to="208.65pt,115.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1477645"/>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7764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129.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1477645"/>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7764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129.15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3"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1" w:lineRule="exact"/>
        <w:rPr>
          <w:sz w:val="20"/>
          <w:szCs w:val="20"/>
          <w:color w:val="auto"/>
        </w:rPr>
      </w:pPr>
    </w:p>
    <w:p>
      <w:pPr>
        <w:jc w:val="center"/>
        <w:ind w:right="66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23" w:lineRule="exact"/>
        <w:rPr>
          <w:sz w:val="20"/>
          <w:szCs w:val="20"/>
          <w:color w:val="auto"/>
        </w:rPr>
      </w:pPr>
    </w:p>
    <w:p>
      <w:pPr>
        <w:ind w:left="40" w:right="680"/>
        <w:spacing w:after="0" w:line="235" w:lineRule="auto"/>
        <w:rPr>
          <w:sz w:val="20"/>
          <w:szCs w:val="20"/>
          <w:color w:val="auto"/>
        </w:rPr>
      </w:pPr>
      <w:r>
        <w:rPr>
          <w:rFonts w:ascii="Times New Roman" w:cs="Times New Roman" w:eastAsia="Times New Roman" w:hAnsi="Times New Roman"/>
          <w:sz w:val="22"/>
          <w:szCs w:val="22"/>
          <w:color w:val="auto"/>
        </w:rPr>
        <w:t>MT applies to 1C011.a MT Column 1 and .b for items that meet or exceed the parameters</w:t>
      </w:r>
    </w:p>
    <w:p>
      <w:pPr>
        <w:spacing w:after="0" w:line="3"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in 1C111.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1" o:spid="_x0000_s11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1C111 and 1C608</w:t>
      </w:r>
      <w:r>
        <w:rPr>
          <w:rFonts w:ascii="Times New Roman" w:cs="Times New Roman" w:eastAsia="Times New Roman" w:hAnsi="Times New Roman"/>
          <w:sz w:val="22"/>
          <w:szCs w:val="22"/>
          <w:color w:val="000000"/>
        </w:rPr>
        <w:t>. (2) All of the following</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are “subject to the ITAR” (see 22 CFR parts 120 through 130): a) Materials controlled by </w:t>
      </w:r>
      <w:r>
        <w:rPr>
          <w:rFonts w:ascii="Times New Roman" w:cs="Times New Roman" w:eastAsia="Times New Roman" w:hAnsi="Times New Roman"/>
          <w:sz w:val="22"/>
          <w:szCs w:val="22"/>
          <w:u w:val="single" w:color="auto"/>
          <w:color w:val="0000FF"/>
        </w:rPr>
        <w:t>1C011.a</w:t>
      </w:r>
      <w:r>
        <w:rPr>
          <w:rFonts w:ascii="Times New Roman" w:cs="Times New Roman" w:eastAsia="Times New Roman" w:hAnsi="Times New Roman"/>
          <w:sz w:val="22"/>
          <w:szCs w:val="22"/>
          <w:color w:val="000000"/>
        </w:rPr>
        <w:t xml:space="preserve">, and metal fuels in particle form, whether spherical, atomized, spheroidal, flaked or ground, manufactured from material consisting of 99 percent or more of items controlled by </w:t>
      </w:r>
      <w:r>
        <w:rPr>
          <w:rFonts w:ascii="Times New Roman" w:cs="Times New Roman" w:eastAsia="Times New Roman" w:hAnsi="Times New Roman"/>
          <w:sz w:val="22"/>
          <w:szCs w:val="22"/>
          <w:u w:val="single" w:color="auto"/>
          <w:color w:val="0000FF"/>
        </w:rPr>
        <w:t>1C011.b</w:t>
      </w:r>
      <w:r>
        <w:rPr>
          <w:rFonts w:ascii="Times New Roman" w:cs="Times New Roman" w:eastAsia="Times New Roman" w:hAnsi="Times New Roman"/>
          <w:sz w:val="22"/>
          <w:szCs w:val="22"/>
          <w:color w:val="000000"/>
        </w:rPr>
        <w:t>; and b) Metal</w:t>
      </w:r>
    </w:p>
    <w:p>
      <w:pPr>
        <w:spacing w:after="0" w:line="407"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4" w:name="page45"/>
    <w:bookmarkEnd w:id="4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45</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powders mixed with other substances to form a mixture formulated for military purposes.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jc w:val="both"/>
        <w:spacing w:after="0" w:line="237" w:lineRule="auto"/>
        <w:tabs>
          <w:tab w:leader="none" w:pos="344" w:val="left"/>
        </w:tabs>
        <w:numPr>
          <w:ilvl w:val="0"/>
          <w:numId w:val="10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Metals </w:t>
      </w:r>
      <w:r>
        <w:rPr>
          <w:rFonts w:ascii="Times New Roman" w:cs="Times New Roman" w:eastAsia="Times New Roman" w:hAnsi="Times New Roman"/>
          <w:sz w:val="22"/>
          <w:szCs w:val="22"/>
          <w:color w:val="auto"/>
        </w:rPr>
        <w:t>in particle sizes of less than 60 μm</w:t>
      </w:r>
      <w:r>
        <w:rPr>
          <w:rFonts w:ascii="Times New Roman" w:cs="Times New Roman" w:eastAsia="Times New Roman" w:hAnsi="Times New Roman"/>
          <w:sz w:val="22"/>
          <w:szCs w:val="22"/>
          <w:color w:val="auto"/>
        </w:rPr>
        <w:t xml:space="preserve"> whether spherical, atomized, spheroidal, flaked or ground, manufactured from material consisting of 99% or more of zirconium, magnesium and alloys thereof;</w:t>
      </w:r>
    </w:p>
    <w:p>
      <w:pPr>
        <w:spacing w:after="0" w:line="270"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natural content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hafnium in the zirconium (typically 2% to 7%) is counted with the zirconium.</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metals or alloys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1C011.a also refer to metals or alloys encapsulated in aluminum, magnesium, zirconium or beryllium.</w:t>
      </w:r>
    </w:p>
    <w:p>
      <w:pPr>
        <w:spacing w:after="0" w:line="269"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color w:val="auto"/>
        </w:rPr>
        <w:t xml:space="preserve">b. Boron or boron alloys, with a particle size of </w:t>
      </w:r>
      <w:r>
        <w:rPr>
          <w:rFonts w:ascii="Times New Roman" w:cs="Times New Roman" w:eastAsia="Times New Roman" w:hAnsi="Times New Roman"/>
          <w:sz w:val="22"/>
          <w:szCs w:val="22"/>
          <w:color w:val="auto"/>
        </w:rPr>
        <w:t>60 μm or less, as follows:</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b.1. Boron with a purity of 85% by weight or more;</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b.2. Boron alloys with a boron content of 85% by weight or more;</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metals or alloys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1C011.b also refer to metals or alloys encapsulated in aluminum, magnesium, zirconium or beryllium.</w:t>
      </w:r>
    </w:p>
    <w:p>
      <w:pPr>
        <w:spacing w:after="0" w:line="256" w:lineRule="exact"/>
        <w:rPr>
          <w:sz w:val="20"/>
          <w:szCs w:val="20"/>
          <w:color w:val="auto"/>
        </w:rPr>
      </w:pPr>
    </w:p>
    <w:p>
      <w:pPr>
        <w:ind w:left="320" w:hanging="320"/>
        <w:spacing w:after="0"/>
        <w:tabs>
          <w:tab w:leader="none" w:pos="320" w:val="left"/>
        </w:tabs>
        <w:numPr>
          <w:ilvl w:val="0"/>
          <w:numId w:val="10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Guanidine nitrate (CAS 506-93-4);</w:t>
      </w:r>
    </w:p>
    <w:p>
      <w:pPr>
        <w:spacing w:after="0" w:line="253"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10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Nitroguanidine (NQ) (CAS 556-88-7).</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under 1C018.b through .m. (2) See ECCNs 1C011, 1C111, and 1C239 for additional controlled energetic materials, including chlorine trifluoride (ClF</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which is controlled under ECCN 1C111.a.3.f. (3) See ECCN 1A008 for shaped charges, detonating cord, and cutters and severing tools.</w:t>
      </w:r>
    </w:p>
    <w:p>
      <w:pPr>
        <w:spacing w:after="0" w:line="200" w:lineRule="exact"/>
        <w:rPr>
          <w:sz w:val="20"/>
          <w:szCs w:val="20"/>
          <w:color w:val="auto"/>
        </w:rPr>
      </w:pPr>
    </w:p>
    <w:p>
      <w:pPr>
        <w:spacing w:after="0" w:line="311" w:lineRule="exact"/>
        <w:rPr>
          <w:sz w:val="20"/>
          <w:szCs w:val="20"/>
          <w:color w:val="auto"/>
        </w:rPr>
      </w:pPr>
    </w:p>
    <w:p>
      <w:pPr>
        <w:spacing w:after="0"/>
        <w:tabs>
          <w:tab w:leader="none" w:pos="820" w:val="left"/>
        </w:tabs>
        <w:rPr>
          <w:sz w:val="20"/>
          <w:szCs w:val="20"/>
          <w:color w:val="auto"/>
        </w:rPr>
      </w:pPr>
      <w:r>
        <w:rPr>
          <w:rFonts w:ascii="Times New Roman" w:cs="Times New Roman" w:eastAsia="Times New Roman" w:hAnsi="Times New Roman"/>
          <w:sz w:val="22"/>
          <w:szCs w:val="22"/>
          <w:b w:val="1"/>
          <w:bCs w:val="1"/>
          <w:color w:val="auto"/>
        </w:rPr>
        <w:t>1C101</w:t>
        <w:tab/>
        <w:t>Materials for Reduced Observables</w:t>
      </w:r>
    </w:p>
    <w:p>
      <w:pPr>
        <w:spacing w:after="0" w:line="12"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such as Radar Reflectivity, Ultraviolet/Infrared Signatures and Acoustic Signatures (i.e., Stealth Technology), Other than Those Controlled by 1C001, for applications usable in rockets, missiles, or unmanned aerial vehicles capable of achieving a “range” equal to or greater than 300km, and their subsystems.</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2" o:spid="_x0000_s11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654050</wp:posOffset>
                </wp:positionV>
                <wp:extent cx="2635250" cy="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3" o:spid="_x0000_s11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5pt" to="208.65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821055</wp:posOffset>
                </wp:positionV>
                <wp:extent cx="2635250" cy="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4" o:spid="_x0000_s11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5pt" to="208.65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82931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5" o:spid="_x0000_s11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78.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82931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6" o:spid="_x0000_s1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78.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9310"/>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7" o:spid="_x0000_s11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1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MT applies to entire entry MT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8" o:spid="_x0000_s11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jc w:val="both"/>
        <w:ind w:right="360"/>
        <w:spacing w:after="0" w:line="236" w:lineRule="auto"/>
        <w:rPr>
          <w:sz w:val="20"/>
          <w:szCs w:val="20"/>
          <w:color w:val="auto"/>
        </w:rPr>
      </w:pPr>
      <w:r>
        <w:rPr>
          <w:rFonts w:ascii="Times New Roman" w:cs="Times New Roman" w:eastAsia="Times New Roman" w:hAnsi="Times New Roman"/>
          <w:sz w:val="22"/>
          <w:szCs w:val="22"/>
          <w:b w:val="1"/>
          <w:bCs w:val="1"/>
          <w:color w:val="auto"/>
        </w:rPr>
        <w:t>1C018 Commercial charges and devices containing energetic materials on the Wassenaar Arrangement Munitions List and certain chemicals.</w:t>
      </w:r>
    </w:p>
    <w:p>
      <w:pPr>
        <w:spacing w:after="0" w:line="269" w:lineRule="exact"/>
        <w:rPr>
          <w:sz w:val="20"/>
          <w:szCs w:val="20"/>
          <w:color w:val="auto"/>
        </w:rPr>
      </w:pPr>
    </w:p>
    <w:p>
      <w:pPr>
        <w:jc w:val="both"/>
        <w:ind w:right="360"/>
        <w:spacing w:after="0" w:line="250" w:lineRule="auto"/>
        <w:rPr>
          <w:sz w:val="20"/>
          <w:szCs w:val="20"/>
          <w:color w:val="auto"/>
        </w:rPr>
      </w:pPr>
      <w:r>
        <w:rPr>
          <w:rFonts w:ascii="Times New Roman" w:cs="Times New Roman" w:eastAsia="Times New Roman" w:hAnsi="Times New Roman"/>
          <w:sz w:val="21"/>
          <w:szCs w:val="21"/>
          <w:color w:val="auto"/>
        </w:rPr>
        <w:t>No items currently are in this ECCN. (1) See ECCN 1C608.b. through .m for items that, immediately prior to July 1, 2014, were classified</w:t>
      </w:r>
    </w:p>
    <w:p>
      <w:pPr>
        <w:spacing w:after="0" w:line="20" w:lineRule="exact"/>
        <w:rPr>
          <w:sz w:val="20"/>
          <w:szCs w:val="20"/>
          <w:color w:val="auto"/>
        </w:rPr>
      </w:pPr>
      <w:r>
        <w:rPr>
          <w:sz w:val="20"/>
          <w:szCs w:val="20"/>
          <w:color w:val="auto"/>
        </w:rPr>
        <w:br w:type="column"/>
      </w:r>
    </w:p>
    <w:p>
      <w:pPr>
        <w:spacing w:after="0" w:line="45" w:lineRule="exact"/>
        <w:rPr>
          <w:sz w:val="20"/>
          <w:szCs w:val="20"/>
          <w:color w:val="auto"/>
        </w:rPr>
      </w:pPr>
    </w:p>
    <w:p>
      <w:pPr>
        <w:jc w:val="both"/>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Materials controlled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by this entry include structural materials and coatings (including paints),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specially designed</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 for reduced or tailored reflectivity or emissivity in the microwave, infrared or ultraviolet spectra. (2) This entry does not control coatings (including paints) when specially used for the thermal control of satellites. (3) For commodities that meet the definition of defense articles under 22 CFR 120.3 of the International Traffic in Arms Regulations (ITAR), which describes similar</w:t>
      </w:r>
    </w:p>
    <w:p>
      <w:pPr>
        <w:spacing w:after="0" w:line="200" w:lineRule="exact"/>
        <w:rPr>
          <w:sz w:val="20"/>
          <w:szCs w:val="20"/>
          <w:color w:val="auto"/>
        </w:rPr>
      </w:pPr>
    </w:p>
    <w:p>
      <w:pPr>
        <w:sectPr>
          <w:pgSz w:w="12240" w:h="15840" w:orient="portrait"/>
          <w:cols w:equalWidth="0" w:num="2">
            <w:col w:w="4680" w:space="720"/>
            <w:col w:w="396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5" w:name="page46"/>
    <w:bookmarkEnd w:id="4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commodities “subject to the ITAR” (See 22 CFR parts 120 through 130, including USML Category XIII).</w:t>
      </w:r>
    </w:p>
    <w:p>
      <w:pPr>
        <w:spacing w:after="0" w:line="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1C102 Resaturated pyrolized carbon-carbon materials designed for space launch vehicles specified in 9A004 or sounding rockets specified in 9A104. (These items are “subject to the ITAR.” See 22 CFR parts120 through 130.)</w:t>
      </w:r>
    </w:p>
    <w:p>
      <w:pPr>
        <w:spacing w:after="0" w:line="200" w:lineRule="exact"/>
        <w:rPr>
          <w:sz w:val="20"/>
          <w:szCs w:val="20"/>
          <w:color w:val="auto"/>
        </w:rPr>
      </w:pPr>
    </w:p>
    <w:p>
      <w:pPr>
        <w:spacing w:after="0" w:line="319"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b w:val="1"/>
          <w:bCs w:val="1"/>
          <w:color w:val="auto"/>
        </w:rPr>
        <w:t>1C107 Graphite and ceramic materials, other than those controlled by 1C007, which can be machined to any of the following products as follows (see List of Items Controlled).</w:t>
      </w:r>
    </w:p>
    <w:p>
      <w:pPr>
        <w:spacing w:after="0" w:line="200" w:lineRule="exact"/>
        <w:rPr>
          <w:sz w:val="20"/>
          <w:szCs w:val="20"/>
          <w:color w:val="auto"/>
        </w:rPr>
      </w:pPr>
    </w:p>
    <w:p>
      <w:pPr>
        <w:spacing w:after="0" w:line="29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440" w:type="dxa"/>
            <w:vAlign w:val="bottom"/>
            <w:tcBorders>
              <w:top w:val="single" w:sz="8" w:color="auto"/>
              <w:left w:val="single" w:sz="8" w:color="auto"/>
              <w:right w:val="single" w:sz="8" w:color="auto"/>
            </w:tcBorders>
          </w:tcPr>
          <w:p>
            <w:pPr>
              <w:spacing w:after="0"/>
              <w:rPr>
                <w:sz w:val="22"/>
                <w:szCs w:val="22"/>
                <w:color w:val="auto"/>
              </w:rPr>
            </w:pPr>
          </w:p>
        </w:tc>
        <w:tc>
          <w:tcPr>
            <w:tcW w:w="17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4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54"/>
        </w:trPr>
        <w:tc>
          <w:tcPr>
            <w:tcW w:w="2440" w:type="dxa"/>
            <w:vAlign w:val="bottom"/>
            <w:tcBorders>
              <w:left w:val="single" w:sz="8" w:color="auto"/>
              <w:bottom w:val="single" w:sz="8" w:color="auto"/>
              <w:right w:val="single" w:sz="8" w:color="auto"/>
            </w:tcBorders>
          </w:tcPr>
          <w:p>
            <w:pPr>
              <w:spacing w:after="0"/>
              <w:rPr>
                <w:sz w:val="22"/>
                <w:szCs w:val="22"/>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2"/>
        </w:trPr>
        <w:tc>
          <w:tcPr>
            <w:tcW w:w="24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4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also</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1C004</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1C007, and </w:t>
      </w:r>
      <w:r>
        <w:rPr>
          <w:rFonts w:ascii="Times New Roman" w:cs="Times New Roman" w:eastAsia="Times New Roman" w:hAnsi="Times New Roman"/>
          <w:sz w:val="21"/>
          <w:szCs w:val="21"/>
          <w:u w:val="single" w:color="auto"/>
          <w:color w:val="0000FF"/>
        </w:rPr>
        <w:t>1C298</w:t>
      </w:r>
      <w:r>
        <w:rPr>
          <w:rFonts w:ascii="Times New Roman" w:cs="Times New Roman" w:eastAsia="Times New Roman" w:hAnsi="Times New Roman"/>
          <w:sz w:val="21"/>
          <w:szCs w:val="21"/>
          <w:color w:val="auto"/>
        </w:rPr>
        <w:t>. (2) For commodities that meet the definition of defense articles under 22 CFR 120.3 of the ITAR, which describes similar commodities “subject to the ITAR” (See 22 CFR parts120 through 130,</w:t>
      </w:r>
    </w:p>
    <w:p>
      <w:pPr>
        <w:ind w:left="360"/>
        <w:spacing w:after="0" w:line="231" w:lineRule="auto"/>
        <w:tabs>
          <w:tab w:leader="none" w:pos="1360" w:val="left"/>
          <w:tab w:leader="none" w:pos="2160" w:val="left"/>
          <w:tab w:leader="none" w:pos="3140" w:val="left"/>
          <w:tab w:leader="none" w:pos="4040" w:val="left"/>
        </w:tabs>
        <w:rPr>
          <w:sz w:val="20"/>
          <w:szCs w:val="20"/>
          <w:color w:val="auto"/>
        </w:rPr>
      </w:pPr>
      <w:r>
        <w:rPr>
          <w:rFonts w:ascii="Times New Roman" w:cs="Times New Roman" w:eastAsia="Times New Roman" w:hAnsi="Times New Roman"/>
          <w:sz w:val="22"/>
          <w:szCs w:val="22"/>
          <w:color w:val="auto"/>
        </w:rPr>
        <w:t>including</w:t>
        <w:tab/>
        <w:t>USML</w:t>
        <w:tab/>
        <w:t>Category</w:t>
        <w:tab/>
        <w:t>XIII).</w:t>
      </w:r>
      <w:r>
        <w:rPr>
          <w:sz w:val="20"/>
          <w:szCs w:val="20"/>
          <w:color w:val="auto"/>
        </w:rPr>
        <w:tab/>
      </w:r>
      <w:r>
        <w:rPr>
          <w:rFonts w:ascii="Times New Roman" w:cs="Times New Roman" w:eastAsia="Times New Roman" w:hAnsi="Times New Roman"/>
          <w:sz w:val="22"/>
          <w:szCs w:val="22"/>
          <w:color w:val="auto"/>
        </w:rPr>
        <w:t>(3)</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color w:val="auto"/>
        </w:rPr>
        <w:t>“Special fissile materials” and “other fissile materials”; except, four “effective grams” or less when contained in a sensing component in instruments are subject to the export licensing authority of the Nuclear Regulatory Commission (see 10 CFR part 110).</w:t>
      </w:r>
    </w:p>
    <w:p>
      <w:pPr>
        <w:ind w:left="360"/>
        <w:spacing w:after="0" w:line="231" w:lineRule="auto"/>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1"/>
        <w:spacing w:after="0" w:line="228" w:lineRule="auto"/>
        <w:tabs>
          <w:tab w:leader="none" w:pos="344" w:val="left"/>
        </w:tabs>
        <w:numPr>
          <w:ilvl w:val="0"/>
          <w:numId w:val="10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Fine grain graphites with a bulk density of 1.72 g/cm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or greater, measured at 15 C, and having a grain size of 100 micrometers or less, usable for rocket nozzles and reentry vehicle nose tips as follows: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Cylinders having a diameter of 120 mm or greater and a length of 50 mm or greater;</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a.2. Tubes having an inner diameter of 65 mm or greater and a wall thickness of 25 mm or greater and a length of 50 mm or greater;</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a.3. Blocks having a size of 120 mm x 120 mm x 50 mm or greater.</w:t>
      </w:r>
    </w:p>
    <w:p>
      <w:pPr>
        <w:spacing w:after="0" w:line="265" w:lineRule="exact"/>
        <w:rPr>
          <w:sz w:val="20"/>
          <w:szCs w:val="20"/>
          <w:color w:val="auto"/>
        </w:rPr>
      </w:pPr>
    </w:p>
    <w:p>
      <w:pPr>
        <w:jc w:val="both"/>
        <w:ind w:firstLine="1"/>
        <w:spacing w:after="0" w:line="236" w:lineRule="auto"/>
        <w:tabs>
          <w:tab w:leader="none" w:pos="432" w:val="left"/>
        </w:tabs>
        <w:numPr>
          <w:ilvl w:val="0"/>
          <w:numId w:val="10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Pyrolytic or fibrous reinforced graphites, usable for rocket nozzles and reentry vehicle nose tips;</w:t>
      </w:r>
    </w:p>
    <w:p>
      <w:pPr>
        <w:spacing w:after="0" w:line="266" w:lineRule="exact"/>
        <w:rPr>
          <w:rFonts w:ascii="Times New Roman" w:cs="Times New Roman" w:eastAsia="Times New Roman" w:hAnsi="Times New Roman"/>
          <w:sz w:val="22"/>
          <w:szCs w:val="22"/>
          <w:color w:val="auto"/>
        </w:rPr>
      </w:pPr>
    </w:p>
    <w:p>
      <w:pPr>
        <w:jc w:val="both"/>
        <w:ind w:firstLine="1"/>
        <w:spacing w:after="0" w:line="238" w:lineRule="auto"/>
        <w:tabs>
          <w:tab w:leader="none" w:pos="357" w:val="left"/>
        </w:tabs>
        <w:numPr>
          <w:ilvl w:val="0"/>
          <w:numId w:val="10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Ceramic composite materials (dielectric constant is less than 6 at any frequency from 100 MHz to 100 GHz) for use in radomes useable in rockets, missiles, and unmanned aerial vehicles capable of achieving a “range” equal to or greater than 300 km; </w:t>
      </w:r>
      <w:r>
        <w:rPr>
          <w:rFonts w:ascii="Times New Roman" w:cs="Times New Roman" w:eastAsia="Times New Roman" w:hAnsi="Times New Roman"/>
          <w:sz w:val="22"/>
          <w:szCs w:val="22"/>
          <w:i w:val="1"/>
          <w:iCs w:val="1"/>
          <w:color w:val="auto"/>
        </w:rPr>
        <w:t>or</w:t>
      </w:r>
    </w:p>
    <w:p>
      <w:pPr>
        <w:spacing w:after="0" w:line="264" w:lineRule="exact"/>
        <w:rPr>
          <w:rFonts w:ascii="Times New Roman" w:cs="Times New Roman" w:eastAsia="Times New Roman" w:hAnsi="Times New Roman"/>
          <w:sz w:val="22"/>
          <w:szCs w:val="22"/>
          <w:color w:val="auto"/>
        </w:rPr>
      </w:pPr>
    </w:p>
    <w:p>
      <w:pPr>
        <w:jc w:val="both"/>
        <w:ind w:firstLine="1"/>
        <w:spacing w:after="0" w:line="237" w:lineRule="auto"/>
        <w:tabs>
          <w:tab w:leader="none" w:pos="342" w:val="left"/>
        </w:tabs>
        <w:numPr>
          <w:ilvl w:val="0"/>
          <w:numId w:val="10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High-temperature ceramic materials, useable in rockets, missiles, and unmanned aerial vehicles capable of achieving a “range” equal to or greater than 300 km, as follows:</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d.1. Bulk machinable silicon-carbide reinforced unfired ceramic, usable for nose tips.</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d.2. Reinforced silicon-carbide ceramic composites usable for nose tips, re-entry vehicles, nozzle flaps.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d.3. Bulk machinable ceramic composite materials consisting of an ‘Ultra High</w:t>
      </w:r>
    </w:p>
    <w:p>
      <w:pPr>
        <w:spacing w:after="0" w:line="224"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6" w:name="page47"/>
    <w:bookmarkEnd w:id="4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47</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right="120"/>
        <w:spacing w:after="0" w:line="238" w:lineRule="auto"/>
        <w:rPr>
          <w:sz w:val="20"/>
          <w:szCs w:val="20"/>
          <w:color w:val="auto"/>
        </w:rPr>
      </w:pPr>
      <w:r>
        <w:rPr>
          <w:rFonts w:ascii="Times New Roman" w:cs="Times New Roman" w:eastAsia="Times New Roman" w:hAnsi="Times New Roman"/>
          <w:sz w:val="22"/>
          <w:szCs w:val="22"/>
          <w:color w:val="auto"/>
        </w:rPr>
        <w:t>Temperature Ceramic (UHTC)’ matrix with a melting point equal to or greater than 3000°C and reinforced with fibers or filaments, usable for missile components (such as nose tips, re-entry vehicles, leading edges, jet vanes, control surfaces, or rocket motor throat inserts).</w:t>
      </w:r>
    </w:p>
    <w:p>
      <w:pPr>
        <w:spacing w:after="0" w:line="268" w:lineRule="exact"/>
        <w:rPr>
          <w:sz w:val="20"/>
          <w:szCs w:val="20"/>
          <w:color w:val="auto"/>
        </w:rPr>
      </w:pPr>
    </w:p>
    <w:p>
      <w:pPr>
        <w:jc w:val="both"/>
        <w:ind w:right="120" w:firstLine="288"/>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ECCN </w:t>
      </w:r>
      <w:r>
        <w:rPr>
          <w:rFonts w:ascii="Times New Roman" w:cs="Times New Roman" w:eastAsia="Times New Roman" w:hAnsi="Times New Roman"/>
          <w:sz w:val="22"/>
          <w:szCs w:val="22"/>
          <w:i w:val="1"/>
          <w:iCs w:val="1"/>
          <w:color w:val="auto"/>
        </w:rPr>
        <w:t>1C107.d.3.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‘Ultra High Temperature Ceramic (UHTC)’ materials in non-composite form.</w:t>
      </w:r>
    </w:p>
    <w:p>
      <w:pPr>
        <w:spacing w:after="0" w:line="265" w:lineRule="exact"/>
        <w:rPr>
          <w:sz w:val="20"/>
          <w:szCs w:val="20"/>
          <w:color w:val="auto"/>
        </w:rPr>
      </w:pPr>
    </w:p>
    <w:p>
      <w:pPr>
        <w:jc w:val="both"/>
        <w:ind w:right="120" w:firstLine="36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‘Ultra High Temperature</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Ceramics (UHTC)’ includes: titanium diboride (TiB</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zirconium diboride (ZrB</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niobium diboride (NbB</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hafnium diboride (HfB</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tantalum diboride (TaB</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titanium carbide (TiC), zirconium carbide (ZrC), niobium carbide (NbC), hafnium carbide (HfC), tantalum carbide (TaC).</w:t>
      </w:r>
    </w:p>
    <w:p>
      <w:pPr>
        <w:spacing w:after="0" w:line="200" w:lineRule="exact"/>
        <w:rPr>
          <w:sz w:val="20"/>
          <w:szCs w:val="20"/>
          <w:color w:val="auto"/>
        </w:rPr>
      </w:pPr>
    </w:p>
    <w:p>
      <w:pPr>
        <w:spacing w:after="0" w:line="310" w:lineRule="exact"/>
        <w:rPr>
          <w:sz w:val="20"/>
          <w:szCs w:val="20"/>
          <w:color w:val="auto"/>
        </w:rPr>
      </w:pPr>
    </w:p>
    <w:p>
      <w:pPr>
        <w:jc w:val="both"/>
        <w:ind w:right="120"/>
        <w:spacing w:after="0" w:line="236" w:lineRule="auto"/>
        <w:rPr>
          <w:sz w:val="20"/>
          <w:szCs w:val="20"/>
          <w:color w:val="auto"/>
        </w:rPr>
      </w:pPr>
      <w:r>
        <w:rPr>
          <w:rFonts w:ascii="Times New Roman" w:cs="Times New Roman" w:eastAsia="Times New Roman" w:hAnsi="Times New Roman"/>
          <w:sz w:val="22"/>
          <w:szCs w:val="22"/>
          <w:b w:val="1"/>
          <w:bCs w:val="1"/>
          <w:color w:val="auto"/>
        </w:rPr>
        <w:t>1C111 Propellants and constituent chemicals for propellants, other than those specified in 1C011, as follows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NP, RS,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62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ind w:left="6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1"/>
        </w:trPr>
        <w:tc>
          <w:tcPr>
            <w:tcW w:w="2620" w:type="dxa"/>
            <w:vAlign w:val="bottom"/>
            <w:tcBorders>
              <w:left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1C111.a.3.f</w:t>
            </w:r>
          </w:p>
        </w:tc>
        <w:tc>
          <w:tcPr>
            <w:tcW w:w="180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5"/>
        </w:trPr>
        <w:tc>
          <w:tcPr>
            <w:tcW w:w="262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only</w:t>
            </w:r>
          </w:p>
        </w:tc>
        <w:tc>
          <w:tcPr>
            <w:tcW w:w="1800" w:type="dxa"/>
            <w:vAlign w:val="bottom"/>
            <w:tcBorders>
              <w:bottom w:val="single" w:sz="8" w:color="auto"/>
              <w:right w:val="single" w:sz="8" w:color="auto"/>
            </w:tcBorders>
          </w:tcPr>
          <w:p>
            <w:pPr>
              <w:spacing w:after="0"/>
              <w:rPr>
                <w:sz w:val="22"/>
                <w:szCs w:val="22"/>
                <w:color w:val="auto"/>
              </w:rPr>
            </w:pPr>
          </w:p>
        </w:tc>
      </w:tr>
      <w:tr>
        <w:trPr>
          <w:trHeight w:val="243"/>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w w:val="98"/>
              </w:rPr>
              <w:t>RS applies to 1C111.d.3 only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12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V(e)(7) for controls on HTPB (hydroxyl terminated polybutadiene) with a hydroxyl</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color w:val="auto"/>
        </w:rPr>
        <w:t>functionality equal to or greater than 2.2 and less than or equal to 2.4, a hydroxyl value of less than 0.77 meq/g, and a viscosity at 30 °C of less than 47 poise (CAS # 69102-90-5).</w:t>
      </w:r>
    </w:p>
    <w:p>
      <w:pPr>
        <w:spacing w:after="0" w:line="3" w:lineRule="exact"/>
        <w:rPr>
          <w:sz w:val="20"/>
          <w:szCs w:val="20"/>
          <w:color w:val="auto"/>
        </w:rPr>
      </w:pPr>
    </w:p>
    <w:p>
      <w:pPr>
        <w:jc w:val="both"/>
        <w:ind w:left="360" w:firstLine="1"/>
        <w:spacing w:after="0" w:line="233" w:lineRule="auto"/>
        <w:tabs>
          <w:tab w:leader="none" w:pos="678" w:val="left"/>
        </w:tabs>
        <w:numPr>
          <w:ilvl w:val="0"/>
          <w:numId w:val="10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USML Category V(f)(3) for controls on ferrocene derivatives, including butacene.</w:t>
      </w:r>
    </w:p>
    <w:p>
      <w:pPr>
        <w:spacing w:after="0" w:line="14" w:lineRule="exact"/>
        <w:rPr>
          <w:rFonts w:ascii="Times New Roman" w:cs="Times New Roman" w:eastAsia="Times New Roman" w:hAnsi="Times New Roman"/>
          <w:sz w:val="22"/>
          <w:szCs w:val="22"/>
          <w:color w:val="auto"/>
        </w:rPr>
      </w:pPr>
    </w:p>
    <w:p>
      <w:pPr>
        <w:jc w:val="both"/>
        <w:ind w:left="360" w:firstLine="1"/>
        <w:spacing w:after="0" w:line="237" w:lineRule="auto"/>
        <w:tabs>
          <w:tab w:leader="none" w:pos="788" w:val="left"/>
        </w:tabs>
        <w:numPr>
          <w:ilvl w:val="0"/>
          <w:numId w:val="10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ECCN 1C608 for controls on oxidizers that are composed of fluorine and also other halogens, oxygen, or nitrogen, except for chlorine trifluoride, which is controlled under this ECCN 1C111.a.3.f.</w:t>
      </w:r>
    </w:p>
    <w:p>
      <w:pPr>
        <w:spacing w:after="0" w:line="15" w:lineRule="exact"/>
        <w:rPr>
          <w:rFonts w:ascii="Times New Roman" w:cs="Times New Roman" w:eastAsia="Times New Roman" w:hAnsi="Times New Roman"/>
          <w:sz w:val="22"/>
          <w:szCs w:val="22"/>
          <w:color w:val="auto"/>
        </w:rPr>
      </w:pPr>
    </w:p>
    <w:p>
      <w:pPr>
        <w:jc w:val="both"/>
        <w:ind w:left="360" w:firstLine="1"/>
        <w:spacing w:after="0" w:line="238" w:lineRule="auto"/>
        <w:tabs>
          <w:tab w:leader="none" w:pos="667" w:val="left"/>
        </w:tabs>
        <w:numPr>
          <w:ilvl w:val="0"/>
          <w:numId w:val="10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ECCN 1C011.b for controls on boron and boron alloys not controlled under this ECCN 1C111.a.2.b. (5) See USML Category V(d)(10) for controls on Inhibited Red Fuming Nitric Acid (IRFNA) (CAS 8007-58-7).</w:t>
      </w:r>
    </w:p>
    <w:p>
      <w:pPr>
        <w:spacing w:after="0" w:line="266"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 Particle size is the mean</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particle diameter on a weight or volume basis. Best industrial practices must be used in sampling, and in determining particle size, and the controls may not be undermined by the addition of larger or smaller sized material to shift the mean diameter.</w:t>
      </w:r>
    </w:p>
    <w:p>
      <w:pPr>
        <w:spacing w:after="0" w:line="24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a.</w:t>
        <w:tab/>
        <w:t>Propulsive substances:</w:t>
      </w:r>
    </w:p>
    <w:p>
      <w:pPr>
        <w:spacing w:after="0" w:line="266" w:lineRule="exact"/>
        <w:rPr>
          <w:sz w:val="20"/>
          <w:szCs w:val="20"/>
          <w:color w:val="auto"/>
        </w:rPr>
      </w:pPr>
    </w:p>
    <w:p>
      <w:pPr>
        <w:jc w:val="both"/>
        <w:ind w:firstLine="360"/>
        <w:spacing w:after="0" w:line="231" w:lineRule="auto"/>
        <w:rPr>
          <w:sz w:val="20"/>
          <w:szCs w:val="20"/>
          <w:color w:val="auto"/>
        </w:rPr>
      </w:pPr>
      <w:r>
        <w:rPr>
          <w:rFonts w:ascii="Times New Roman" w:cs="Times New Roman" w:eastAsia="Times New Roman" w:hAnsi="Times New Roman"/>
          <w:sz w:val="21"/>
          <w:szCs w:val="21"/>
          <w:color w:val="auto"/>
        </w:rPr>
        <w:t>a.1. Spherical or spheroidal aluminum powder (C.A.S. 7429-90-5) in particle size of less than 200 x 10</w:t>
      </w:r>
      <w:r>
        <w:rPr>
          <w:rFonts w:ascii="Times New Roman" w:cs="Times New Roman" w:eastAsia="Times New Roman" w:hAnsi="Times New Roman"/>
          <w:sz w:val="27"/>
          <w:szCs w:val="27"/>
          <w:color w:val="auto"/>
          <w:vertAlign w:val="superscript"/>
        </w:rPr>
        <w:t>-6</w:t>
      </w:r>
      <w:r>
        <w:rPr>
          <w:rFonts w:ascii="Times New Roman" w:cs="Times New Roman" w:eastAsia="Times New Roman" w:hAnsi="Times New Roman"/>
          <w:sz w:val="21"/>
          <w:szCs w:val="21"/>
          <w:color w:val="auto"/>
        </w:rPr>
        <w:t xml:space="preserve"> m (200 µm) and an aluminum content of 97% by weight or more, if at least 10</w:t>
      </w:r>
    </w:p>
    <w:p>
      <w:pPr>
        <w:spacing w:after="0" w:line="15" w:lineRule="exact"/>
        <w:rPr>
          <w:sz w:val="20"/>
          <w:szCs w:val="20"/>
          <w:color w:val="auto"/>
        </w:rPr>
      </w:pPr>
    </w:p>
    <w:p>
      <w:pPr>
        <w:jc w:val="both"/>
        <w:ind w:firstLine="1"/>
        <w:spacing w:after="0" w:line="236" w:lineRule="auto"/>
        <w:tabs>
          <w:tab w:leader="none" w:pos="256" w:val="left"/>
        </w:tabs>
        <w:numPr>
          <w:ilvl w:val="0"/>
          <w:numId w:val="10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of the total weight is made up of particles of less than 63 µm, according to ISO 2591-1:1988 or national equivalents.</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 particle size of 63 µm</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(ISO R-565) corresponds to 250 mesh (Tyler) or 230 mesh (ASTM standard E-11).</w:t>
      </w:r>
    </w:p>
    <w:p>
      <w:pPr>
        <w:spacing w:after="0" w:line="265"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a.2. Metal powders and alloys where at least 90% of the total particles by particle volume or weight are made up of particles of less than 60 µ (determined by measurement techniques such as using a sieve, laser diffraction or optical scanning), whether spherical, atomized, spheroidal, flaked or ground, as follows:</w:t>
      </w:r>
    </w:p>
    <w:p>
      <w:pPr>
        <w:spacing w:after="0" w:line="512" w:lineRule="exact"/>
        <w:rPr>
          <w:sz w:val="20"/>
          <w:szCs w:val="20"/>
          <w:color w:val="auto"/>
        </w:rPr>
      </w:pPr>
    </w:p>
    <w:p>
      <w:pPr>
        <w:sectPr>
          <w:pgSz w:w="12240" w:h="15840" w:orient="portrait"/>
          <w:cols w:equalWidth="0" w:num="2">
            <w:col w:w="4440" w:space="600"/>
            <w:col w:w="4320"/>
          </w:cols>
          <w:pgMar w:left="1440" w:top="1293" w:right="1440" w:bottom="124" w:gutter="0" w:footer="0" w:header="0"/>
          <w:type w:val="continuous"/>
        </w:sectPr>
      </w:pPr>
    </w:p>
    <w:p>
      <w:pPr>
        <w:spacing w:after="0" w:line="26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7" w:name="page48"/>
    <w:bookmarkEnd w:id="4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48</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a.2.a. Consisting of 97% by weight or more of any of the following:</w:t>
      </w:r>
    </w:p>
    <w:p>
      <w:pPr>
        <w:spacing w:after="0" w:line="254" w:lineRule="exact"/>
        <w:rPr>
          <w:sz w:val="20"/>
          <w:szCs w:val="20"/>
          <w:color w:val="auto"/>
        </w:rPr>
      </w:pPr>
    </w:p>
    <w:p>
      <w:pPr>
        <w:jc w:val="both"/>
        <w:ind w:left="1080"/>
        <w:spacing w:after="0"/>
        <w:tabs>
          <w:tab w:leader="none" w:pos="1880" w:val="left"/>
        </w:tabs>
        <w:rPr>
          <w:sz w:val="20"/>
          <w:szCs w:val="20"/>
          <w:color w:val="auto"/>
        </w:rPr>
      </w:pPr>
      <w:r>
        <w:rPr>
          <w:rFonts w:ascii="Times New Roman" w:cs="Times New Roman" w:eastAsia="Times New Roman" w:hAnsi="Times New Roman"/>
          <w:sz w:val="22"/>
          <w:szCs w:val="22"/>
          <w:color w:val="auto"/>
        </w:rPr>
        <w:t>a.2.a.1.</w:t>
        <w:tab/>
        <w:t>Zirconium (C.A.S. # 7440-</w:t>
      </w:r>
    </w:p>
    <w:p>
      <w:pPr>
        <w:spacing w:after="0"/>
        <w:rPr>
          <w:sz w:val="20"/>
          <w:szCs w:val="20"/>
          <w:color w:val="auto"/>
        </w:rPr>
      </w:pPr>
      <w:r>
        <w:rPr>
          <w:rFonts w:ascii="Times New Roman" w:cs="Times New Roman" w:eastAsia="Times New Roman" w:hAnsi="Times New Roman"/>
          <w:sz w:val="22"/>
          <w:szCs w:val="22"/>
          <w:color w:val="auto"/>
        </w:rPr>
        <w:t>67-7);</w:t>
      </w:r>
    </w:p>
    <w:p>
      <w:pPr>
        <w:spacing w:after="0" w:line="252" w:lineRule="exact"/>
        <w:rPr>
          <w:sz w:val="20"/>
          <w:szCs w:val="20"/>
          <w:color w:val="auto"/>
        </w:rPr>
      </w:pPr>
    </w:p>
    <w:p>
      <w:pPr>
        <w:jc w:val="both"/>
        <w:ind w:left="1080"/>
        <w:spacing w:after="0"/>
        <w:tabs>
          <w:tab w:leader="none" w:pos="1880" w:val="left"/>
        </w:tabs>
        <w:rPr>
          <w:sz w:val="20"/>
          <w:szCs w:val="20"/>
          <w:color w:val="auto"/>
        </w:rPr>
      </w:pPr>
      <w:r>
        <w:rPr>
          <w:rFonts w:ascii="Times New Roman" w:cs="Times New Roman" w:eastAsia="Times New Roman" w:hAnsi="Times New Roman"/>
          <w:sz w:val="22"/>
          <w:szCs w:val="22"/>
          <w:color w:val="auto"/>
        </w:rPr>
        <w:t>a.2.a.2.</w:t>
        <w:tab/>
        <w:t>Beryllium (C.A.S. # 7440-</w:t>
      </w:r>
    </w:p>
    <w:p>
      <w:pPr>
        <w:spacing w:after="0"/>
        <w:rPr>
          <w:sz w:val="20"/>
          <w:szCs w:val="20"/>
          <w:color w:val="auto"/>
        </w:rPr>
      </w:pPr>
      <w:r>
        <w:rPr>
          <w:rFonts w:ascii="Times New Roman" w:cs="Times New Roman" w:eastAsia="Times New Roman" w:hAnsi="Times New Roman"/>
          <w:sz w:val="22"/>
          <w:szCs w:val="22"/>
          <w:color w:val="auto"/>
        </w:rPr>
        <w:t>41-7); or</w:t>
      </w:r>
    </w:p>
    <w:p>
      <w:pPr>
        <w:spacing w:after="0" w:line="266" w:lineRule="exact"/>
        <w:rPr>
          <w:sz w:val="20"/>
          <w:szCs w:val="20"/>
          <w:color w:val="auto"/>
        </w:rPr>
      </w:pPr>
    </w:p>
    <w:p>
      <w:pPr>
        <w:jc w:val="both"/>
        <w:ind w:firstLine="1080"/>
        <w:spacing w:after="0" w:line="233" w:lineRule="auto"/>
        <w:rPr>
          <w:sz w:val="20"/>
          <w:szCs w:val="20"/>
          <w:color w:val="auto"/>
        </w:rPr>
      </w:pPr>
      <w:r>
        <w:rPr>
          <w:rFonts w:ascii="Times New Roman" w:cs="Times New Roman" w:eastAsia="Times New Roman" w:hAnsi="Times New Roman"/>
          <w:sz w:val="22"/>
          <w:szCs w:val="22"/>
          <w:color w:val="auto"/>
        </w:rPr>
        <w:t>a.2.a.3. Magnesium (C.A.S. # 7439-95-4);.</w:t>
      </w:r>
    </w:p>
    <w:p>
      <w:pPr>
        <w:spacing w:after="0" w:line="267"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a.2.b. Boron or boron alloys with a boron content of 85 % or more by weight.</w:t>
      </w:r>
    </w:p>
    <w:p>
      <w:pPr>
        <w:spacing w:after="0" w:line="267"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natural content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hafnium in the zirconium (typically 2% to 7%) is counted with the zirconium.</w:t>
      </w:r>
    </w:p>
    <w:p>
      <w:pPr>
        <w:spacing w:after="0" w:line="268"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In a multimodal particle distribution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i w:val="1"/>
          <w:iCs w:val="1"/>
          <w:u w:val="single" w:color="auto"/>
          <w:color w:val="auto"/>
        </w:rPr>
        <w:t>e.g.</w:t>
      </w:r>
      <w:r>
        <w:rPr>
          <w:rFonts w:ascii="Times New Roman" w:cs="Times New Roman" w:eastAsia="Times New Roman" w:hAnsi="Times New Roman"/>
          <w:sz w:val="22"/>
          <w:szCs w:val="22"/>
          <w:i w:val="1"/>
          <w:iCs w:val="1"/>
          <w:color w:val="auto"/>
        </w:rPr>
        <w:t>, mixtures of different grain sizes) in which one or more modes are controlled, the entire powder mixture is controlled.</w:t>
      </w:r>
    </w:p>
    <w:p>
      <w:pPr>
        <w:spacing w:after="0" w:line="269"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a.3. Oxidizer substances usable in liquid propellant rocket engines, as follows:</w:t>
      </w:r>
    </w:p>
    <w:p>
      <w:pPr>
        <w:spacing w:after="0" w:line="253" w:lineRule="exact"/>
        <w:rPr>
          <w:sz w:val="20"/>
          <w:szCs w:val="20"/>
          <w:color w:val="auto"/>
        </w:rPr>
      </w:pPr>
    </w:p>
    <w:p>
      <w:pPr>
        <w:jc w:val="center"/>
        <w:ind w:left="720"/>
        <w:spacing w:after="0"/>
        <w:tabs>
          <w:tab w:leader="none" w:pos="140" w:val="left"/>
        </w:tabs>
        <w:rPr>
          <w:sz w:val="20"/>
          <w:szCs w:val="20"/>
          <w:color w:val="auto"/>
        </w:rPr>
      </w:pPr>
      <w:r>
        <w:rPr>
          <w:rFonts w:ascii="Times New Roman" w:cs="Times New Roman" w:eastAsia="Times New Roman" w:hAnsi="Times New Roman"/>
          <w:sz w:val="22"/>
          <w:szCs w:val="22"/>
          <w:color w:val="auto"/>
        </w:rPr>
        <w:t>a.3.a.</w:t>
        <w:tab/>
        <w:t>Dinitrogen trioxide (CAS 10544-</w:t>
      </w:r>
    </w:p>
    <w:p>
      <w:pPr>
        <w:spacing w:after="0"/>
        <w:rPr>
          <w:sz w:val="20"/>
          <w:szCs w:val="20"/>
          <w:color w:val="auto"/>
        </w:rPr>
      </w:pPr>
      <w:r>
        <w:rPr>
          <w:rFonts w:ascii="Times New Roman" w:cs="Times New Roman" w:eastAsia="Times New Roman" w:hAnsi="Times New Roman"/>
          <w:sz w:val="22"/>
          <w:szCs w:val="22"/>
          <w:color w:val="auto"/>
        </w:rPr>
        <w:t>73-7);</w:t>
      </w:r>
    </w:p>
    <w:p>
      <w:pPr>
        <w:spacing w:after="0" w:line="266" w:lineRule="exact"/>
        <w:rPr>
          <w:sz w:val="20"/>
          <w:szCs w:val="20"/>
          <w:color w:val="auto"/>
        </w:rPr>
      </w:pPr>
    </w:p>
    <w:p>
      <w:pPr>
        <w:ind w:firstLine="720"/>
        <w:spacing w:after="0"/>
        <w:rPr>
          <w:sz w:val="20"/>
          <w:szCs w:val="20"/>
          <w:color w:val="auto"/>
        </w:rPr>
      </w:pPr>
      <w:r>
        <w:rPr>
          <w:rFonts w:ascii="Times New Roman" w:cs="Times New Roman" w:eastAsia="Times New Roman" w:hAnsi="Times New Roman"/>
          <w:sz w:val="22"/>
          <w:szCs w:val="22"/>
          <w:color w:val="auto"/>
        </w:rPr>
        <w:t>a.3.b. Nitrogen dioxide (CAS 10102-44-0) / dinitrogen tetroxide (CAS 10544-72-6);</w:t>
      </w:r>
    </w:p>
    <w:p>
      <w:pPr>
        <w:spacing w:after="0" w:line="200" w:lineRule="exact"/>
        <w:rPr>
          <w:sz w:val="20"/>
          <w:szCs w:val="20"/>
          <w:color w:val="auto"/>
        </w:rPr>
      </w:pPr>
    </w:p>
    <w:p>
      <w:pPr>
        <w:spacing w:after="0" w:line="30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a.3.c. Dinitrogen pentoxide (CAS 10102-03-1);</w:t>
      </w:r>
    </w:p>
    <w:p>
      <w:pPr>
        <w:spacing w:after="0" w:line="253" w:lineRule="exact"/>
        <w:rPr>
          <w:sz w:val="20"/>
          <w:szCs w:val="20"/>
          <w:color w:val="auto"/>
        </w:rPr>
      </w:pPr>
    </w:p>
    <w:p>
      <w:pPr>
        <w:ind w:left="720"/>
        <w:spacing w:after="0"/>
        <w:tabs>
          <w:tab w:leader="none" w:pos="1620" w:val="left"/>
          <w:tab w:leader="none" w:pos="2400" w:val="left"/>
          <w:tab w:leader="none" w:pos="3180" w:val="left"/>
          <w:tab w:leader="none" w:pos="3560" w:val="left"/>
        </w:tabs>
        <w:rPr>
          <w:sz w:val="20"/>
          <w:szCs w:val="20"/>
          <w:color w:val="auto"/>
        </w:rPr>
      </w:pPr>
      <w:r>
        <w:rPr>
          <w:rFonts w:ascii="Times New Roman" w:cs="Times New Roman" w:eastAsia="Times New Roman" w:hAnsi="Times New Roman"/>
          <w:sz w:val="22"/>
          <w:szCs w:val="22"/>
          <w:color w:val="auto"/>
        </w:rPr>
        <w:t>a.3.d.</w:t>
      </w:r>
      <w:r>
        <w:rPr>
          <w:sz w:val="20"/>
          <w:szCs w:val="20"/>
          <w:color w:val="auto"/>
        </w:rPr>
        <w:tab/>
      </w:r>
      <w:r>
        <w:rPr>
          <w:rFonts w:ascii="Times New Roman" w:cs="Times New Roman" w:eastAsia="Times New Roman" w:hAnsi="Times New Roman"/>
          <w:sz w:val="22"/>
          <w:szCs w:val="22"/>
          <w:color w:val="auto"/>
        </w:rPr>
        <w:t>Mixed</w:t>
        <w:tab/>
        <w:t>oxides</w:t>
        <w:tab/>
        <w:t>of</w:t>
        <w:tab/>
        <w:t>nitrogen</w:t>
      </w:r>
    </w:p>
    <w:p>
      <w:pPr>
        <w:spacing w:after="0"/>
        <w:rPr>
          <w:sz w:val="20"/>
          <w:szCs w:val="20"/>
          <w:color w:val="auto"/>
        </w:rPr>
      </w:pPr>
      <w:r>
        <w:rPr>
          <w:rFonts w:ascii="Times New Roman" w:cs="Times New Roman" w:eastAsia="Times New Roman" w:hAnsi="Times New Roman"/>
          <w:sz w:val="22"/>
          <w:szCs w:val="22"/>
          <w:color w:val="auto"/>
        </w:rPr>
        <w:t>(MON);</w:t>
      </w: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a.3.e.</w:t>
        <w:tab/>
        <w:t>[Reserved];</w:t>
      </w:r>
    </w:p>
    <w:p>
      <w:pPr>
        <w:spacing w:after="0" w:line="258"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a.3.f.</w:t>
        <w:tab/>
        <w:t>Chlorine trifluoride (ClF</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w:t>
      </w:r>
    </w:p>
    <w:p>
      <w:pPr>
        <w:spacing w:after="0" w:line="262"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Mixed oxides of nitrogen</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(MON) are solutions of nitric oxide (NO) in dinitrogen tetroxide/nitrogen dioxide (N</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O</w:t>
      </w:r>
      <w:r>
        <w:rPr>
          <w:rFonts w:ascii="Times New Roman" w:cs="Times New Roman" w:eastAsia="Times New Roman" w:hAnsi="Times New Roman"/>
          <w:sz w:val="13"/>
          <w:szCs w:val="13"/>
          <w:i w:val="1"/>
          <w:iCs w:val="1"/>
          <w:color w:val="auto"/>
        </w:rPr>
        <w:t>4</w:t>
      </w:r>
      <w:r>
        <w:rPr>
          <w:rFonts w:ascii="Times New Roman" w:cs="Times New Roman" w:eastAsia="Times New Roman" w:hAnsi="Times New Roman"/>
          <w:sz w:val="21"/>
          <w:szCs w:val="21"/>
          <w:i w:val="1"/>
          <w:iCs w:val="1"/>
          <w:color w:val="auto"/>
        </w:rPr>
        <w:t>/NO</w:t>
      </w:r>
      <w:r>
        <w:rPr>
          <w:rFonts w:ascii="Times New Roman" w:cs="Times New Roman" w:eastAsia="Times New Roman" w:hAnsi="Times New Roman"/>
          <w:sz w:val="13"/>
          <w:szCs w:val="13"/>
          <w:i w:val="1"/>
          <w:iCs w:val="1"/>
          <w:color w:val="auto"/>
        </w:rPr>
        <w:t>2</w:t>
      </w:r>
      <w:r>
        <w:rPr>
          <w:rFonts w:ascii="Times New Roman" w:cs="Times New Roman" w:eastAsia="Times New Roman" w:hAnsi="Times New Roman"/>
          <w:sz w:val="21"/>
          <w:szCs w:val="21"/>
          <w:i w:val="1"/>
          <w:iCs w:val="1"/>
          <w:color w:val="auto"/>
        </w:rPr>
        <w:t>) that can be used in missile systems. There are a range of compositions that can be denoted as MONi or MONij, where i and j are integers representing the percentage of nitric oxide in the</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mixture (</w:t>
      </w:r>
      <w:r>
        <w:rPr>
          <w:rFonts w:ascii="Times New Roman" w:cs="Times New Roman" w:eastAsia="Times New Roman" w:hAnsi="Times New Roman"/>
          <w:sz w:val="22"/>
          <w:szCs w:val="22"/>
          <w:i w:val="1"/>
          <w:iCs w:val="1"/>
          <w:u w:val="single" w:color="auto"/>
          <w:color w:val="auto"/>
        </w:rPr>
        <w:t>e.g.</w:t>
      </w:r>
      <w:r>
        <w:rPr>
          <w:rFonts w:ascii="Times New Roman" w:cs="Times New Roman" w:eastAsia="Times New Roman" w:hAnsi="Times New Roman"/>
          <w:sz w:val="22"/>
          <w:szCs w:val="22"/>
          <w:i w:val="1"/>
          <w:iCs w:val="1"/>
          <w:color w:val="auto"/>
        </w:rPr>
        <w:t>, MON3 contains 3% nitric oxide, MON25 25% nitric oxide. An upper limit is MON40, 40% by weight).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Polymeric substances:</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b.1. Carboxy-terminated polybutadiene (including carboxyl-terminated polybutadiene) (CTPB);</w:t>
      </w:r>
    </w:p>
    <w:p>
      <w:pPr>
        <w:spacing w:after="0" w:line="265"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b.2. Hydroxy-terminated polybutadiene (including hydroxyl-terminated polybutadiene) (HTPB) (CAS 69102-90-5), except for hydroxyl-terminated polybutadiene as specified in USML Category V (see 22 CFR 121.1) (also see Related Controls Note #1 for this ECCN);</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b.3.</w:t>
        <w:tab/>
        <w:t>Polybutadiene acrylic acid (PBAA);</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b.4. Polybutadiene acrylic acid acrylonitrile (PBAN) (CAS 25265-19-4 / CAS 68891-50-9);</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b.5. Polytetrahydrofuran polyethylene glycol (TPEG).</w:t>
      </w:r>
    </w:p>
    <w:p>
      <w:pPr>
        <w:spacing w:after="0" w:line="268"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Polytetrahydrofuran</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polyethylene glycol (TPEG) is a block copolymer of poly 1,4-Butanediol (CAS 110-63-4) and polyethylene glycol (PEG) (CAS 25322-68-3).</w:t>
      </w:r>
    </w:p>
    <w:p>
      <w:pPr>
        <w:spacing w:after="0" w:line="257" w:lineRule="exact"/>
        <w:rPr>
          <w:sz w:val="20"/>
          <w:szCs w:val="20"/>
          <w:color w:val="auto"/>
        </w:rPr>
      </w:pPr>
    </w:p>
    <w:p>
      <w:pPr>
        <w:ind w:firstLine="1"/>
        <w:spacing w:after="0" w:line="234" w:lineRule="auto"/>
        <w:tabs>
          <w:tab w:leader="none" w:pos="603" w:val="left"/>
        </w:tabs>
        <w:numPr>
          <w:ilvl w:val="0"/>
          <w:numId w:val="10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propellant energetic materials, additives, or agents: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c.1.</w:t>
        <w:tab/>
        <w:t>[Reserved]</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c.2.</w:t>
        <w:tab/>
        <w:t>Triethylene glycol dinitrate (TEGDN);</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c.3.</w:t>
        <w:tab/>
        <w:t>2 Nitrodiphenylamine (2-NDPA);</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c.4.</w:t>
        <w:tab/>
        <w:t>Trimethylolethane trinitrate (TMETN);</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c.5.</w:t>
        <w:tab/>
        <w:t>Diethylene glycol dinitrate (DEGDN).</w:t>
      </w:r>
    </w:p>
    <w:p>
      <w:pPr>
        <w:spacing w:after="0" w:line="252" w:lineRule="exact"/>
        <w:rPr>
          <w:sz w:val="20"/>
          <w:szCs w:val="20"/>
          <w:color w:val="auto"/>
        </w:rPr>
      </w:pPr>
    </w:p>
    <w:p>
      <w:pPr>
        <w:jc w:val="center"/>
        <w:ind w:right="660"/>
        <w:spacing w:after="0"/>
        <w:tabs>
          <w:tab w:leader="none" w:pos="160" w:val="left"/>
        </w:tabs>
        <w:rPr>
          <w:sz w:val="20"/>
          <w:szCs w:val="20"/>
          <w:color w:val="auto"/>
        </w:rPr>
      </w:pPr>
      <w:r>
        <w:rPr>
          <w:rFonts w:ascii="Times New Roman" w:cs="Times New Roman" w:eastAsia="Times New Roman" w:hAnsi="Times New Roman"/>
          <w:sz w:val="22"/>
          <w:szCs w:val="22"/>
          <w:color w:val="auto"/>
        </w:rPr>
        <w:t>d.</w:t>
        <w:tab/>
        <w:t>Hydrazine and derivatives as follows:</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d.1. Hydrazine (C.A.S. # 302–01–2) in concentrations of 70% or more;</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d.2. Monomethyl hydrazine (MMH) (C.A.S. # 60–34–4);</w:t>
      </w:r>
    </w:p>
    <w:p>
      <w:pPr>
        <w:spacing w:after="0" w:line="21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0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48" w:name="page49"/>
    <w:bookmarkEnd w:id="4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49</w:t>
      </w:r>
    </w:p>
    <w:p>
      <w:pPr>
        <w:sectPr>
          <w:pgSz w:w="12240" w:h="15840" w:orient="portrait"/>
          <w:cols w:equalWidth="0" w:num="1">
            <w:col w:w="9480"/>
          </w:cols>
          <w:pgMar w:left="1440" w:top="1293" w:right="1320" w:bottom="124" w:gutter="0" w:footer="0" w:header="0"/>
        </w:sectPr>
      </w:pPr>
    </w:p>
    <w:p>
      <w:pPr>
        <w:spacing w:after="0" w:line="200" w:lineRule="exact"/>
        <w:rPr>
          <w:sz w:val="20"/>
          <w:szCs w:val="20"/>
          <w:color w:val="auto"/>
        </w:rPr>
      </w:pPr>
    </w:p>
    <w:p>
      <w:pPr>
        <w:spacing w:after="0" w:line="340"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d.3. Symmetrical dimethyl hydrazine (SDMH) (C.A.S. # 540–73–8);</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d.4. Unsymmetrical dimethyl hydrazine (UDMH) (C.A.S. # 57–14–7);</w:t>
      </w:r>
    </w:p>
    <w:p>
      <w:pPr>
        <w:spacing w:after="0" w:line="266"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1"/>
          <w:szCs w:val="21"/>
          <w:color w:val="auto"/>
        </w:rPr>
        <w:t>d.5.</w:t>
        <w:tab/>
        <w:t>Trimethylhydrazine (C.A.S. # 1741-01-</w:t>
      </w:r>
    </w:p>
    <w:p>
      <w:pPr>
        <w:spacing w:after="0"/>
        <w:rPr>
          <w:sz w:val="20"/>
          <w:szCs w:val="20"/>
          <w:color w:val="auto"/>
        </w:rPr>
      </w:pPr>
      <w:r>
        <w:rPr>
          <w:rFonts w:ascii="Times New Roman" w:cs="Times New Roman" w:eastAsia="Times New Roman" w:hAnsi="Times New Roman"/>
          <w:sz w:val="22"/>
          <w:szCs w:val="22"/>
          <w:color w:val="auto"/>
        </w:rPr>
        <w:t>1);</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d.6. Tetramethylhydrazine (C.A.S. # 6415-12-9);</w:t>
      </w:r>
    </w:p>
    <w:p>
      <w:pPr>
        <w:spacing w:after="0" w:line="254" w:lineRule="exact"/>
        <w:rPr>
          <w:sz w:val="20"/>
          <w:szCs w:val="20"/>
          <w:color w:val="auto"/>
        </w:rPr>
      </w:pPr>
    </w:p>
    <w:p>
      <w:pPr>
        <w:ind w:left="360"/>
        <w:spacing w:after="0"/>
        <w:tabs>
          <w:tab w:leader="none" w:pos="880" w:val="left"/>
        </w:tabs>
        <w:rPr>
          <w:sz w:val="20"/>
          <w:szCs w:val="20"/>
          <w:color w:val="auto"/>
        </w:rPr>
      </w:pPr>
      <w:r>
        <w:rPr>
          <w:rFonts w:ascii="Times New Roman" w:cs="Times New Roman" w:eastAsia="Times New Roman" w:hAnsi="Times New Roman"/>
          <w:sz w:val="22"/>
          <w:szCs w:val="22"/>
          <w:color w:val="auto"/>
        </w:rPr>
        <w:t>d.7.</w:t>
        <w:tab/>
        <w:t>N,N diallylhydrazine (CAS 5164-11-</w:t>
      </w:r>
    </w:p>
    <w:p>
      <w:pPr>
        <w:spacing w:after="0"/>
        <w:rPr>
          <w:sz w:val="20"/>
          <w:szCs w:val="20"/>
          <w:color w:val="auto"/>
        </w:rPr>
      </w:pPr>
      <w:r>
        <w:rPr>
          <w:rFonts w:ascii="Times New Roman" w:cs="Times New Roman" w:eastAsia="Times New Roman" w:hAnsi="Times New Roman"/>
          <w:sz w:val="22"/>
          <w:szCs w:val="22"/>
          <w:color w:val="auto"/>
        </w:rPr>
        <w:t>4);</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d.8.</w:t>
        <w:tab/>
        <w:t>Allylhydrazine (C.A.S. # 7422-78-8);</w:t>
      </w:r>
    </w:p>
    <w:p>
      <w:pPr>
        <w:spacing w:after="0" w:line="253" w:lineRule="exact"/>
        <w:rPr>
          <w:sz w:val="20"/>
          <w:szCs w:val="20"/>
          <w:color w:val="auto"/>
        </w:rPr>
      </w:pPr>
    </w:p>
    <w:p>
      <w:pPr>
        <w:ind w:left="360"/>
        <w:spacing w:after="0"/>
        <w:tabs>
          <w:tab w:leader="none" w:pos="880" w:val="left"/>
        </w:tabs>
        <w:rPr>
          <w:sz w:val="20"/>
          <w:szCs w:val="20"/>
          <w:color w:val="auto"/>
        </w:rPr>
      </w:pPr>
      <w:r>
        <w:rPr>
          <w:rFonts w:ascii="Times New Roman" w:cs="Times New Roman" w:eastAsia="Times New Roman" w:hAnsi="Times New Roman"/>
          <w:sz w:val="22"/>
          <w:szCs w:val="22"/>
          <w:color w:val="auto"/>
        </w:rPr>
        <w:t>d.9.</w:t>
        <w:tab/>
        <w:t>Ethylene dihydrazine (CAS 6068-98-</w:t>
      </w:r>
    </w:p>
    <w:p>
      <w:pPr>
        <w:spacing w:after="0"/>
        <w:rPr>
          <w:sz w:val="20"/>
          <w:szCs w:val="20"/>
          <w:color w:val="auto"/>
        </w:rPr>
      </w:pPr>
      <w:r>
        <w:rPr>
          <w:rFonts w:ascii="Times New Roman" w:cs="Times New Roman" w:eastAsia="Times New Roman" w:hAnsi="Times New Roman"/>
          <w:sz w:val="22"/>
          <w:szCs w:val="22"/>
          <w:color w:val="auto"/>
        </w:rPr>
        <w:t>0);</w:t>
      </w:r>
    </w:p>
    <w:p>
      <w:pPr>
        <w:spacing w:after="0" w:line="252"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color w:val="auto"/>
        </w:rPr>
        <w:t>d.10.</w:t>
      </w:r>
      <w:r>
        <w:rPr>
          <w:sz w:val="20"/>
          <w:szCs w:val="20"/>
          <w:color w:val="auto"/>
        </w:rPr>
        <w:tab/>
      </w:r>
      <w:r>
        <w:rPr>
          <w:rFonts w:ascii="Times New Roman" w:cs="Times New Roman" w:eastAsia="Times New Roman" w:hAnsi="Times New Roman"/>
          <w:sz w:val="21"/>
          <w:szCs w:val="21"/>
          <w:color w:val="auto"/>
        </w:rPr>
        <w:t>Monomethylhydrazine dinitrate;</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d.11. Unsymmetrical dimethylhydrazine nitrate;</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d.12. 1,1-Dimethylhydrazinium azide (CAS 227955-52-4) / 1,2-Dimethylhydrazinium azide (CAS 299177-50-7);</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d.13. Hydrazinium azide (C.A.S. # 14546-44-2);</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d.14. Hydrazinium dinitrate (CAS 13464-98-7);</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d.15. Diimido oxalic acid dihydrazine (C.A.S. # 3457-37-2);</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d.16. 2-hydroxyethylhydrazine nitrate (HEHN);</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d.17. Hydrazinium diperchlorate (C.A.S. # 13812-39-0);</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d.18. Methylhydrazine nitrate (MHN) (CAS 29674-96-2);</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color w:val="auto"/>
        </w:rPr>
        <w:t>d.19.</w:t>
        <w:tab/>
        <w:t>1,1-Diethylhydrazine nitrate (DEHN)</w:t>
      </w:r>
    </w:p>
    <w:p>
      <w:pPr>
        <w:ind w:left="200" w:hanging="199"/>
        <w:spacing w:after="0"/>
        <w:tabs>
          <w:tab w:leader="none" w:pos="200" w:val="left"/>
        </w:tabs>
        <w:numPr>
          <w:ilvl w:val="0"/>
          <w:numId w:val="1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1,2-Diethylhydrazine  nitrate  (DEHN)  (CAS</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363453-17-2);</w:t>
      </w:r>
    </w:p>
    <w:p>
      <w:pPr>
        <w:spacing w:after="0" w:line="266" w:lineRule="exact"/>
        <w:rPr>
          <w:sz w:val="20"/>
          <w:szCs w:val="20"/>
          <w:color w:val="auto"/>
        </w:rPr>
      </w:pPr>
    </w:p>
    <w:p>
      <w:pPr>
        <w:jc w:val="both"/>
        <w:ind w:right="120" w:firstLine="360"/>
        <w:spacing w:after="0" w:line="235" w:lineRule="auto"/>
        <w:rPr>
          <w:sz w:val="20"/>
          <w:szCs w:val="20"/>
          <w:color w:val="auto"/>
        </w:rPr>
      </w:pPr>
      <w:r>
        <w:rPr>
          <w:rFonts w:ascii="Times New Roman" w:cs="Times New Roman" w:eastAsia="Times New Roman" w:hAnsi="Times New Roman"/>
          <w:sz w:val="22"/>
          <w:szCs w:val="22"/>
          <w:color w:val="auto"/>
        </w:rPr>
        <w:t>d.20. 3,6-dihydrazino tetrazine nitrate (DHTN), also referred to as 1,4-dihydrazine nitrate.</w:t>
      </w:r>
    </w:p>
    <w:p>
      <w:pPr>
        <w:spacing w:after="0" w:line="200" w:lineRule="exact"/>
        <w:rPr>
          <w:sz w:val="20"/>
          <w:szCs w:val="20"/>
          <w:color w:val="auto"/>
        </w:rPr>
      </w:pPr>
    </w:p>
    <w:p>
      <w:pPr>
        <w:spacing w:after="0" w:line="368" w:lineRule="exact"/>
        <w:rPr>
          <w:sz w:val="20"/>
          <w:szCs w:val="20"/>
          <w:color w:val="auto"/>
        </w:rPr>
      </w:pPr>
    </w:p>
    <w:p>
      <w:pPr>
        <w:jc w:val="both"/>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1C116 Maraging steels having both of the following (see List of Items Controlled).</w:t>
      </w:r>
    </w:p>
    <w:p>
      <w:pPr>
        <w:spacing w:after="0" w:line="253"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160" w:type="dxa"/>
            <w:vAlign w:val="bottom"/>
            <w:gridSpan w:val="4"/>
          </w:tcPr>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400" w:type="dxa"/>
            <w:vAlign w:val="bottom"/>
          </w:tcPr>
          <w:p>
            <w:pPr>
              <w:spacing w:after="0"/>
              <w:rPr>
                <w:sz w:val="22"/>
                <w:szCs w:val="22"/>
                <w:color w:val="auto"/>
              </w:rPr>
            </w:pPr>
          </w:p>
        </w:tc>
        <w:tc>
          <w:tcPr>
            <w:tcW w:w="1880" w:type="dxa"/>
            <w:vAlign w:val="bottom"/>
          </w:tcPr>
          <w:p>
            <w:pPr>
              <w:spacing w:after="0"/>
              <w:rPr>
                <w:sz w:val="22"/>
                <w:szCs w:val="22"/>
                <w:color w:val="auto"/>
              </w:rPr>
            </w:pPr>
          </w:p>
        </w:tc>
      </w:tr>
      <w:tr>
        <w:trPr>
          <w:trHeight w:val="505"/>
        </w:trPr>
        <w:tc>
          <w:tcPr>
            <w:tcW w:w="40" w:type="dxa"/>
            <w:vAlign w:val="bottom"/>
          </w:tcPr>
          <w:p>
            <w:pPr>
              <w:spacing w:after="0"/>
              <w:rPr>
                <w:sz w:val="24"/>
                <w:szCs w:val="24"/>
                <w:color w:val="auto"/>
              </w:rPr>
            </w:pPr>
          </w:p>
        </w:tc>
        <w:tc>
          <w:tcPr>
            <w:tcW w:w="2120" w:type="dxa"/>
            <w:vAlign w:val="bottom"/>
            <w:gridSpan w:val="3"/>
          </w:tcPr>
          <w:p>
            <w:pPr>
              <w:ind w:left="32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280" w:type="dxa"/>
            <w:vAlign w:val="bottom"/>
            <w:gridSpan w:val="2"/>
          </w:tcPr>
          <w:p>
            <w:pPr>
              <w:ind w:left="220"/>
              <w:spacing w:after="0"/>
              <w:rPr>
                <w:sz w:val="20"/>
                <w:szCs w:val="20"/>
                <w:color w:val="auto"/>
              </w:rPr>
            </w:pPr>
            <w:r>
              <w:rPr>
                <w:rFonts w:ascii="Times New Roman" w:cs="Times New Roman" w:eastAsia="Times New Roman" w:hAnsi="Times New Roman"/>
                <w:sz w:val="22"/>
                <w:szCs w:val="22"/>
                <w:color w:val="auto"/>
              </w:rPr>
              <w:t>MT, NP, AT</w:t>
            </w:r>
          </w:p>
        </w:tc>
      </w:tr>
      <w:tr>
        <w:trPr>
          <w:trHeight w:val="256"/>
        </w:trPr>
        <w:tc>
          <w:tcPr>
            <w:tcW w:w="40" w:type="dxa"/>
            <w:vAlign w:val="bottom"/>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700" w:type="dxa"/>
            <w:vAlign w:val="bottom"/>
            <w:tcBorders>
              <w:bottom w:val="single" w:sz="8" w:color="auto"/>
            </w:tcBorders>
          </w:tcPr>
          <w:p>
            <w:pPr>
              <w:spacing w:after="0"/>
              <w:rPr>
                <w:sz w:val="22"/>
                <w:szCs w:val="22"/>
                <w:color w:val="auto"/>
              </w:rPr>
            </w:pPr>
          </w:p>
        </w:tc>
        <w:tc>
          <w:tcPr>
            <w:tcW w:w="980" w:type="dxa"/>
            <w:vAlign w:val="bottom"/>
            <w:tcBorders>
              <w:bottom w:val="single" w:sz="8" w:color="auto"/>
            </w:tcBorders>
          </w:tcPr>
          <w:p>
            <w:pPr>
              <w:spacing w:after="0"/>
              <w:rPr>
                <w:sz w:val="22"/>
                <w:szCs w:val="22"/>
                <w:color w:val="auto"/>
              </w:rPr>
            </w:pPr>
          </w:p>
        </w:tc>
        <w:tc>
          <w:tcPr>
            <w:tcW w:w="400" w:type="dxa"/>
            <w:vAlign w:val="bottom"/>
            <w:tcBorders>
              <w:bottom w:val="single" w:sz="8" w:color="auto"/>
            </w:tcBorders>
          </w:tcPr>
          <w:p>
            <w:pPr>
              <w:spacing w:after="0"/>
              <w:rPr>
                <w:sz w:val="22"/>
                <w:szCs w:val="22"/>
                <w:color w:val="auto"/>
              </w:rPr>
            </w:pPr>
          </w:p>
        </w:tc>
        <w:tc>
          <w:tcPr>
            <w:tcW w:w="1880" w:type="dxa"/>
            <w:vAlign w:val="bottom"/>
            <w:tcBorders>
              <w:bottom w:val="single" w:sz="8" w:color="auto"/>
            </w:tcBorders>
          </w:tcPr>
          <w:p>
            <w:pPr>
              <w:spacing w:after="0"/>
              <w:rPr>
                <w:sz w:val="22"/>
                <w:szCs w:val="22"/>
                <w:color w:val="auto"/>
              </w:rPr>
            </w:pPr>
          </w:p>
        </w:tc>
      </w:tr>
      <w:tr>
        <w:trPr>
          <w:trHeight w:val="241"/>
        </w:trPr>
        <w:tc>
          <w:tcPr>
            <w:tcW w:w="40" w:type="dxa"/>
            <w:vAlign w:val="bottom"/>
            <w:tcBorders>
              <w:right w:val="single" w:sz="8" w:color="auto"/>
            </w:tcBorders>
          </w:tcPr>
          <w:p>
            <w:pPr>
              <w:spacing w:after="0"/>
              <w:rPr>
                <w:sz w:val="20"/>
                <w:szCs w:val="20"/>
                <w:color w:val="auto"/>
              </w:rPr>
            </w:pPr>
          </w:p>
        </w:tc>
        <w:tc>
          <w:tcPr>
            <w:tcW w:w="440" w:type="dxa"/>
            <w:vAlign w:val="bottom"/>
          </w:tcPr>
          <w:p>
            <w:pPr>
              <w:spacing w:after="0"/>
              <w:rPr>
                <w:sz w:val="20"/>
                <w:szCs w:val="20"/>
                <w:color w:val="auto"/>
              </w:rPr>
            </w:pPr>
          </w:p>
        </w:tc>
        <w:tc>
          <w:tcPr>
            <w:tcW w:w="700" w:type="dxa"/>
            <w:vAlign w:val="bottom"/>
          </w:tcPr>
          <w:p>
            <w:pPr>
              <w:spacing w:after="0"/>
              <w:rPr>
                <w:sz w:val="20"/>
                <w:szCs w:val="20"/>
                <w:color w:val="auto"/>
              </w:rPr>
            </w:pPr>
          </w:p>
        </w:tc>
        <w:tc>
          <w:tcPr>
            <w:tcW w:w="980" w:type="dxa"/>
            <w:vAlign w:val="bottom"/>
          </w:tcPr>
          <w:p>
            <w:pPr>
              <w:spacing w:after="0"/>
              <w:rPr>
                <w:sz w:val="20"/>
                <w:szCs w:val="20"/>
                <w:color w:val="auto"/>
              </w:rPr>
            </w:pPr>
          </w:p>
        </w:tc>
        <w:tc>
          <w:tcPr>
            <w:tcW w:w="400" w:type="dxa"/>
            <w:vAlign w:val="bottom"/>
            <w:tcBorders>
              <w:right w:val="single" w:sz="8" w:color="auto"/>
            </w:tcBorders>
          </w:tcPr>
          <w:p>
            <w:pPr>
              <w:spacing w:after="0"/>
              <w:rPr>
                <w:sz w:val="20"/>
                <w:szCs w:val="20"/>
                <w:color w:val="auto"/>
              </w:rPr>
            </w:pPr>
          </w:p>
        </w:tc>
        <w:tc>
          <w:tcPr>
            <w:tcW w:w="1880" w:type="dxa"/>
            <w:vAlign w:val="bottom"/>
            <w:tcBorders>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40" w:type="dxa"/>
            <w:vAlign w:val="bottom"/>
            <w:tcBorders>
              <w:right w:val="single" w:sz="8" w:color="auto"/>
            </w:tcBorders>
          </w:tcPr>
          <w:p>
            <w:pPr>
              <w:spacing w:after="0"/>
              <w:rPr>
                <w:sz w:val="22"/>
                <w:szCs w:val="22"/>
                <w:color w:val="auto"/>
              </w:rPr>
            </w:pPr>
          </w:p>
        </w:tc>
        <w:tc>
          <w:tcPr>
            <w:tcW w:w="440" w:type="dxa"/>
            <w:vAlign w:val="bottom"/>
          </w:tcPr>
          <w:p>
            <w:pPr>
              <w:spacing w:after="0"/>
              <w:rPr>
                <w:sz w:val="22"/>
                <w:szCs w:val="22"/>
                <w:color w:val="auto"/>
              </w:rPr>
            </w:pPr>
          </w:p>
        </w:tc>
        <w:tc>
          <w:tcPr>
            <w:tcW w:w="1680" w:type="dxa"/>
            <w:vAlign w:val="bottom"/>
            <w:gridSpan w:val="2"/>
          </w:tcPr>
          <w:p>
            <w:pPr>
              <w:ind w:left="3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00" w:type="dxa"/>
            <w:vAlign w:val="bottom"/>
            <w:tcBorders>
              <w:right w:val="single" w:sz="8" w:color="auto"/>
            </w:tcBorders>
          </w:tcPr>
          <w:p>
            <w:pPr>
              <w:spacing w:after="0"/>
              <w:rPr>
                <w:sz w:val="22"/>
                <w:szCs w:val="22"/>
                <w:color w:val="auto"/>
              </w:rPr>
            </w:pP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40" w:type="dxa"/>
            <w:vAlign w:val="bottom"/>
            <w:tcBorders>
              <w:right w:val="single" w:sz="8" w:color="auto"/>
            </w:tcBorders>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700" w:type="dxa"/>
            <w:vAlign w:val="bottom"/>
            <w:tcBorders>
              <w:bottom w:val="single" w:sz="8" w:color="auto"/>
            </w:tcBorders>
          </w:tcPr>
          <w:p>
            <w:pPr>
              <w:spacing w:after="0"/>
              <w:rPr>
                <w:sz w:val="22"/>
                <w:szCs w:val="22"/>
                <w:color w:val="auto"/>
              </w:rPr>
            </w:pPr>
          </w:p>
        </w:tc>
        <w:tc>
          <w:tcPr>
            <w:tcW w:w="980" w:type="dxa"/>
            <w:vAlign w:val="bottom"/>
            <w:tcBorders>
              <w:bottom w:val="single" w:sz="8" w:color="auto"/>
            </w:tcBorders>
          </w:tcPr>
          <w:p>
            <w:pPr>
              <w:spacing w:after="0"/>
              <w:rPr>
                <w:sz w:val="22"/>
                <w:szCs w:val="22"/>
                <w:color w:val="auto"/>
              </w:rPr>
            </w:pPr>
          </w:p>
        </w:tc>
        <w:tc>
          <w:tcPr>
            <w:tcW w:w="400" w:type="dxa"/>
            <w:vAlign w:val="bottom"/>
            <w:tcBorders>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2"/>
        </w:trPr>
        <w:tc>
          <w:tcPr>
            <w:tcW w:w="40" w:type="dxa"/>
            <w:vAlign w:val="bottom"/>
            <w:tcBorders>
              <w:right w:val="single" w:sz="8" w:color="auto"/>
            </w:tcBorders>
          </w:tcPr>
          <w:p>
            <w:pPr>
              <w:spacing w:after="0"/>
              <w:rPr>
                <w:sz w:val="21"/>
                <w:szCs w:val="21"/>
                <w:color w:val="auto"/>
              </w:rPr>
            </w:pPr>
          </w:p>
        </w:tc>
        <w:tc>
          <w:tcPr>
            <w:tcW w:w="2520" w:type="dxa"/>
            <w:vAlign w:val="bottom"/>
            <w:tcBorders>
              <w:bottom w:val="single" w:sz="8" w:color="auto"/>
              <w:right w:val="single" w:sz="8" w:color="auto"/>
            </w:tcBorders>
            <w:gridSpan w:val="4"/>
          </w:tcPr>
          <w:p>
            <w:pP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8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1"/>
        </w:trPr>
        <w:tc>
          <w:tcPr>
            <w:tcW w:w="40" w:type="dxa"/>
            <w:vAlign w:val="bottom"/>
            <w:tcBorders>
              <w:right w:val="single" w:sz="8" w:color="auto"/>
            </w:tcBorders>
          </w:tcPr>
          <w:p>
            <w:pPr>
              <w:spacing w:after="0"/>
              <w:rPr>
                <w:sz w:val="20"/>
                <w:szCs w:val="20"/>
                <w:color w:val="auto"/>
              </w:rPr>
            </w:pPr>
          </w:p>
        </w:tc>
        <w:tc>
          <w:tcPr>
            <w:tcW w:w="440" w:type="dxa"/>
            <w:vAlign w:val="bottom"/>
          </w:tcPr>
          <w:p>
            <w:pPr>
              <w:spacing w:after="0" w:line="241" w:lineRule="exact"/>
              <w:rPr>
                <w:sz w:val="20"/>
                <w:szCs w:val="20"/>
                <w:color w:val="auto"/>
              </w:rPr>
            </w:pPr>
            <w:r>
              <w:rPr>
                <w:rFonts w:ascii="Times New Roman" w:cs="Times New Roman" w:eastAsia="Times New Roman" w:hAnsi="Times New Roman"/>
                <w:sz w:val="22"/>
                <w:szCs w:val="22"/>
                <w:color w:val="auto"/>
              </w:rPr>
              <w:t>NP</w:t>
            </w:r>
          </w:p>
        </w:tc>
        <w:tc>
          <w:tcPr>
            <w:tcW w:w="700" w:type="dxa"/>
            <w:vAlign w:val="bottom"/>
          </w:tcPr>
          <w:p>
            <w:pPr>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980" w:type="dxa"/>
            <w:vAlign w:val="bottom"/>
          </w:tcPr>
          <w:p>
            <w:pPr>
              <w:jc w:val="center"/>
              <w:spacing w:after="0" w:line="241" w:lineRule="exact"/>
              <w:rPr>
                <w:sz w:val="20"/>
                <w:szCs w:val="20"/>
                <w:color w:val="auto"/>
              </w:rPr>
            </w:pPr>
            <w:r>
              <w:rPr>
                <w:rFonts w:ascii="Times New Roman" w:cs="Times New Roman" w:eastAsia="Times New Roman" w:hAnsi="Times New Roman"/>
                <w:sz w:val="22"/>
                <w:szCs w:val="22"/>
                <w:color w:val="auto"/>
              </w:rPr>
              <w:t>to  items</w:t>
            </w:r>
          </w:p>
        </w:tc>
        <w:tc>
          <w:tcPr>
            <w:tcW w:w="400" w:type="dxa"/>
            <w:vAlign w:val="bottom"/>
            <w:tcBorders>
              <w:right w:val="single" w:sz="8" w:color="auto"/>
            </w:tcBorders>
          </w:tcPr>
          <w:p>
            <w:pPr>
              <w:jc w:val="right"/>
              <w:spacing w:after="0" w:line="241" w:lineRule="exact"/>
              <w:rPr>
                <w:sz w:val="20"/>
                <w:szCs w:val="20"/>
                <w:color w:val="auto"/>
              </w:rPr>
            </w:pPr>
            <w:r>
              <w:rPr>
                <w:rFonts w:ascii="Times New Roman" w:cs="Times New Roman" w:eastAsia="Times New Roman" w:hAnsi="Times New Roman"/>
                <w:sz w:val="22"/>
                <w:szCs w:val="22"/>
                <w:color w:val="auto"/>
              </w:rPr>
              <w:t>that</w:t>
            </w:r>
          </w:p>
        </w:tc>
        <w:tc>
          <w:tcPr>
            <w:tcW w:w="188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40" w:type="dxa"/>
            <w:vAlign w:val="bottom"/>
            <w:tcBorders>
              <w:right w:val="single" w:sz="8" w:color="auto"/>
            </w:tcBorders>
          </w:tcPr>
          <w:p>
            <w:pPr>
              <w:spacing w:after="0"/>
              <w:rPr>
                <w:sz w:val="22"/>
                <w:szCs w:val="22"/>
                <w:color w:val="auto"/>
              </w:rPr>
            </w:pPr>
          </w:p>
        </w:tc>
        <w:tc>
          <w:tcPr>
            <w:tcW w:w="440" w:type="dxa"/>
            <w:vAlign w:val="bottom"/>
          </w:tcPr>
          <w:p>
            <w:pPr>
              <w:spacing w:after="0"/>
              <w:rPr>
                <w:sz w:val="20"/>
                <w:szCs w:val="20"/>
                <w:color w:val="auto"/>
              </w:rPr>
            </w:pPr>
            <w:r>
              <w:rPr>
                <w:rFonts w:ascii="Times New Roman" w:cs="Times New Roman" w:eastAsia="Times New Roman" w:hAnsi="Times New Roman"/>
                <w:sz w:val="22"/>
                <w:szCs w:val="22"/>
                <w:color w:val="auto"/>
                <w:w w:val="98"/>
              </w:rPr>
              <w:t>meet</w:t>
            </w:r>
          </w:p>
        </w:tc>
        <w:tc>
          <w:tcPr>
            <w:tcW w:w="700" w:type="dxa"/>
            <w:vAlign w:val="bottom"/>
          </w:tcPr>
          <w:p>
            <w:pPr>
              <w:ind w:left="320"/>
              <w:spacing w:after="0"/>
              <w:rPr>
                <w:sz w:val="20"/>
                <w:szCs w:val="20"/>
                <w:color w:val="auto"/>
              </w:rPr>
            </w:pPr>
            <w:r>
              <w:rPr>
                <w:rFonts w:ascii="Times New Roman" w:cs="Times New Roman" w:eastAsia="Times New Roman" w:hAnsi="Times New Roman"/>
                <w:sz w:val="22"/>
                <w:szCs w:val="22"/>
                <w:color w:val="auto"/>
              </w:rPr>
              <w:t>or</w:t>
            </w:r>
          </w:p>
        </w:tc>
        <w:tc>
          <w:tcPr>
            <w:tcW w:w="980" w:type="dxa"/>
            <w:vAlign w:val="bottom"/>
          </w:tcPr>
          <w:p>
            <w:pPr>
              <w:jc w:val="center"/>
              <w:spacing w:after="0"/>
              <w:rPr>
                <w:sz w:val="20"/>
                <w:szCs w:val="20"/>
                <w:color w:val="auto"/>
              </w:rPr>
            </w:pPr>
            <w:r>
              <w:rPr>
                <w:rFonts w:ascii="Times New Roman" w:cs="Times New Roman" w:eastAsia="Times New Roman" w:hAnsi="Times New Roman"/>
                <w:sz w:val="22"/>
                <w:szCs w:val="22"/>
                <w:color w:val="auto"/>
                <w:w w:val="98"/>
              </w:rPr>
              <w:t>exceed</w:t>
            </w:r>
          </w:p>
        </w:tc>
        <w:tc>
          <w:tcPr>
            <w:tcW w:w="4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the</w:t>
            </w:r>
          </w:p>
        </w:tc>
        <w:tc>
          <w:tcPr>
            <w:tcW w:w="1880" w:type="dxa"/>
            <w:vAlign w:val="bottom"/>
            <w:tcBorders>
              <w:right w:val="single" w:sz="8" w:color="auto"/>
            </w:tcBorders>
          </w:tcPr>
          <w:p>
            <w:pPr>
              <w:spacing w:after="0"/>
              <w:rPr>
                <w:sz w:val="22"/>
                <w:szCs w:val="22"/>
                <w:color w:val="auto"/>
              </w:rPr>
            </w:pPr>
          </w:p>
        </w:tc>
      </w:tr>
      <w:tr>
        <w:trPr>
          <w:trHeight w:val="255"/>
        </w:trPr>
        <w:tc>
          <w:tcPr>
            <w:tcW w:w="40" w:type="dxa"/>
            <w:vAlign w:val="bottom"/>
            <w:tcBorders>
              <w:right w:val="single" w:sz="8" w:color="auto"/>
            </w:tcBorders>
          </w:tcPr>
          <w:p>
            <w:pPr>
              <w:spacing w:after="0"/>
              <w:rPr>
                <w:sz w:val="22"/>
                <w:szCs w:val="22"/>
                <w:color w:val="auto"/>
              </w:rPr>
            </w:pPr>
          </w:p>
        </w:tc>
        <w:tc>
          <w:tcPr>
            <w:tcW w:w="2120" w:type="dxa"/>
            <w:vAlign w:val="bottom"/>
            <w:tcBorders>
              <w:bottom w:val="single" w:sz="8" w:color="auto"/>
            </w:tcBorders>
            <w:gridSpan w:val="3"/>
          </w:tcPr>
          <w:p>
            <w:pPr>
              <w:spacing w:after="0"/>
              <w:rPr>
                <w:sz w:val="20"/>
                <w:szCs w:val="20"/>
                <w:color w:val="auto"/>
              </w:rPr>
            </w:pPr>
            <w:r>
              <w:rPr>
                <w:rFonts w:ascii="Times New Roman" w:cs="Times New Roman" w:eastAsia="Times New Roman" w:hAnsi="Times New Roman"/>
                <w:sz w:val="22"/>
                <w:szCs w:val="22"/>
                <w:color w:val="auto"/>
              </w:rPr>
              <w:t>parameters of 1C216</w:t>
            </w:r>
          </w:p>
        </w:tc>
        <w:tc>
          <w:tcPr>
            <w:tcW w:w="400" w:type="dxa"/>
            <w:vAlign w:val="bottom"/>
            <w:tcBorders>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spacing w:after="0"/>
              <w:rPr>
                <w:sz w:val="22"/>
                <w:szCs w:val="22"/>
                <w:color w:val="auto"/>
              </w:rPr>
            </w:pPr>
          </w:p>
        </w:tc>
      </w:tr>
      <w:tr>
        <w:trPr>
          <w:trHeight w:val="243"/>
        </w:trPr>
        <w:tc>
          <w:tcPr>
            <w:tcW w:w="40" w:type="dxa"/>
            <w:vAlign w:val="bottom"/>
            <w:tcBorders>
              <w:right w:val="single" w:sz="8" w:color="auto"/>
            </w:tcBorders>
          </w:tcPr>
          <w:p>
            <w:pPr>
              <w:spacing w:after="0"/>
              <w:rPr>
                <w:sz w:val="21"/>
                <w:szCs w:val="21"/>
                <w:color w:val="auto"/>
              </w:rPr>
            </w:pPr>
          </w:p>
        </w:tc>
        <w:tc>
          <w:tcPr>
            <w:tcW w:w="2520" w:type="dxa"/>
            <w:vAlign w:val="bottom"/>
            <w:tcBorders>
              <w:bottom w:val="single" w:sz="8" w:color="auto"/>
              <w:right w:val="single" w:sz="8" w:color="auto"/>
            </w:tcBorders>
            <w:gridSpan w:val="4"/>
          </w:tcPr>
          <w:p>
            <w:pPr>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ind w:right="1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1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ECCNs</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1E001</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(“development” and “production”) and </w:t>
      </w:r>
      <w:r>
        <w:rPr>
          <w:rFonts w:ascii="Times New Roman" w:cs="Times New Roman" w:eastAsia="Times New Roman" w:hAnsi="Times New Roman"/>
          <w:sz w:val="21"/>
          <w:szCs w:val="21"/>
          <w:u w:val="single" w:color="auto"/>
          <w:color w:val="0000FF"/>
        </w:rPr>
        <w:t>1E101</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(“use”) for technology for items</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 xml:space="preserve">controlled by this entry. (2) Also see ECCN </w:t>
      </w:r>
      <w:r>
        <w:rPr>
          <w:rFonts w:ascii="Times New Roman" w:cs="Times New Roman" w:eastAsia="Times New Roman" w:hAnsi="Times New Roman"/>
          <w:sz w:val="21"/>
          <w:szCs w:val="21"/>
          <w:u w:val="single" w:color="auto"/>
          <w:color w:val="0000FF"/>
        </w:rPr>
        <w:t>1C216</w:t>
      </w:r>
      <w:r>
        <w:rPr>
          <w:rFonts w:ascii="Times New Roman" w:cs="Times New Roman" w:eastAsia="Times New Roman" w:hAnsi="Times New Roman"/>
          <w:sz w:val="21"/>
          <w:szCs w:val="21"/>
          <w:color w:val="000000"/>
        </w:rPr>
        <w:t>. (3) Maraging steel, in physical</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forms and finished products and “specially designed” or prepared for use in separating uranium isotopes, is subject to the export licensing authority of the Nuclear Regulatory Commission (see 10 CFR part 110).</w:t>
      </w:r>
    </w:p>
    <w:p>
      <w:pPr>
        <w:ind w:left="360"/>
        <w:spacing w:after="0" w:line="232" w:lineRule="auto"/>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660" w:firstLine="1"/>
        <w:spacing w:after="0" w:line="233" w:lineRule="auto"/>
        <w:tabs>
          <w:tab w:leader="none" w:pos="288" w:val="left"/>
        </w:tabs>
        <w:numPr>
          <w:ilvl w:val="0"/>
          <w:numId w:val="1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Having an ultimate tensile strength, measured at 20°C, equal to or greater than:</w:t>
      </w:r>
    </w:p>
    <w:p>
      <w:pPr>
        <w:spacing w:after="0" w:line="200" w:lineRule="exact"/>
        <w:rPr>
          <w:sz w:val="20"/>
          <w:szCs w:val="20"/>
          <w:color w:val="auto"/>
        </w:rPr>
      </w:pPr>
    </w:p>
    <w:p>
      <w:pPr>
        <w:sectPr>
          <w:pgSz w:w="12240" w:h="15840" w:orient="portrait"/>
          <w:cols w:equalWidth="0" w:num="2">
            <w:col w:w="4320" w:space="720"/>
            <w:col w:w="4440"/>
          </w:cols>
          <w:pgMar w:left="1440" w:top="1293" w:right="1320" w:bottom="124" w:gutter="0" w:footer="0" w:header="0"/>
          <w:type w:val="continuous"/>
        </w:sectPr>
      </w:pPr>
    </w:p>
    <w:p>
      <w:pPr>
        <w:spacing w:after="0" w:line="200" w:lineRule="exact"/>
        <w:rPr>
          <w:sz w:val="20"/>
          <w:szCs w:val="20"/>
          <w:color w:val="auto"/>
        </w:rPr>
      </w:pPr>
    </w:p>
    <w:p>
      <w:pPr>
        <w:spacing w:after="0" w:line="27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480"/>
          </w:cols>
          <w:pgMar w:left="1440" w:top="1293" w:right="1320" w:bottom="124" w:gutter="0" w:footer="0" w:header="0"/>
          <w:type w:val="continuous"/>
        </w:sectPr>
      </w:pPr>
    </w:p>
    <w:bookmarkStart w:id="49" w:name="page50"/>
    <w:bookmarkEnd w:id="4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50</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right="680" w:firstLine="360"/>
        <w:spacing w:after="0" w:line="234" w:lineRule="auto"/>
        <w:rPr>
          <w:sz w:val="20"/>
          <w:szCs w:val="20"/>
          <w:color w:val="auto"/>
        </w:rPr>
      </w:pPr>
      <w:r>
        <w:rPr>
          <w:rFonts w:ascii="Times New Roman" w:cs="Times New Roman" w:eastAsia="Times New Roman" w:hAnsi="Times New Roman"/>
          <w:sz w:val="22"/>
          <w:szCs w:val="22"/>
          <w:color w:val="auto"/>
        </w:rPr>
        <w:t xml:space="preserve">a.1. 0.9 GPa in the solution annealed stage;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ind w:right="320" w:firstLine="288"/>
        <w:spacing w:after="0" w:line="234" w:lineRule="auto"/>
        <w:rPr>
          <w:sz w:val="20"/>
          <w:szCs w:val="20"/>
          <w:color w:val="auto"/>
        </w:rPr>
      </w:pPr>
      <w:r>
        <w:rPr>
          <w:rFonts w:ascii="Times New Roman" w:cs="Times New Roman" w:eastAsia="Times New Roman" w:hAnsi="Times New Roman"/>
          <w:sz w:val="22"/>
          <w:szCs w:val="22"/>
          <w:color w:val="auto"/>
        </w:rPr>
        <w:t xml:space="preserve">a.2. 1.5 GPa in the precipitation hardened stage; </w:t>
      </w:r>
      <w:r>
        <w:rPr>
          <w:rFonts w:ascii="Times New Roman" w:cs="Times New Roman" w:eastAsia="Times New Roman" w:hAnsi="Times New Roman"/>
          <w:sz w:val="22"/>
          <w:szCs w:val="22"/>
          <w:i w:val="1"/>
          <w:iCs w:val="1"/>
          <w:color w:val="auto"/>
        </w:rPr>
        <w:t>and</w:t>
      </w:r>
    </w:p>
    <w:p>
      <w:pPr>
        <w:spacing w:after="0" w:line="253" w:lineRule="exact"/>
        <w:rPr>
          <w:sz w:val="20"/>
          <w:szCs w:val="20"/>
          <w:color w:val="auto"/>
        </w:rPr>
      </w:pPr>
    </w:p>
    <w:p>
      <w:pPr>
        <w:spacing w:after="0"/>
        <w:tabs>
          <w:tab w:leader="none" w:pos="340" w:val="left"/>
        </w:tabs>
        <w:rPr>
          <w:sz w:val="20"/>
          <w:szCs w:val="20"/>
          <w:color w:val="auto"/>
        </w:rPr>
      </w:pPr>
      <w:r>
        <w:rPr>
          <w:rFonts w:ascii="Times New Roman" w:cs="Times New Roman" w:eastAsia="Times New Roman" w:hAnsi="Times New Roman"/>
          <w:sz w:val="22"/>
          <w:szCs w:val="22"/>
          <w:color w:val="auto"/>
        </w:rPr>
        <w:t>b.</w:t>
        <w:tab/>
        <w:t>Any of the following forms:</w:t>
      </w:r>
    </w:p>
    <w:p>
      <w:pPr>
        <w:spacing w:after="0" w:line="266" w:lineRule="exact"/>
        <w:rPr>
          <w:sz w:val="20"/>
          <w:szCs w:val="20"/>
          <w:color w:val="auto"/>
        </w:rPr>
      </w:pPr>
    </w:p>
    <w:p>
      <w:pPr>
        <w:jc w:val="both"/>
        <w:ind w:right="120" w:firstLine="288"/>
        <w:spacing w:after="0" w:line="234" w:lineRule="auto"/>
        <w:rPr>
          <w:sz w:val="20"/>
          <w:szCs w:val="20"/>
          <w:color w:val="auto"/>
        </w:rPr>
      </w:pPr>
      <w:r>
        <w:rPr>
          <w:rFonts w:ascii="Times New Roman" w:cs="Times New Roman" w:eastAsia="Times New Roman" w:hAnsi="Times New Roman"/>
          <w:sz w:val="22"/>
          <w:szCs w:val="22"/>
          <w:color w:val="auto"/>
        </w:rPr>
        <w:t xml:space="preserve">b.1. Sheet, plate or tubing with a wall or plate thickness equal to or less than 5.0 mm;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right="120" w:firstLine="288"/>
        <w:spacing w:after="0" w:line="235" w:lineRule="auto"/>
        <w:rPr>
          <w:sz w:val="20"/>
          <w:szCs w:val="20"/>
          <w:color w:val="auto"/>
        </w:rPr>
      </w:pPr>
      <w:r>
        <w:rPr>
          <w:rFonts w:ascii="Times New Roman" w:cs="Times New Roman" w:eastAsia="Times New Roman" w:hAnsi="Times New Roman"/>
          <w:sz w:val="22"/>
          <w:szCs w:val="22"/>
          <w:color w:val="auto"/>
        </w:rPr>
        <w:t>b.2. Tubular forms with a wall thickness equal to or less than 50 mm and having an inner diameter equal to or greater than 270 mm.</w:t>
      </w:r>
    </w:p>
    <w:p>
      <w:pPr>
        <w:spacing w:after="0" w:line="20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p>
    <w:p>
      <w:pPr>
        <w:spacing w:after="0" w:line="13" w:lineRule="exact"/>
        <w:rPr>
          <w:sz w:val="20"/>
          <w:szCs w:val="20"/>
          <w:color w:val="auto"/>
        </w:rPr>
      </w:pPr>
    </w:p>
    <w:p>
      <w:pPr>
        <w:ind w:right="640" w:firstLine="288"/>
        <w:spacing w:after="0" w:line="234" w:lineRule="auto"/>
        <w:rPr>
          <w:sz w:val="20"/>
          <w:szCs w:val="20"/>
          <w:color w:val="auto"/>
        </w:rPr>
      </w:pPr>
      <w:r>
        <w:rPr>
          <w:rFonts w:ascii="Times New Roman" w:cs="Times New Roman" w:eastAsia="Times New Roman" w:hAnsi="Times New Roman"/>
          <w:sz w:val="22"/>
          <w:szCs w:val="22"/>
          <w:i w:val="1"/>
          <w:iCs w:val="1"/>
          <w:color w:val="auto"/>
        </w:rPr>
        <w:t>Maraging steels are iron alloys that are generally:</w:t>
      </w:r>
    </w:p>
    <w:p>
      <w:pPr>
        <w:spacing w:after="0" w:line="266" w:lineRule="exact"/>
        <w:rPr>
          <w:sz w:val="20"/>
          <w:szCs w:val="20"/>
          <w:color w:val="auto"/>
        </w:rPr>
      </w:pPr>
    </w:p>
    <w:p>
      <w:pPr>
        <w:ind w:right="120" w:firstLine="288"/>
        <w:spacing w:after="0" w:line="236" w:lineRule="auto"/>
        <w:tabs>
          <w:tab w:leader="none" w:pos="798" w:val="left"/>
        </w:tabs>
        <w:numPr>
          <w:ilvl w:val="0"/>
          <w:numId w:val="1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Characterized by high nickel, very low carbon content and use substitutional elements or precipitates to produce strengthening and age-hardening of the alloy; and</w:t>
      </w:r>
    </w:p>
    <w:p>
      <w:pPr>
        <w:spacing w:after="0" w:line="269" w:lineRule="exact"/>
        <w:rPr>
          <w:rFonts w:ascii="Times New Roman" w:cs="Times New Roman" w:eastAsia="Times New Roman" w:hAnsi="Times New Roman"/>
          <w:sz w:val="22"/>
          <w:szCs w:val="22"/>
          <w:i w:val="1"/>
          <w:iCs w:val="1"/>
          <w:color w:val="auto"/>
        </w:rPr>
      </w:pPr>
    </w:p>
    <w:p>
      <w:pPr>
        <w:jc w:val="both"/>
        <w:ind w:right="120" w:firstLine="288"/>
        <w:spacing w:after="0" w:line="236" w:lineRule="auto"/>
        <w:tabs>
          <w:tab w:leader="none" w:pos="606" w:val="left"/>
        </w:tabs>
        <w:numPr>
          <w:ilvl w:val="0"/>
          <w:numId w:val="1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Subjected to heat treatment cycles to facilitate the martensitic transformation process (solution annealed stage) and subsequently age hardened (precipitation hardened stage).</w:t>
      </w:r>
    </w:p>
    <w:p>
      <w:pPr>
        <w:spacing w:after="0" w:line="200" w:lineRule="exact"/>
        <w:rPr>
          <w:sz w:val="20"/>
          <w:szCs w:val="20"/>
          <w:color w:val="auto"/>
        </w:rPr>
      </w:pPr>
    </w:p>
    <w:p>
      <w:pPr>
        <w:spacing w:after="0" w:line="323" w:lineRule="exact"/>
        <w:rPr>
          <w:sz w:val="20"/>
          <w:szCs w:val="20"/>
          <w:color w:val="auto"/>
        </w:rPr>
      </w:pPr>
    </w:p>
    <w:p>
      <w:pPr>
        <w:jc w:val="both"/>
        <w:ind w:right="120"/>
        <w:spacing w:after="0" w:line="237" w:lineRule="auto"/>
        <w:rPr>
          <w:sz w:val="20"/>
          <w:szCs w:val="20"/>
          <w:color w:val="auto"/>
        </w:rPr>
      </w:pPr>
      <w:r>
        <w:rPr>
          <w:rFonts w:ascii="Times New Roman" w:cs="Times New Roman" w:eastAsia="Times New Roman" w:hAnsi="Times New Roman"/>
          <w:sz w:val="22"/>
          <w:szCs w:val="22"/>
          <w:b w:val="1"/>
          <w:bCs w:val="1"/>
          <w:color w:val="auto"/>
        </w:rPr>
        <w:t>1C117 Materials for the fabrication of missile “parts” or “components” for rockets or missiles capable of achieving a “range” equal to or greater than 300 km, as follows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7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7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280" w:right="142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1C226</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68"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a. Tungsten and alloys in particulate form with a tungsten content of 97% by weight or more and a particle size of 50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(50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m) or less;</w:t>
      </w:r>
    </w:p>
    <w:p>
      <w:pPr>
        <w:spacing w:after="0" w:line="194" w:lineRule="exact"/>
        <w:rPr>
          <w:sz w:val="20"/>
          <w:szCs w:val="20"/>
          <w:color w:val="auto"/>
        </w:rPr>
      </w:pPr>
    </w:p>
    <w:p>
      <w:pPr>
        <w:jc w:val="both"/>
        <w:spacing w:after="0" w:line="222" w:lineRule="auto"/>
        <w:rPr>
          <w:sz w:val="20"/>
          <w:szCs w:val="20"/>
          <w:color w:val="auto"/>
        </w:rPr>
      </w:pPr>
      <w:r>
        <w:rPr>
          <w:rFonts w:ascii="Times New Roman" w:cs="Times New Roman" w:eastAsia="Times New Roman" w:hAnsi="Times New Roman"/>
          <w:sz w:val="22"/>
          <w:szCs w:val="22"/>
          <w:color w:val="auto"/>
        </w:rPr>
        <w:t>b. Molybdenum and alloys in particulate form with a molybdenum content of 97% by weight or more and a particle size of 50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 (50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m) or less;</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c. Tungsten materials in the solid form having all of the following:</w:t>
      </w:r>
    </w:p>
    <w:p>
      <w:pPr>
        <w:spacing w:after="0" w:line="266" w:lineRule="exact"/>
        <w:rPr>
          <w:sz w:val="20"/>
          <w:szCs w:val="20"/>
          <w:color w:val="auto"/>
        </w:rPr>
      </w:pPr>
    </w:p>
    <w:p>
      <w:pPr>
        <w:jc w:val="both"/>
        <w:ind w:firstLine="306"/>
        <w:spacing w:after="0" w:line="233" w:lineRule="auto"/>
        <w:rPr>
          <w:sz w:val="20"/>
          <w:szCs w:val="20"/>
          <w:color w:val="auto"/>
        </w:rPr>
      </w:pPr>
      <w:r>
        <w:rPr>
          <w:rFonts w:ascii="Times New Roman" w:cs="Times New Roman" w:eastAsia="Times New Roman" w:hAnsi="Times New Roman"/>
          <w:sz w:val="22"/>
          <w:szCs w:val="22"/>
          <w:color w:val="auto"/>
        </w:rPr>
        <w:t>c.1. Any of the following material compositions:</w:t>
      </w:r>
    </w:p>
    <w:p>
      <w:pPr>
        <w:spacing w:after="0" w:line="267"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c.1.a. Tungsten and alloys containing 97% by weight or more of tungsten;</w:t>
      </w:r>
    </w:p>
    <w:p>
      <w:pPr>
        <w:spacing w:after="0" w:line="265"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c.1.b. Copper infiltrated tungsten containing 80% by weight or more of tungsten;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c.1.c. Silver infiltrated tungsten containing 80% by weight or more of tungsten;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c.2. Able to be machined to any of the following products:</w:t>
      </w:r>
    </w:p>
    <w:p>
      <w:pPr>
        <w:spacing w:after="0" w:line="265"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c.2.a. Cylinders having a diameter of 120 mm or greater and a length of 50 mm or greater;</w:t>
      </w:r>
    </w:p>
    <w:p>
      <w:pPr>
        <w:spacing w:after="0" w:line="267"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c.2.b. Tubes having an inner diameter of 65 mm or greater and a wall thickness of 25</w:t>
      </w:r>
    </w:p>
    <w:p>
      <w:pPr>
        <w:ind w:left="400" w:hanging="399"/>
        <w:spacing w:after="0"/>
        <w:tabs>
          <w:tab w:leader="none" w:pos="400" w:val="left"/>
        </w:tabs>
        <w:numPr>
          <w:ilvl w:val="0"/>
          <w:numId w:val="1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or greater and a length of 50 mm or greater;</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c.2.c. Blocks having a size of 120 mm x 120 mm x 50 mm or greater.</w:t>
      </w:r>
    </w:p>
    <w:p>
      <w:pPr>
        <w:spacing w:after="0" w:line="945" w:lineRule="exact"/>
        <w:rPr>
          <w:sz w:val="20"/>
          <w:szCs w:val="20"/>
          <w:color w:val="auto"/>
        </w:rPr>
      </w:pPr>
    </w:p>
    <w:p>
      <w:pPr>
        <w:sectPr>
          <w:pgSz w:w="12240" w:h="15840" w:orient="portrait"/>
          <w:cols w:equalWidth="0" w:num="2">
            <w:col w:w="4440" w:space="600"/>
            <w:col w:w="4320"/>
          </w:cols>
          <w:pgMar w:left="1440" w:top="1293" w:right="1440" w:bottom="124" w:gutter="0" w:footer="0" w:header="0"/>
          <w:type w:val="continuous"/>
        </w:sectPr>
      </w:pPr>
    </w:p>
    <w:p>
      <w:pPr>
        <w:spacing w:after="0" w:line="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0" w:name="page51"/>
    <w:bookmarkEnd w:id="5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51</w:t>
      </w:r>
    </w:p>
    <w:p>
      <w:pPr>
        <w:sectPr>
          <w:pgSz w:w="12240" w:h="15840" w:orient="portrait"/>
          <w:cols w:equalWidth="0" w:num="1">
            <w:col w:w="9380"/>
          </w:cols>
          <w:pgMar w:left="1440" w:top="1293" w:right="1420" w:bottom="124" w:gutter="0" w:footer="0" w:header="0"/>
        </w:sectPr>
      </w:pPr>
    </w:p>
    <w:p>
      <w:pPr>
        <w:spacing w:after="0" w:line="28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1C118 Titanium-stabilized duplex stainless steel (Ti-DSS), having all of the following characteristics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7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7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400" w:hanging="400"/>
        <w:spacing w:after="0"/>
        <w:tabs>
          <w:tab w:leader="none" w:pos="400" w:val="left"/>
        </w:tabs>
        <w:numPr>
          <w:ilvl w:val="0"/>
          <w:numId w:val="1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Having all of the following characteristics: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Containing 17.0-23.0% by weight of chromium and 4.5-7.0% by weight of nickel;</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a.2. Having a titanium content of greater than 0.10% by weight;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a.3. A ferritic-austenitic microstructure (also referred to as a two-phase microstructure) of which at least 10% by volume (according to ASTM E-1181-87 or national equivalents) is austenite; </w:t>
      </w:r>
      <w:r>
        <w:rPr>
          <w:rFonts w:ascii="Times New Roman" w:cs="Times New Roman" w:eastAsia="Times New Roman" w:hAnsi="Times New Roman"/>
          <w:sz w:val="22"/>
          <w:szCs w:val="22"/>
          <w:i w:val="1"/>
          <w:iCs w:val="1"/>
          <w:color w:val="auto"/>
        </w:rPr>
        <w:t>and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Having any of the following forms:</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b.1. Ingots or bars having a size of 100 mm or more in each dimension;</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b.2. Sheets having a width of 600 mm or more and a thickness of 3 mm or less;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right="20" w:firstLine="360"/>
        <w:spacing w:after="0" w:line="250" w:lineRule="auto"/>
        <w:rPr>
          <w:sz w:val="20"/>
          <w:szCs w:val="20"/>
          <w:color w:val="auto"/>
        </w:rPr>
      </w:pPr>
      <w:r>
        <w:rPr>
          <w:rFonts w:ascii="Times New Roman" w:cs="Times New Roman" w:eastAsia="Times New Roman" w:hAnsi="Times New Roman"/>
          <w:sz w:val="21"/>
          <w:szCs w:val="21"/>
          <w:color w:val="auto"/>
        </w:rPr>
        <w:t>b.3. Tubes having an outer diameter of 600 mm or more and a wall thickness of 3 mm or less.</w:t>
      </w:r>
    </w:p>
    <w:p>
      <w:pPr>
        <w:spacing w:after="0" w:line="200" w:lineRule="exact"/>
        <w:rPr>
          <w:sz w:val="20"/>
          <w:szCs w:val="20"/>
          <w:color w:val="auto"/>
        </w:rPr>
      </w:pPr>
    </w:p>
    <w:p>
      <w:pPr>
        <w:spacing w:after="0" w:line="299" w:lineRule="exact"/>
        <w:rPr>
          <w:sz w:val="20"/>
          <w:szCs w:val="20"/>
          <w:color w:val="auto"/>
        </w:rPr>
      </w:pPr>
    </w:p>
    <w:p>
      <w:pPr>
        <w:spacing w:after="0"/>
        <w:tabs>
          <w:tab w:leader="none" w:pos="760" w:val="left"/>
        </w:tabs>
        <w:rPr>
          <w:sz w:val="20"/>
          <w:szCs w:val="20"/>
          <w:color w:val="auto"/>
        </w:rPr>
      </w:pPr>
      <w:r>
        <w:rPr>
          <w:rFonts w:ascii="Times New Roman" w:cs="Times New Roman" w:eastAsia="Times New Roman" w:hAnsi="Times New Roman"/>
          <w:sz w:val="22"/>
          <w:szCs w:val="22"/>
          <w:b w:val="1"/>
          <w:bCs w:val="1"/>
          <w:color w:val="auto"/>
        </w:rPr>
        <w:t>1C202</w:t>
        <w:tab/>
        <w:t>Alloys, other than those controlled by</w:t>
      </w:r>
    </w:p>
    <w:p>
      <w:pPr>
        <w:spacing w:after="0"/>
        <w:rPr>
          <w:sz w:val="20"/>
          <w:szCs w:val="20"/>
          <w:color w:val="auto"/>
        </w:rPr>
      </w:pPr>
      <w:r>
        <w:rPr>
          <w:rFonts w:ascii="Times New Roman" w:cs="Times New Roman" w:eastAsia="Times New Roman" w:hAnsi="Times New Roman"/>
          <w:sz w:val="22"/>
          <w:szCs w:val="22"/>
          <w:b w:val="1"/>
          <w:bCs w:val="1"/>
          <w:color w:val="auto"/>
        </w:rPr>
        <w:t>1C002.b.3 or 1C002.b.4 as follows (see List of</w:t>
      </w:r>
    </w:p>
    <w:p>
      <w:pPr>
        <w:spacing w:after="0"/>
        <w:rPr>
          <w:sz w:val="20"/>
          <w:szCs w:val="20"/>
          <w:color w:val="auto"/>
        </w:rPr>
      </w:pPr>
      <w:r>
        <w:rPr>
          <w:rFonts w:ascii="Times New Roman" w:cs="Times New Roman" w:eastAsia="Times New Roman" w:hAnsi="Times New Roman"/>
          <w:sz w:val="22"/>
          <w:szCs w:val="22"/>
          <w:b w:val="1"/>
          <w:bCs w:val="1"/>
          <w:color w:val="auto"/>
        </w:rPr>
        <w:t>Items Controlled).</w:t>
      </w: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30" w:type="dxa"/>
        <w:tblCellMar>
          <w:top w:w="0" w:type="dxa"/>
          <w:left w:w="0" w:type="dxa"/>
          <w:bottom w:w="0" w:type="dxa"/>
          <w:right w:w="0" w:type="dxa"/>
        </w:tblCellMar>
      </w:tblPr>
      <w:tr>
        <w:trPr>
          <w:trHeight w:val="262"/>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2"/>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54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 </w:t>
      </w:r>
      <w:r>
        <w:rPr>
          <w:rFonts w:ascii="Times New Roman" w:cs="Times New Roman" w:eastAsia="Times New Roman" w:hAnsi="Times New Roman"/>
          <w:sz w:val="22"/>
          <w:szCs w:val="22"/>
          <w:u w:val="single" w:color="auto"/>
          <w:color w:val="0000FF"/>
        </w:rPr>
        <w:t>1C002</w:t>
      </w:r>
      <w:r>
        <w:rPr>
          <w:rFonts w:ascii="Times New Roman" w:cs="Times New Roman" w:eastAsia="Times New Roman" w:hAnsi="Times New Roman"/>
          <w:sz w:val="22"/>
          <w:szCs w:val="22"/>
          <w:color w:val="000000"/>
        </w:rPr>
        <w:t>. (3) Aluminum alloys and titanium</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alloys, in physical forms and finished products and “specially designed” or prepared for use in separating uranium isotopes, are subject to the export licensing authority of the Nuclear Regulatory Commission (see 10 CFR part 110).</w:t>
      </w:r>
    </w:p>
    <w:p>
      <w:pPr>
        <w:spacing w:after="0" w:line="23" w:lineRule="exact"/>
        <w:rPr>
          <w:sz w:val="20"/>
          <w:szCs w:val="20"/>
          <w:color w:val="auto"/>
        </w:rPr>
      </w:pPr>
    </w:p>
    <w:p>
      <w:pPr>
        <w:jc w:val="both"/>
        <w:ind w:left="360" w:right="20"/>
        <w:spacing w:after="0" w:line="235"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The phrase “capable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of” refers to aluminum alloys and titanium alloys either before or after heat treatment.</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20" w:firstLine="1"/>
        <w:spacing w:after="0" w:line="234" w:lineRule="auto"/>
        <w:tabs>
          <w:tab w:leader="none" w:pos="517" w:val="left"/>
        </w:tabs>
        <w:numPr>
          <w:ilvl w:val="0"/>
          <w:numId w:val="1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Aluminum alloys having both of the following characteristics:</w:t>
      </w:r>
    </w:p>
    <w:p>
      <w:pPr>
        <w:spacing w:after="0" w:line="265" w:lineRule="exact"/>
        <w:rPr>
          <w:sz w:val="20"/>
          <w:szCs w:val="20"/>
          <w:color w:val="auto"/>
        </w:rPr>
      </w:pPr>
    </w:p>
    <w:p>
      <w:pPr>
        <w:jc w:val="both"/>
        <w:ind w:right="20" w:firstLine="360"/>
        <w:spacing w:after="0" w:line="243" w:lineRule="auto"/>
        <w:rPr>
          <w:sz w:val="20"/>
          <w:szCs w:val="20"/>
          <w:color w:val="auto"/>
        </w:rPr>
      </w:pPr>
      <w:r>
        <w:rPr>
          <w:rFonts w:ascii="Times New Roman" w:cs="Times New Roman" w:eastAsia="Times New Roman" w:hAnsi="Times New Roman"/>
          <w:sz w:val="22"/>
          <w:szCs w:val="22"/>
          <w:color w:val="auto"/>
        </w:rPr>
        <w:t xml:space="preserve">a.1. “Capable of” an ultimate tensile strength of 460 MPa or more at 293 K (20 C); </w:t>
      </w:r>
      <w:r>
        <w:rPr>
          <w:rFonts w:ascii="Times New Roman" w:cs="Times New Roman" w:eastAsia="Times New Roman" w:hAnsi="Times New Roman"/>
          <w:sz w:val="22"/>
          <w:szCs w:val="22"/>
          <w:i w:val="1"/>
          <w:iCs w:val="1"/>
          <w:color w:val="auto"/>
        </w:rPr>
        <w:t>and</w:t>
      </w:r>
    </w:p>
    <w:p>
      <w:pPr>
        <w:spacing w:after="0" w:line="434" w:lineRule="exact"/>
        <w:rPr>
          <w:sz w:val="20"/>
          <w:szCs w:val="20"/>
          <w:color w:val="auto"/>
        </w:rPr>
      </w:pPr>
    </w:p>
    <w:p>
      <w:pPr>
        <w:sectPr>
          <w:pgSz w:w="12240" w:h="15840" w:orient="portrait"/>
          <w:cols w:equalWidth="0" w:num="2">
            <w:col w:w="4320" w:space="720"/>
            <w:col w:w="4340"/>
          </w:cols>
          <w:pgMar w:left="1440" w:top="1293" w:right="1420" w:bottom="12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293" w:right="1420" w:bottom="124" w:gutter="0" w:footer="0" w:header="0"/>
          <w:type w:val="continuous"/>
        </w:sectPr>
      </w:pPr>
    </w:p>
    <w:bookmarkStart w:id="51" w:name="page52"/>
    <w:bookmarkEnd w:id="5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52</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a.2. In the form of tubes or cylindrical solid forms (including forgings) with an outside diameter of more than 75 mm;</w:t>
      </w:r>
    </w:p>
    <w:p>
      <w:pPr>
        <w:spacing w:after="0" w:line="267" w:lineRule="exact"/>
        <w:rPr>
          <w:sz w:val="20"/>
          <w:szCs w:val="20"/>
          <w:color w:val="auto"/>
        </w:rPr>
      </w:pPr>
    </w:p>
    <w:p>
      <w:pPr>
        <w:ind w:right="20"/>
        <w:spacing w:after="0" w:line="233" w:lineRule="auto"/>
        <w:tabs>
          <w:tab w:leader="none" w:pos="341" w:val="left"/>
        </w:tabs>
        <w:numPr>
          <w:ilvl w:val="0"/>
          <w:numId w:val="1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Titanium alloys having both of the following characteristics:</w:t>
      </w:r>
    </w:p>
    <w:p>
      <w:pPr>
        <w:spacing w:after="0" w:line="267" w:lineRule="exact"/>
        <w:rPr>
          <w:sz w:val="20"/>
          <w:szCs w:val="20"/>
          <w:color w:val="auto"/>
        </w:rPr>
      </w:pPr>
    </w:p>
    <w:p>
      <w:pPr>
        <w:jc w:val="both"/>
        <w:ind w:right="20" w:firstLine="306"/>
        <w:spacing w:after="0" w:line="242" w:lineRule="auto"/>
        <w:rPr>
          <w:sz w:val="20"/>
          <w:szCs w:val="20"/>
          <w:color w:val="auto"/>
        </w:rPr>
      </w:pPr>
      <w:r>
        <w:rPr>
          <w:rFonts w:ascii="Times New Roman" w:cs="Times New Roman" w:eastAsia="Times New Roman" w:hAnsi="Times New Roman"/>
          <w:sz w:val="22"/>
          <w:szCs w:val="22"/>
          <w:color w:val="auto"/>
        </w:rPr>
        <w:t xml:space="preserve">b.1. “Capable of” an ultimate tensile </w:t>
      </w:r>
      <w:r>
        <w:rPr>
          <w:rFonts w:ascii="Times New Roman" w:cs="Times New Roman" w:eastAsia="Times New Roman" w:hAnsi="Times New Roman"/>
          <w:sz w:val="22"/>
          <w:szCs w:val="22"/>
          <w:color w:val="auto"/>
        </w:rPr>
        <w:t xml:space="preserve">strength of 900 MPa or more at 293 K (20 C); </w:t>
      </w:r>
      <w:r>
        <w:rPr>
          <w:rFonts w:ascii="Times New Roman" w:cs="Times New Roman" w:eastAsia="Times New Roman" w:hAnsi="Times New Roman"/>
          <w:sz w:val="22"/>
          <w:szCs w:val="22"/>
          <w:i w:val="1"/>
          <w:iCs w:val="1"/>
          <w:color w:val="auto"/>
        </w:rPr>
        <w:t>and</w:t>
      </w:r>
    </w:p>
    <w:p>
      <w:pPr>
        <w:spacing w:after="0" w:line="200" w:lineRule="exact"/>
        <w:rPr>
          <w:sz w:val="20"/>
          <w:szCs w:val="20"/>
          <w:color w:val="auto"/>
        </w:rPr>
      </w:pPr>
    </w:p>
    <w:p>
      <w:pPr>
        <w:spacing w:after="0" w:line="318" w:lineRule="exact"/>
        <w:rPr>
          <w:sz w:val="20"/>
          <w:szCs w:val="20"/>
          <w:color w:val="auto"/>
        </w:rPr>
      </w:pPr>
    </w:p>
    <w:p>
      <w:pPr>
        <w:jc w:val="both"/>
        <w:ind w:right="20" w:firstLine="306"/>
        <w:spacing w:after="0" w:line="236" w:lineRule="auto"/>
        <w:rPr>
          <w:sz w:val="20"/>
          <w:szCs w:val="20"/>
          <w:color w:val="auto"/>
        </w:rPr>
      </w:pPr>
      <w:r>
        <w:rPr>
          <w:rFonts w:ascii="Times New Roman" w:cs="Times New Roman" w:eastAsia="Times New Roman" w:hAnsi="Times New Roman"/>
          <w:sz w:val="22"/>
          <w:szCs w:val="22"/>
          <w:color w:val="auto"/>
        </w:rPr>
        <w:t>b.2. In the form of tubes or cylindrical solid forms (including forgings) with an outside diameter of more than 75 mm.</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1C210 “Fibrous or filamentary materials” or prepregs, other than those controlled by 1C010.a, .b or .e,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28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7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3"/>
        </w:trPr>
        <w:tc>
          <w:tcPr>
            <w:tcW w:w="26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7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ECCNs </w:t>
      </w:r>
      <w:r>
        <w:rPr>
          <w:rFonts w:ascii="Times New Roman" w:cs="Times New Roman" w:eastAsia="Times New Roman" w:hAnsi="Times New Roman"/>
          <w:sz w:val="22"/>
          <w:szCs w:val="22"/>
          <w:u w:val="single" w:color="auto"/>
          <w:color w:val="0000FF"/>
        </w:rPr>
        <w:t>1C010</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1C990</w:t>
      </w:r>
      <w:r>
        <w:rPr>
          <w:rFonts w:ascii="Times New Roman" w:cs="Times New Roman" w:eastAsia="Times New Roman" w:hAnsi="Times New Roman"/>
          <w:sz w:val="22"/>
          <w:szCs w:val="22"/>
          <w:color w:val="000000"/>
        </w:rPr>
        <w:t>.</w:t>
      </w:r>
    </w:p>
    <w:p>
      <w:pPr>
        <w:spacing w:after="0" w:line="269"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the term “fibrous or filamentary materials” is restricted to continuous</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color w:val="auto"/>
        </w:rPr>
        <w:t>“monofilaments”, “yarns”, “rovings”, “tows”, or “tapes”.</w:t>
      </w:r>
    </w:p>
    <w:p>
      <w:pPr>
        <w:spacing w:after="0" w:line="14"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Definitions for other terms used in this entry: Filament or Monofilament </w:t>
      </w:r>
      <w:r>
        <w:rPr>
          <w:rFonts w:ascii="Times New Roman" w:cs="Times New Roman" w:eastAsia="Times New Roman" w:hAnsi="Times New Roman"/>
          <w:sz w:val="22"/>
          <w:szCs w:val="22"/>
          <w:color w:val="auto"/>
        </w:rPr>
        <w:t>is the smallest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inc</w:t>
      </w:r>
      <w:r>
        <w:rPr>
          <w:rFonts w:ascii="Times New Roman" w:cs="Times New Roman" w:eastAsia="Times New Roman" w:hAnsi="Times New Roman"/>
          <w:sz w:val="22"/>
          <w:szCs w:val="22"/>
          <w:color w:val="auto"/>
        </w:rPr>
        <w:t>rement of fiber, usually several μm in</w:t>
      </w:r>
      <w:r>
        <w:rPr>
          <w:rFonts w:ascii="Times New Roman" w:cs="Times New Roman" w:eastAsia="Times New Roman" w:hAnsi="Times New Roman"/>
          <w:sz w:val="22"/>
          <w:szCs w:val="22"/>
          <w:color w:val="auto"/>
        </w:rPr>
        <w:t xml:space="preserve"> diameter.</w:t>
      </w:r>
    </w:p>
    <w:p>
      <w:pPr>
        <w:spacing w:after="0" w:line="1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i w:val="1"/>
          <w:iCs w:val="1"/>
          <w:color w:val="auto"/>
        </w:rPr>
        <w:t xml:space="preserve">Strand </w:t>
      </w:r>
      <w:r>
        <w:rPr>
          <w:rFonts w:ascii="Times New Roman" w:cs="Times New Roman" w:eastAsia="Times New Roman" w:hAnsi="Times New Roman"/>
          <w:sz w:val="21"/>
          <w:szCs w:val="21"/>
          <w:color w:val="auto"/>
        </w:rPr>
        <w:t>is a bundle of filaments (typically over</w:t>
      </w:r>
    </w:p>
    <w:p>
      <w:pPr>
        <w:spacing w:after="0" w:line="13" w:lineRule="exact"/>
        <w:rPr>
          <w:sz w:val="20"/>
          <w:szCs w:val="20"/>
          <w:color w:val="auto"/>
        </w:rPr>
      </w:pPr>
    </w:p>
    <w:p>
      <w:pPr>
        <w:ind w:left="360" w:firstLine="1"/>
        <w:spacing w:after="0" w:line="236" w:lineRule="auto"/>
        <w:tabs>
          <w:tab w:leader="none" w:pos="819" w:val="left"/>
        </w:tabs>
        <w:numPr>
          <w:ilvl w:val="0"/>
          <w:numId w:val="1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arranged approximately parallel. </w:t>
      </w:r>
      <w:r>
        <w:rPr>
          <w:rFonts w:ascii="Times New Roman" w:cs="Times New Roman" w:eastAsia="Times New Roman" w:hAnsi="Times New Roman"/>
          <w:sz w:val="22"/>
          <w:szCs w:val="22"/>
          <w:i w:val="1"/>
          <w:iCs w:val="1"/>
          <w:color w:val="auto"/>
        </w:rPr>
        <w:t xml:space="preserve">Roving </w:t>
      </w:r>
      <w:r>
        <w:rPr>
          <w:rFonts w:ascii="Times New Roman" w:cs="Times New Roman" w:eastAsia="Times New Roman" w:hAnsi="Times New Roman"/>
          <w:sz w:val="22"/>
          <w:szCs w:val="22"/>
          <w:color w:val="auto"/>
        </w:rPr>
        <w:t>is a bundle (typically 12-120)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approximately parallel strands.</w:t>
      </w: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 xml:space="preserve">Yarn </w:t>
      </w:r>
      <w:r>
        <w:rPr>
          <w:rFonts w:ascii="Times New Roman" w:cs="Times New Roman" w:eastAsia="Times New Roman" w:hAnsi="Times New Roman"/>
          <w:sz w:val="22"/>
          <w:szCs w:val="22"/>
          <w:color w:val="auto"/>
        </w:rPr>
        <w:t>is a bundle of twisted strands.</w:t>
      </w:r>
    </w:p>
    <w:p>
      <w:pPr>
        <w:spacing w:after="0" w:line="11" w:lineRule="exact"/>
        <w:rPr>
          <w:rFonts w:ascii="Times New Roman" w:cs="Times New Roman" w:eastAsia="Times New Roman" w:hAnsi="Times New Roman"/>
          <w:sz w:val="22"/>
          <w:szCs w:val="22"/>
          <w:color w:val="auto"/>
        </w:rPr>
      </w:pPr>
    </w:p>
    <w:p>
      <w:pPr>
        <w:ind w:left="36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 xml:space="preserve">Tow </w:t>
      </w:r>
      <w:r>
        <w:rPr>
          <w:rFonts w:ascii="Times New Roman" w:cs="Times New Roman" w:eastAsia="Times New Roman" w:hAnsi="Times New Roman"/>
          <w:sz w:val="22"/>
          <w:szCs w:val="22"/>
          <w:color w:val="auto"/>
        </w:rPr>
        <w:t>is a bundle of filaments, usually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approximately parallel.</w:t>
      </w:r>
    </w:p>
    <w:p>
      <w:pPr>
        <w:spacing w:after="0" w:line="13" w:lineRule="exact"/>
        <w:rPr>
          <w:rFonts w:ascii="Times New Roman" w:cs="Times New Roman" w:eastAsia="Times New Roman" w:hAnsi="Times New Roman"/>
          <w:sz w:val="22"/>
          <w:szCs w:val="22"/>
          <w:color w:val="auto"/>
        </w:rPr>
      </w:pPr>
    </w:p>
    <w:p>
      <w:pPr>
        <w:jc w:val="both"/>
        <w:ind w:left="3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 xml:space="preserve">Tape </w:t>
      </w:r>
      <w:r>
        <w:rPr>
          <w:rFonts w:ascii="Times New Roman" w:cs="Times New Roman" w:eastAsia="Times New Roman" w:hAnsi="Times New Roman"/>
          <w:sz w:val="22"/>
          <w:szCs w:val="22"/>
          <w:color w:val="auto"/>
        </w:rPr>
        <w:t>is a material constructed of interlaced 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unidirectional filaments, strands, rovings, tows or yarns, etc., usually preimpregnated with resin.</w:t>
      </w:r>
    </w:p>
    <w:p>
      <w:pPr>
        <w:spacing w:after="0" w:line="4" w:lineRule="exact"/>
        <w:rPr>
          <w:rFonts w:ascii="Times New Roman" w:cs="Times New Roman" w:eastAsia="Times New Roman" w:hAnsi="Times New Roman"/>
          <w:sz w:val="22"/>
          <w:szCs w:val="22"/>
          <w:color w:val="auto"/>
        </w:rPr>
      </w:pP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 xml:space="preserve">Specific modulus </w:t>
      </w:r>
      <w:r>
        <w:rPr>
          <w:rFonts w:ascii="Times New Roman" w:cs="Times New Roman" w:eastAsia="Times New Roman" w:hAnsi="Times New Roman"/>
          <w:sz w:val="22"/>
          <w:szCs w:val="22"/>
          <w:color w:val="auto"/>
        </w:rPr>
        <w:t>is the Young’s modulus in</w:t>
      </w:r>
    </w:p>
    <w:p>
      <w:pPr>
        <w:jc w:val="both"/>
        <w:ind w:left="360"/>
        <w:spacing w:after="0" w:line="21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divided by the specific weight in N/m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measured at a temperature of (296 </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 xml:space="preserve"> 2) K ((23 </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 xml:space="preserve"> 2) C) and a relative humidity of 50 </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 xml:space="preserve"> 5 percent.</w:t>
      </w:r>
    </w:p>
    <w:p>
      <w:pPr>
        <w:spacing w:after="0" w:line="15" w:lineRule="exact"/>
        <w:rPr>
          <w:rFonts w:ascii="Times New Roman" w:cs="Times New Roman" w:eastAsia="Times New Roman" w:hAnsi="Times New Roman"/>
          <w:sz w:val="22"/>
          <w:szCs w:val="22"/>
          <w:color w:val="auto"/>
        </w:rPr>
      </w:pPr>
    </w:p>
    <w:p>
      <w:pPr>
        <w:jc w:val="both"/>
        <w:ind w:left="360"/>
        <w:spacing w:after="0" w:line="218" w:lineRule="auto"/>
        <w:rPr>
          <w:rFonts w:ascii="Times New Roman" w:cs="Times New Roman" w:eastAsia="Times New Roman" w:hAnsi="Times New Roman"/>
          <w:sz w:val="22"/>
          <w:szCs w:val="22"/>
          <w:color w:val="auto"/>
        </w:rPr>
      </w:pPr>
      <w:r>
        <w:rPr>
          <w:rFonts w:ascii="Times New Roman" w:cs="Times New Roman" w:eastAsia="Times New Roman" w:hAnsi="Times New Roman"/>
          <w:sz w:val="21"/>
          <w:szCs w:val="21"/>
          <w:i w:val="1"/>
          <w:iCs w:val="1"/>
          <w:color w:val="auto"/>
        </w:rPr>
        <w:t xml:space="preserve">Specific tensile strength </w:t>
      </w:r>
      <w:r>
        <w:rPr>
          <w:rFonts w:ascii="Times New Roman" w:cs="Times New Roman" w:eastAsia="Times New Roman" w:hAnsi="Times New Roman"/>
          <w:sz w:val="21"/>
          <w:szCs w:val="21"/>
          <w:color w:val="auto"/>
        </w:rPr>
        <w:t>is the ultimate tensile</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strength in N/m</w:t>
      </w:r>
      <w:r>
        <w:rPr>
          <w:rFonts w:ascii="Times New Roman" w:cs="Times New Roman" w:eastAsia="Times New Roman" w:hAnsi="Times New Roman"/>
          <w:sz w:val="27"/>
          <w:szCs w:val="27"/>
          <w:color w:val="auto"/>
          <w:vertAlign w:val="superscript"/>
        </w:rPr>
        <w:t>2</w:t>
      </w:r>
      <w:r>
        <w:rPr>
          <w:rFonts w:ascii="Times New Roman" w:cs="Times New Roman" w:eastAsia="Times New Roman" w:hAnsi="Times New Roman"/>
          <w:sz w:val="21"/>
          <w:szCs w:val="21"/>
          <w:color w:val="auto"/>
        </w:rPr>
        <w:t xml:space="preserve"> divided by specific weight in N/m</w:t>
      </w:r>
      <w:r>
        <w:rPr>
          <w:rFonts w:ascii="Times New Roman" w:cs="Times New Roman" w:eastAsia="Times New Roman" w:hAnsi="Times New Roman"/>
          <w:sz w:val="27"/>
          <w:szCs w:val="27"/>
          <w:color w:val="auto"/>
          <w:vertAlign w:val="superscript"/>
        </w:rPr>
        <w:t>3</w:t>
      </w:r>
      <w:r>
        <w:rPr>
          <w:rFonts w:ascii="Times New Roman" w:cs="Times New Roman" w:eastAsia="Times New Roman" w:hAnsi="Times New Roman"/>
          <w:sz w:val="21"/>
          <w:szCs w:val="21"/>
          <w:color w:val="auto"/>
        </w:rPr>
        <w:t xml:space="preserve">, measured at a temperature of (296 </w:t>
      </w:r>
      <w:r>
        <w:rPr>
          <w:rFonts w:ascii="Times New Roman" w:cs="Times New Roman" w:eastAsia="Times New Roman" w:hAnsi="Times New Roman"/>
          <w:sz w:val="21"/>
          <w:szCs w:val="21"/>
          <w:u w:val="single" w:color="auto"/>
          <w:color w:val="auto"/>
        </w:rPr>
        <w:t>+</w:t>
      </w:r>
    </w:p>
    <w:p>
      <w:pPr>
        <w:ind w:left="600" w:hanging="239"/>
        <w:spacing w:after="0" w:line="220" w:lineRule="auto"/>
        <w:tabs>
          <w:tab w:leader="none" w:pos="600" w:val="left"/>
        </w:tabs>
        <w:numPr>
          <w:ilvl w:val="0"/>
          <w:numId w:val="1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K ((23 </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 xml:space="preserve"> 2)  C) and a relative humidity of</w:t>
      </w: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50 </w:t>
      </w:r>
      <w:r>
        <w:rPr>
          <w:rFonts w:ascii="Times New Roman" w:cs="Times New Roman" w:eastAsia="Times New Roman" w:hAnsi="Times New Roman"/>
          <w:sz w:val="22"/>
          <w:szCs w:val="22"/>
          <w:u w:val="single" w:color="auto"/>
          <w:color w:val="auto"/>
        </w:rPr>
        <w:t>+</w:t>
      </w:r>
      <w:r>
        <w:rPr>
          <w:rFonts w:ascii="Times New Roman" w:cs="Times New Roman" w:eastAsia="Times New Roman" w:hAnsi="Times New Roman"/>
          <w:sz w:val="22"/>
          <w:szCs w:val="22"/>
          <w:color w:val="auto"/>
        </w:rPr>
        <w:t xml:space="preserve"> 5 percent.</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21" w:lineRule="auto"/>
        <w:rPr>
          <w:sz w:val="20"/>
          <w:szCs w:val="20"/>
          <w:color w:val="auto"/>
        </w:rPr>
      </w:pPr>
      <w:r>
        <w:rPr>
          <w:rFonts w:ascii="Times New Roman" w:cs="Times New Roman" w:eastAsia="Times New Roman" w:hAnsi="Times New Roman"/>
          <w:sz w:val="22"/>
          <w:szCs w:val="22"/>
          <w:color w:val="auto"/>
        </w:rPr>
        <w:t xml:space="preserve">a. Carbon or aramid “fibrous or filamentary materials” having a “specific modulus” of 12.7 x </w:t>
      </w:r>
      <w:r>
        <w:rPr>
          <w:rFonts w:ascii="Times New Roman" w:cs="Times New Roman" w:eastAsia="Times New Roman" w:hAnsi="Times New Roman"/>
          <w:sz w:val="22"/>
          <w:szCs w:val="22"/>
          <w:color w:val="auto"/>
        </w:rPr>
        <w:t>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m or greater or a “specific tensile strength” of</w:t>
      </w:r>
      <w:r>
        <w:rPr>
          <w:rFonts w:ascii="Times New Roman" w:cs="Times New Roman" w:eastAsia="Times New Roman" w:hAnsi="Times New Roman"/>
          <w:sz w:val="22"/>
          <w:szCs w:val="22"/>
          <w:color w:val="auto"/>
        </w:rPr>
        <w:t xml:space="preserve"> 235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m or greater </w:t>
      </w:r>
      <w:r>
        <w:rPr>
          <w:rFonts w:ascii="Times New Roman" w:cs="Times New Roman" w:eastAsia="Times New Roman" w:hAnsi="Times New Roman"/>
          <w:sz w:val="22"/>
          <w:szCs w:val="22"/>
          <w:i w:val="1"/>
          <w:iCs w:val="1"/>
          <w:color w:val="auto"/>
        </w:rPr>
        <w:t>except</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Aramid “fibrous or</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 xml:space="preserve">filamentary materials” having 0.25 percent or </w:t>
      </w:r>
      <w:r>
        <w:rPr>
          <w:rFonts w:ascii="Times New Roman" w:cs="Times New Roman" w:eastAsia="Times New Roman" w:hAnsi="Times New Roman"/>
          <w:sz w:val="22"/>
          <w:szCs w:val="22"/>
          <w:color w:val="auto"/>
        </w:rPr>
        <w:t>more by weight of an ester based fiber surface modifier;</w:t>
      </w:r>
    </w:p>
    <w:p>
      <w:pPr>
        <w:spacing w:after="0" w:line="267" w:lineRule="exact"/>
        <w:rPr>
          <w:sz w:val="20"/>
          <w:szCs w:val="20"/>
          <w:color w:val="auto"/>
        </w:rPr>
      </w:pPr>
    </w:p>
    <w:p>
      <w:pPr>
        <w:jc w:val="both"/>
        <w:spacing w:after="0" w:line="223" w:lineRule="auto"/>
        <w:rPr>
          <w:sz w:val="20"/>
          <w:szCs w:val="20"/>
          <w:color w:val="auto"/>
        </w:rPr>
      </w:pPr>
      <w:r>
        <w:rPr>
          <w:rFonts w:ascii="Times New Roman" w:cs="Times New Roman" w:eastAsia="Times New Roman" w:hAnsi="Times New Roman"/>
          <w:sz w:val="22"/>
          <w:szCs w:val="22"/>
          <w:color w:val="auto"/>
        </w:rPr>
        <w:t>b. Glass “fibrous or filamentary materials” having a “specific modulus” of 3.18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m or</w:t>
      </w:r>
      <w:r>
        <w:rPr>
          <w:rFonts w:ascii="Times New Roman" w:cs="Times New Roman" w:eastAsia="Times New Roman" w:hAnsi="Times New Roman"/>
          <w:sz w:val="22"/>
          <w:szCs w:val="22"/>
          <w:color w:val="auto"/>
        </w:rPr>
        <w:t xml:space="preserve"> greater and a “specific tensile strength” of 76.2 x </w:t>
      </w:r>
      <w:r>
        <w:rPr>
          <w:rFonts w:ascii="Times New Roman" w:cs="Times New Roman" w:eastAsia="Times New Roman" w:hAnsi="Times New Roman"/>
          <w:sz w:val="22"/>
          <w:szCs w:val="22"/>
          <w:color w:val="auto"/>
        </w:rPr>
        <w:t>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m or greater; </w:t>
      </w:r>
      <w:r>
        <w:rPr>
          <w:rFonts w:ascii="Times New Roman" w:cs="Times New Roman" w:eastAsia="Times New Roman" w:hAnsi="Times New Roman"/>
          <w:sz w:val="22"/>
          <w:szCs w:val="22"/>
          <w:i w:val="1"/>
          <w:iCs w:val="1"/>
          <w:color w:val="auto"/>
        </w:rPr>
        <w:t>or</w:t>
      </w:r>
    </w:p>
    <w:p>
      <w:pPr>
        <w:spacing w:after="0" w:line="196"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 xml:space="preserve">c. Thermoset resin impregnated continuous </w:t>
      </w:r>
      <w:r>
        <w:rPr>
          <w:rFonts w:ascii="Times New Roman" w:cs="Times New Roman" w:eastAsia="Times New Roman" w:hAnsi="Times New Roman"/>
          <w:sz w:val="22"/>
          <w:szCs w:val="22"/>
          <w:color w:val="auto"/>
        </w:rPr>
        <w:t xml:space="preserve">“yarns”, “rovings”, “tows” or “tapes” with a </w:t>
      </w:r>
      <w:r>
        <w:rPr>
          <w:rFonts w:ascii="Times New Roman" w:cs="Times New Roman" w:eastAsia="Times New Roman" w:hAnsi="Times New Roman"/>
          <w:sz w:val="22"/>
          <w:szCs w:val="22"/>
          <w:color w:val="auto"/>
        </w:rPr>
        <w:t xml:space="preserve">width no greater than 15 mm (prepregs), made </w:t>
      </w:r>
      <w:r>
        <w:rPr>
          <w:rFonts w:ascii="Times New Roman" w:cs="Times New Roman" w:eastAsia="Times New Roman" w:hAnsi="Times New Roman"/>
          <w:sz w:val="22"/>
          <w:szCs w:val="22"/>
          <w:color w:val="auto"/>
        </w:rPr>
        <w:t>from carbon or glass “fibrous or filamentary materials” controlled by 1C210.a or .b.</w:t>
      </w:r>
    </w:p>
    <w:p>
      <w:pPr>
        <w:spacing w:after="0" w:line="479" w:lineRule="exact"/>
        <w:rPr>
          <w:sz w:val="20"/>
          <w:szCs w:val="20"/>
          <w:color w:val="auto"/>
        </w:rPr>
      </w:pPr>
    </w:p>
    <w:p>
      <w:pPr>
        <w:sectPr>
          <w:pgSz w:w="12240" w:h="15840" w:orient="portrait"/>
          <w:cols w:equalWidth="0" w:num="2">
            <w:col w:w="4340" w:space="700"/>
            <w:col w:w="4320"/>
          </w:cols>
          <w:pgMar w:left="1440" w:top="1293" w:right="1440" w:bottom="124" w:gutter="0" w:footer="0" w:header="0"/>
          <w:type w:val="continuous"/>
        </w:sectPr>
      </w:pPr>
    </w:p>
    <w:p>
      <w:pPr>
        <w:spacing w:after="0" w:line="200" w:lineRule="exact"/>
        <w:rPr>
          <w:sz w:val="20"/>
          <w:szCs w:val="20"/>
          <w:color w:val="auto"/>
        </w:rPr>
      </w:pPr>
    </w:p>
    <w:p>
      <w:pPr>
        <w:spacing w:after="0" w:line="31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2" w:name="page53"/>
    <w:bookmarkEnd w:id="5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53</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resin forms the matrix</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of the composite.</w:t>
      </w:r>
    </w:p>
    <w:p>
      <w:pPr>
        <w:spacing w:after="0" w:line="200" w:lineRule="exact"/>
        <w:rPr>
          <w:sz w:val="20"/>
          <w:szCs w:val="20"/>
          <w:color w:val="auto"/>
        </w:rPr>
      </w:pPr>
    </w:p>
    <w:p>
      <w:pPr>
        <w:spacing w:after="0" w:line="32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1C216 Maraging steel, other than that controlled by 1C116, “capable of” an ultimate tensile strength of 1,950 MPa or more, at 293 K (20 °C).</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99" o:spid="_x0000_s1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654050</wp:posOffset>
                </wp:positionV>
                <wp:extent cx="2635250" cy="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0" o:spid="_x0000_s1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5pt" to="208.6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821055</wp:posOffset>
                </wp:positionV>
                <wp:extent cx="2635250" cy="0"/>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1" o:spid="_x0000_s1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5pt" to="208.6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04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2" o:spid="_x0000_s1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04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3" o:spid="_x0000_s11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04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4" o:spid="_x0000_s1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5" o:spid="_x0000_s1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Also see ECCN </w:t>
      </w:r>
      <w:r>
        <w:rPr>
          <w:rFonts w:ascii="Times New Roman" w:cs="Times New Roman" w:eastAsia="Times New Roman" w:hAnsi="Times New Roman"/>
          <w:sz w:val="22"/>
          <w:szCs w:val="22"/>
          <w:u w:val="single" w:color="auto"/>
          <w:color w:val="0000FF"/>
        </w:rPr>
        <w:t>1C116</w:t>
      </w:r>
      <w:r>
        <w:rPr>
          <w:rFonts w:ascii="Times New Roman" w:cs="Times New Roman" w:eastAsia="Times New Roman" w:hAnsi="Times New Roman"/>
          <w:sz w:val="22"/>
          <w:szCs w:val="22"/>
          <w:color w:val="000000"/>
        </w:rPr>
        <w:t>. (3) Maraging steel, in physical form</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 finished products “specially designed” or prepared for use in separating uranium isotopes, is subject to the export licensing authority of the Nuclear Regulatory Commission (see 10 CFR part 110).</w:t>
      </w:r>
    </w:p>
    <w:p>
      <w:pPr>
        <w:spacing w:after="0" w:line="274"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The phrase “capable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of” in the ECCN heading refers to maraging steel either before or after heat treatment.</w:t>
      </w:r>
    </w:p>
    <w:p>
      <w:pPr>
        <w:spacing w:after="0" w:line="13"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forms in which all linear dimensions are 75 mm or less.</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both"/>
        <w:spacing w:after="0" w:line="229" w:lineRule="auto"/>
        <w:rPr>
          <w:sz w:val="20"/>
          <w:szCs w:val="20"/>
          <w:color w:val="auto"/>
        </w:rPr>
      </w:pPr>
      <w:r>
        <w:rPr>
          <w:rFonts w:ascii="Times New Roman" w:cs="Times New Roman" w:eastAsia="Times New Roman" w:hAnsi="Times New Roman"/>
          <w:sz w:val="22"/>
          <w:szCs w:val="22"/>
          <w:b w:val="1"/>
          <w:bCs w:val="1"/>
          <w:color w:val="auto"/>
        </w:rPr>
        <w:t>1C225 Boron enriched in the boron-10 (</w:t>
      </w:r>
      <w:r>
        <w:rPr>
          <w:rFonts w:ascii="Times New Roman" w:cs="Times New Roman" w:eastAsia="Times New Roman" w:hAnsi="Times New Roman"/>
          <w:sz w:val="28"/>
          <w:szCs w:val="28"/>
          <w:b w:val="1"/>
          <w:bCs w:val="1"/>
          <w:color w:val="auto"/>
          <w:vertAlign w:val="superscript"/>
        </w:rPr>
        <w:t>10</w:t>
      </w:r>
      <w:r>
        <w:rPr>
          <w:rFonts w:ascii="Times New Roman" w:cs="Times New Roman" w:eastAsia="Times New Roman" w:hAnsi="Times New Roman"/>
          <w:sz w:val="22"/>
          <w:szCs w:val="22"/>
          <w:b w:val="1"/>
          <w:bCs w:val="1"/>
          <w:color w:val="auto"/>
        </w:rPr>
        <w:t>B) isotope to greater than its natural isotopic abundance, as follows: elemental boron, compounds, mixtures containing boron, manufactures thereof, waste or scrap of any of the foregoing.</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00"/>
        <w:spacing w:after="0"/>
        <w:tabs>
          <w:tab w:leader="none" w:pos="23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6" o:spid="_x0000_s11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654050</wp:posOffset>
                </wp:positionV>
                <wp:extent cx="2635250" cy="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7" o:spid="_x0000_s1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5pt" to="208.65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821055</wp:posOffset>
                </wp:positionV>
                <wp:extent cx="2635250" cy="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08" o:spid="_x0000_s1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5pt" to="208.65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82804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9" o:spid="_x0000_s1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82804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10" o:spid="_x0000_s1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04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1" o:spid="_x0000_s11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5080</wp:posOffset>
                </wp:positionV>
                <wp:extent cx="2635250" cy="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12" o:spid="_x0000_s1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pt" to="208.65pt,0.4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14"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In this entry, mixtures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containing boron include boron-loaded materials.</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66"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natural isotopic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abundance of boron-10 is approximately 18.5 weight percent (20 atom percent).</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1C226 Tungsten, tungsten carbide, and alloys containing more than 90% tungsten by weight, having both of the following characteristics (see List of Items Controlled).</w:t>
      </w:r>
    </w:p>
    <w:p>
      <w:pPr>
        <w:spacing w:after="0" w:line="45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3" w:name="page54"/>
    <w:bookmarkEnd w:id="5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54</w:t>
      </w:r>
    </w:p>
    <w:p>
      <w:pPr>
        <w:sectPr>
          <w:pgSz w:w="12240" w:h="15840" w:orient="portrait"/>
          <w:cols w:equalWidth="0" w:num="1">
            <w:col w:w="9380"/>
          </w:cols>
          <w:pgMar w:left="1440" w:top="1293" w:right="1420" w:bottom="124"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7"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7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7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1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right="120"/>
        <w:spacing w:after="0" w:line="236"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manufactures “specially designed” as weights or gamma-ray collimators.</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120"/>
        <w:spacing w:after="0" w:line="236" w:lineRule="auto"/>
        <w:tabs>
          <w:tab w:leader="none" w:pos="329" w:val="left"/>
        </w:tabs>
        <w:numPr>
          <w:ilvl w:val="0"/>
          <w:numId w:val="1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In forms with a hollow cylindrical symmetry (including cylinder segments) with an inside diameter between 100 and 300 mm; </w:t>
      </w:r>
      <w:r>
        <w:rPr>
          <w:rFonts w:ascii="Times New Roman" w:cs="Times New Roman" w:eastAsia="Times New Roman" w:hAnsi="Times New Roman"/>
          <w:sz w:val="22"/>
          <w:szCs w:val="22"/>
          <w:i w:val="1"/>
          <w:iCs w:val="1"/>
          <w:color w:val="auto"/>
        </w:rPr>
        <w:t>and</w:t>
      </w:r>
    </w:p>
    <w:p>
      <w:pPr>
        <w:spacing w:after="0" w:line="253"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1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mass greater than 20 kg.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ind w:right="120"/>
        <w:spacing w:after="0" w:line="233" w:lineRule="auto"/>
        <w:rPr>
          <w:sz w:val="20"/>
          <w:szCs w:val="20"/>
          <w:color w:val="auto"/>
        </w:rPr>
      </w:pPr>
      <w:r>
        <w:rPr>
          <w:rFonts w:ascii="Times New Roman" w:cs="Times New Roman" w:eastAsia="Times New Roman" w:hAnsi="Times New Roman"/>
          <w:sz w:val="22"/>
          <w:szCs w:val="22"/>
          <w:b w:val="1"/>
          <w:bCs w:val="1"/>
          <w:color w:val="auto"/>
        </w:rPr>
        <w:t>1C227 Calcium having both of the following characteristics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30" w:type="dxa"/>
        <w:tblCellMar>
          <w:top w:w="0" w:type="dxa"/>
          <w:left w:w="0" w:type="dxa"/>
          <w:bottom w:w="0" w:type="dxa"/>
          <w:right w:w="0" w:type="dxa"/>
        </w:tblCellMar>
      </w:tblPr>
      <w:tr>
        <w:trPr>
          <w:trHeight w:val="262"/>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2"/>
        </w:trPr>
        <w:tc>
          <w:tcPr>
            <w:tcW w:w="262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ind w:left="6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6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6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1" w:lineRule="exact"/>
        <w:rPr>
          <w:sz w:val="20"/>
          <w:szCs w:val="20"/>
          <w:color w:val="auto"/>
        </w:rPr>
      </w:pPr>
    </w:p>
    <w:p>
      <w:pPr>
        <w:ind w:left="300"/>
        <w:spacing w:after="0"/>
        <w:tabs>
          <w:tab w:leader="none" w:pos="222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firstLine="1"/>
        <w:spacing w:after="0" w:line="236" w:lineRule="auto"/>
        <w:tabs>
          <w:tab w:leader="none" w:pos="329" w:val="left"/>
        </w:tabs>
        <w:numPr>
          <w:ilvl w:val="0"/>
          <w:numId w:val="1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Containing less than 1,000 parts per million by weight of metallic impurities other than magnesium; </w:t>
      </w:r>
      <w:r>
        <w:rPr>
          <w:rFonts w:ascii="Times New Roman" w:cs="Times New Roman" w:eastAsia="Times New Roman" w:hAnsi="Times New Roman"/>
          <w:sz w:val="22"/>
          <w:szCs w:val="22"/>
          <w:i w:val="1"/>
          <w:iCs w:val="1"/>
          <w:color w:val="auto"/>
        </w:rPr>
        <w:t>and</w:t>
      </w:r>
    </w:p>
    <w:p>
      <w:pPr>
        <w:spacing w:after="0" w:line="265" w:lineRule="exact"/>
        <w:rPr>
          <w:rFonts w:ascii="Times New Roman" w:cs="Times New Roman" w:eastAsia="Times New Roman" w:hAnsi="Times New Roman"/>
          <w:sz w:val="22"/>
          <w:szCs w:val="22"/>
          <w:color w:val="auto"/>
        </w:rPr>
      </w:pPr>
    </w:p>
    <w:p>
      <w:pPr>
        <w:ind w:right="20" w:firstLine="1"/>
        <w:spacing w:after="0" w:line="234" w:lineRule="auto"/>
        <w:tabs>
          <w:tab w:leader="none" w:pos="341" w:val="left"/>
        </w:tabs>
        <w:numPr>
          <w:ilvl w:val="0"/>
          <w:numId w:val="1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Containing less than 10 parts per million by weight of boron.</w:t>
      </w:r>
    </w:p>
    <w:p>
      <w:pPr>
        <w:spacing w:after="0" w:line="200" w:lineRule="exact"/>
        <w:rPr>
          <w:sz w:val="20"/>
          <w:szCs w:val="20"/>
          <w:color w:val="auto"/>
        </w:rPr>
      </w:pPr>
    </w:p>
    <w:p>
      <w:pPr>
        <w:spacing w:after="0" w:line="321"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1C228 Magnesium having both of the following characteristics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30" w:type="dxa"/>
        <w:tblCellMar>
          <w:top w:w="0" w:type="dxa"/>
          <w:left w:w="0" w:type="dxa"/>
          <w:bottom w:w="0" w:type="dxa"/>
          <w:right w:w="0" w:type="dxa"/>
        </w:tblCellMar>
      </w:tblPr>
      <w:tr>
        <w:trPr>
          <w:trHeight w:val="262"/>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2"/>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(“development” and “production”) and</w:t>
      </w:r>
    </w:p>
    <w:p>
      <w:pPr>
        <w:spacing w:after="0" w:line="243" w:lineRule="exact"/>
        <w:rPr>
          <w:sz w:val="20"/>
          <w:szCs w:val="20"/>
          <w:color w:val="auto"/>
        </w:rPr>
      </w:pPr>
    </w:p>
    <w:p>
      <w:pPr>
        <w:sectPr>
          <w:pgSz w:w="12240" w:h="15840" w:orient="portrait"/>
          <w:cols w:equalWidth="0" w:num="2">
            <w:col w:w="4440" w:space="600"/>
            <w:col w:w="4340"/>
          </w:cols>
          <w:pgMar w:left="1440" w:top="1293" w:right="1420" w:bottom="124" w:gutter="0" w:footer="0" w:header="0"/>
          <w:type w:val="continuous"/>
        </w:sectPr>
      </w:pPr>
    </w:p>
    <w:p>
      <w:pPr>
        <w:spacing w:after="0" w:line="23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293" w:right="1420" w:bottom="124" w:gutter="0" w:footer="0" w:header="0"/>
          <w:type w:val="continuous"/>
        </w:sectPr>
      </w:pPr>
    </w:p>
    <w:bookmarkStart w:id="54" w:name="page55"/>
    <w:bookmarkEnd w:id="5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55</w:t>
      </w:r>
    </w:p>
    <w:p>
      <w:pPr>
        <w:sectPr>
          <w:pgSz w:w="12240" w:h="15840" w:orient="portrait"/>
          <w:cols w:equalWidth="0" w:num="1">
            <w:col w:w="9380"/>
          </w:cols>
          <w:pgMar w:left="1440" w:top="1293" w:right="1420" w:bottom="124" w:gutter="0" w:footer="0" w:header="0"/>
        </w:sectPr>
      </w:pPr>
    </w:p>
    <w:p>
      <w:pPr>
        <w:spacing w:after="0" w:line="287" w:lineRule="exact"/>
        <w:rPr>
          <w:sz w:val="20"/>
          <w:szCs w:val="20"/>
          <w:color w:val="auto"/>
        </w:rPr>
      </w:pPr>
    </w:p>
    <w:p>
      <w:pPr>
        <w:ind w:left="360" w:right="20"/>
        <w:spacing w:after="0" w:line="234" w:lineRule="auto"/>
        <w:rPr>
          <w:sz w:val="20"/>
          <w:szCs w:val="20"/>
          <w:color w:val="auto"/>
        </w:rPr>
      </w:pPr>
      <w:r>
        <w:rPr>
          <w:rFonts w:ascii="Times New Roman" w:cs="Times New Roman" w:eastAsia="Times New Roman" w:hAnsi="Times New Roman"/>
          <w:sz w:val="22"/>
          <w:szCs w:val="22"/>
          <w:color w:val="auto"/>
        </w:rPr>
        <w:t>1</w:t>
      </w:r>
      <w:r>
        <w:rPr>
          <w:rFonts w:ascii="Times New Roman" w:cs="Times New Roman" w:eastAsia="Times New Roman" w:hAnsi="Times New Roman"/>
          <w:sz w:val="22"/>
          <w:szCs w:val="22"/>
          <w:u w:val="single" w:color="auto"/>
          <w:color w:val="0000FF"/>
        </w:rPr>
        <w:t>E201</w:t>
      </w:r>
      <w:r>
        <w:rPr>
          <w:rFonts w:ascii="Times New Roman" w:cs="Times New Roman" w:eastAsia="Times New Roman" w:hAnsi="Times New Roman"/>
          <w:sz w:val="22"/>
          <w:szCs w:val="22"/>
          <w:color w:val="auto"/>
        </w:rPr>
        <w:t xml:space="preserve"> (“use”) for technology for items controlled by this entry.</w:t>
      </w:r>
    </w:p>
    <w:p>
      <w:pPr>
        <w:spacing w:after="0" w:line="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6" w:lineRule="auto"/>
        <w:tabs>
          <w:tab w:leader="none" w:pos="329" w:val="left"/>
        </w:tabs>
        <w:numPr>
          <w:ilvl w:val="0"/>
          <w:numId w:val="12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Containing less than 200 parts per million by weight of metallic impurities other than calcium; </w:t>
      </w:r>
      <w:r>
        <w:rPr>
          <w:rFonts w:ascii="Times New Roman" w:cs="Times New Roman" w:eastAsia="Times New Roman" w:hAnsi="Times New Roman"/>
          <w:sz w:val="22"/>
          <w:szCs w:val="22"/>
          <w:i w:val="1"/>
          <w:iCs w:val="1"/>
          <w:color w:val="auto"/>
        </w:rPr>
        <w:t>and</w:t>
      </w:r>
    </w:p>
    <w:p>
      <w:pPr>
        <w:spacing w:after="0" w:line="266" w:lineRule="exact"/>
        <w:rPr>
          <w:rFonts w:ascii="Times New Roman" w:cs="Times New Roman" w:eastAsia="Times New Roman" w:hAnsi="Times New Roman"/>
          <w:sz w:val="22"/>
          <w:szCs w:val="22"/>
          <w:color w:val="auto"/>
        </w:rPr>
      </w:pPr>
    </w:p>
    <w:p>
      <w:pPr>
        <w:ind w:right="20"/>
        <w:spacing w:after="0" w:line="233" w:lineRule="auto"/>
        <w:tabs>
          <w:tab w:leader="none" w:pos="341" w:val="left"/>
        </w:tabs>
        <w:numPr>
          <w:ilvl w:val="0"/>
          <w:numId w:val="12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Containing less than 10 parts per million by weight of boron.</w:t>
      </w:r>
    </w:p>
    <w:p>
      <w:pPr>
        <w:spacing w:after="0" w:line="200" w:lineRule="exact"/>
        <w:rPr>
          <w:sz w:val="20"/>
          <w:szCs w:val="20"/>
          <w:color w:val="auto"/>
        </w:rPr>
      </w:pPr>
    </w:p>
    <w:p>
      <w:pPr>
        <w:spacing w:after="0" w:line="322"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1C229 Bismuth having both of the following characteristics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320" w:hanging="320"/>
        <w:spacing w:after="0"/>
        <w:tabs>
          <w:tab w:leader="none" w:pos="320" w:val="left"/>
        </w:tabs>
        <w:numPr>
          <w:ilvl w:val="0"/>
          <w:numId w:val="1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 purity of 99.99% or greater by weight; </w:t>
      </w:r>
      <w:r>
        <w:rPr>
          <w:rFonts w:ascii="Times New Roman" w:cs="Times New Roman" w:eastAsia="Times New Roman" w:hAnsi="Times New Roman"/>
          <w:sz w:val="22"/>
          <w:szCs w:val="22"/>
          <w:i w:val="1"/>
          <w:iCs w:val="1"/>
          <w:color w:val="auto"/>
        </w:rPr>
        <w:t>and</w:t>
      </w:r>
    </w:p>
    <w:p>
      <w:pPr>
        <w:spacing w:after="0" w:line="264" w:lineRule="exact"/>
        <w:rPr>
          <w:rFonts w:ascii="Times New Roman" w:cs="Times New Roman" w:eastAsia="Times New Roman" w:hAnsi="Times New Roman"/>
          <w:sz w:val="22"/>
          <w:szCs w:val="22"/>
          <w:color w:val="auto"/>
        </w:rPr>
      </w:pPr>
    </w:p>
    <w:p>
      <w:pPr>
        <w:ind w:right="20"/>
        <w:spacing w:after="0" w:line="234" w:lineRule="auto"/>
        <w:tabs>
          <w:tab w:leader="none" w:pos="341" w:val="left"/>
        </w:tabs>
        <w:numPr>
          <w:ilvl w:val="0"/>
          <w:numId w:val="1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Containing less than 10 parts per million by weight of silver.</w:t>
      </w:r>
    </w:p>
    <w:p>
      <w:pPr>
        <w:spacing w:after="0" w:line="200" w:lineRule="exact"/>
        <w:rPr>
          <w:sz w:val="20"/>
          <w:szCs w:val="20"/>
          <w:color w:val="auto"/>
        </w:rPr>
      </w:pPr>
    </w:p>
    <w:p>
      <w:pPr>
        <w:spacing w:after="0" w:line="321"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1C230 Beryllium metal, alloys containing more than 50% beryllium by weight,</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beryllium compounds, manufactures thereof, and waste or scrap of any of the foregoing.</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2"/>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5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right="20"/>
        <w:spacing w:after="0" w:line="233"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the following:</w:t>
      </w:r>
    </w:p>
    <w:p>
      <w:pPr>
        <w:spacing w:after="0" w:line="14" w:lineRule="exact"/>
        <w:rPr>
          <w:sz w:val="20"/>
          <w:szCs w:val="20"/>
          <w:color w:val="auto"/>
        </w:rPr>
      </w:pPr>
    </w:p>
    <w:p>
      <w:pPr>
        <w:jc w:val="both"/>
        <w:ind w:left="360" w:right="20" w:firstLine="180"/>
        <w:spacing w:after="0" w:line="234" w:lineRule="auto"/>
        <w:rPr>
          <w:sz w:val="20"/>
          <w:szCs w:val="20"/>
          <w:color w:val="auto"/>
        </w:rPr>
      </w:pPr>
      <w:r>
        <w:rPr>
          <w:rFonts w:ascii="Times New Roman" w:cs="Times New Roman" w:eastAsia="Times New Roman" w:hAnsi="Times New Roman"/>
          <w:sz w:val="22"/>
          <w:szCs w:val="22"/>
          <w:color w:val="auto"/>
        </w:rPr>
        <w:t>a. Metal windows for X-ray machines, or for bore-hole logging devices;</w:t>
      </w:r>
    </w:p>
    <w:p>
      <w:pPr>
        <w:spacing w:after="0" w:line="13" w:lineRule="exact"/>
        <w:rPr>
          <w:sz w:val="20"/>
          <w:szCs w:val="20"/>
          <w:color w:val="auto"/>
        </w:rPr>
      </w:pPr>
    </w:p>
    <w:p>
      <w:pPr>
        <w:jc w:val="both"/>
        <w:ind w:left="360" w:right="20" w:firstLine="180"/>
        <w:spacing w:after="0" w:line="236" w:lineRule="auto"/>
        <w:rPr>
          <w:sz w:val="20"/>
          <w:szCs w:val="20"/>
          <w:color w:val="auto"/>
        </w:rPr>
      </w:pPr>
      <w:r>
        <w:rPr>
          <w:rFonts w:ascii="Times New Roman" w:cs="Times New Roman" w:eastAsia="Times New Roman" w:hAnsi="Times New Roman"/>
          <w:sz w:val="22"/>
          <w:szCs w:val="22"/>
          <w:color w:val="auto"/>
        </w:rPr>
        <w:t>b. Oxide shapes in fabricated or semi-fabricated forms “specially designed” for electronic component parts or as substrates for electronic circuits;</w:t>
      </w:r>
    </w:p>
    <w:p>
      <w:pPr>
        <w:spacing w:after="0" w:line="17" w:lineRule="exact"/>
        <w:rPr>
          <w:sz w:val="20"/>
          <w:szCs w:val="20"/>
          <w:color w:val="auto"/>
        </w:rPr>
      </w:pPr>
    </w:p>
    <w:p>
      <w:pPr>
        <w:jc w:val="both"/>
        <w:ind w:left="360" w:right="20" w:firstLine="180"/>
        <w:spacing w:after="0" w:line="236" w:lineRule="auto"/>
        <w:rPr>
          <w:sz w:val="20"/>
          <w:szCs w:val="20"/>
          <w:color w:val="auto"/>
        </w:rPr>
      </w:pPr>
      <w:r>
        <w:rPr>
          <w:rFonts w:ascii="Times New Roman" w:cs="Times New Roman" w:eastAsia="Times New Roman" w:hAnsi="Times New Roman"/>
          <w:sz w:val="22"/>
          <w:szCs w:val="22"/>
          <w:color w:val="auto"/>
        </w:rPr>
        <w:t>c. Beryl (silicate of beryllium and aluminum) in the form of emeralds or aquamarines.</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1C231 Hafnium metal, hafnium alloys and compounds containing more than 60% hafnium by weight, manufactures thereof, and waste or scrap of any of the foregoing.</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40" w:space="700"/>
            <w:col w:w="4340"/>
          </w:cols>
          <w:pgMar w:left="1440" w:top="1293" w:right="1420" w:bottom="124" w:gutter="0" w:footer="0" w:header="0"/>
          <w:type w:val="continuous"/>
        </w:sectPr>
      </w:pPr>
    </w:p>
    <w:p>
      <w:pPr>
        <w:spacing w:after="0" w:line="277"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293" w:right="1420" w:bottom="124" w:gutter="0" w:footer="0" w:header="0"/>
          <w:type w:val="continuous"/>
        </w:sectPr>
      </w:pPr>
    </w:p>
    <w:bookmarkStart w:id="55" w:name="page56"/>
    <w:bookmarkEnd w:id="5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56</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3" o:spid="_x0000_s1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654050</wp:posOffset>
                </wp:positionV>
                <wp:extent cx="2635250" cy="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4" o:spid="_x0000_s1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5pt" to="208.6pt,51.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821055</wp:posOffset>
                </wp:positionV>
                <wp:extent cx="2635250" cy="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5" o:spid="_x0000_s11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5pt" to="208.6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675"/>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16" o:spid="_x0000_s11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675"/>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7" o:spid="_x0000_s11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675"/>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8" o:spid="_x0000_s11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05pt" o:allowincell="f" strokecolor="#000000" strokeweight="0.4799pt"/>
            </w:pict>
          </mc:Fallback>
        </mc:AlternateContent>
      </w:r>
    </w:p>
    <w:p>
      <w:pPr>
        <w:spacing w:after="0" w:line="245"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19" o:spid="_x0000_s11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0" w:lineRule="exact"/>
        <w:rPr>
          <w:sz w:val="20"/>
          <w:szCs w:val="20"/>
          <w:color w:val="auto"/>
        </w:rPr>
      </w:pPr>
    </w:p>
    <w:p>
      <w:pPr>
        <w:jc w:val="both"/>
        <w:spacing w:after="0" w:line="219" w:lineRule="auto"/>
        <w:rPr>
          <w:sz w:val="20"/>
          <w:szCs w:val="20"/>
          <w:color w:val="auto"/>
        </w:rPr>
      </w:pPr>
      <w:r>
        <w:rPr>
          <w:rFonts w:ascii="Times New Roman" w:cs="Times New Roman" w:eastAsia="Times New Roman" w:hAnsi="Times New Roman"/>
          <w:sz w:val="22"/>
          <w:szCs w:val="22"/>
          <w:b w:val="1"/>
          <w:bCs w:val="1"/>
          <w:color w:val="auto"/>
        </w:rPr>
        <w:t>1C232 Helium-3 (</w:t>
      </w:r>
      <w:r>
        <w:rPr>
          <w:rFonts w:ascii="Times New Roman" w:cs="Times New Roman" w:eastAsia="Times New Roman" w:hAnsi="Times New Roman"/>
          <w:sz w:val="28"/>
          <w:szCs w:val="28"/>
          <w:b w:val="1"/>
          <w:bCs w:val="1"/>
          <w:color w:val="auto"/>
          <w:vertAlign w:val="superscript"/>
        </w:rPr>
        <w:t>3</w:t>
      </w:r>
      <w:r>
        <w:rPr>
          <w:rFonts w:ascii="Times New Roman" w:cs="Times New Roman" w:eastAsia="Times New Roman" w:hAnsi="Times New Roman"/>
          <w:sz w:val="22"/>
          <w:szCs w:val="22"/>
          <w:b w:val="1"/>
          <w:bCs w:val="1"/>
          <w:color w:val="auto"/>
        </w:rPr>
        <w:t>He), mixtures containing helium-3, and products or devices containing any of the foregoing.</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0" o:spid="_x0000_s1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654050</wp:posOffset>
                </wp:positionV>
                <wp:extent cx="2635250" cy="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1" o:spid="_x0000_s1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5pt" to="208.6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821055</wp:posOffset>
                </wp:positionV>
                <wp:extent cx="2635250" cy="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2" o:spid="_x0000_s1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5pt" to="208.6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04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3" o:spid="_x0000_s11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04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4" o:spid="_x0000_s11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04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5" o:spid="_x0000_s1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6" o:spid="_x0000_s11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 product or device containing less than 1 g of helium-3.</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0" w:lineRule="auto"/>
        <w:rPr>
          <w:sz w:val="20"/>
          <w:szCs w:val="20"/>
          <w:color w:val="auto"/>
        </w:rPr>
      </w:pPr>
      <w:r>
        <w:rPr>
          <w:rFonts w:ascii="Times New Roman" w:cs="Times New Roman" w:eastAsia="Times New Roman" w:hAnsi="Times New Roman"/>
          <w:sz w:val="22"/>
          <w:szCs w:val="22"/>
          <w:b w:val="1"/>
          <w:bCs w:val="1"/>
          <w:color w:val="auto"/>
        </w:rPr>
        <w:t>1C233 Lithium enriched in the lithium-6 (</w:t>
      </w:r>
      <w:r>
        <w:rPr>
          <w:rFonts w:ascii="Times New Roman" w:cs="Times New Roman" w:eastAsia="Times New Roman" w:hAnsi="Times New Roman"/>
          <w:sz w:val="28"/>
          <w:szCs w:val="28"/>
          <w:b w:val="1"/>
          <w:bCs w:val="1"/>
          <w:color w:val="auto"/>
          <w:vertAlign w:val="superscript"/>
        </w:rPr>
        <w:t>6</w:t>
      </w:r>
      <w:r>
        <w:rPr>
          <w:rFonts w:ascii="Times New Roman" w:cs="Times New Roman" w:eastAsia="Times New Roman" w:hAnsi="Times New Roman"/>
          <w:sz w:val="22"/>
          <w:szCs w:val="22"/>
          <w:b w:val="1"/>
          <w:bCs w:val="1"/>
          <w:color w:val="auto"/>
        </w:rPr>
        <w:t>Li) isotope to greater than its natural isotopic abundance, and products or devices containing enriched lithium, as follows: elemental lithium, alloys, compounds, mixtures containing lithium, manufactures thereof, and waste or scrap of any of the foregoing.</w:t>
      </w:r>
    </w:p>
    <w:p>
      <w:pPr>
        <w:spacing w:after="0" w:line="26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635250" cy="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08.65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654050</wp:posOffset>
                </wp:positionV>
                <wp:extent cx="2635250" cy="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8" o:spid="_x0000_s1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5pt" to="208.65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821055</wp:posOffset>
                </wp:positionV>
                <wp:extent cx="2635250" cy="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5pt" to="208.65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82931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0" o:spid="_x0000_s11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78.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162560</wp:posOffset>
                </wp:positionV>
                <wp:extent cx="0" cy="82931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1" o:spid="_x0000_s1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8pt" to="118.05pt,78.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931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2" o:spid="_x0000_s11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1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3" o:spid="_x0000_s11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9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by this entry. (2) See ECCN </w:t>
      </w:r>
      <w:r>
        <w:rPr>
          <w:rFonts w:ascii="Times New Roman" w:cs="Times New Roman" w:eastAsia="Times New Roman" w:hAnsi="Times New Roman"/>
          <w:sz w:val="22"/>
          <w:szCs w:val="22"/>
          <w:u w:val="single" w:color="auto"/>
          <w:color w:val="0000FF"/>
        </w:rPr>
        <w:t>1B233</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for lithium isotope separation</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facilities or plants, and equipment therefor.</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8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6" w:name="page57"/>
    <w:bookmarkEnd w:id="5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57</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7" w:lineRule="auto"/>
        <w:tabs>
          <w:tab w:leader="none" w:pos="794" w:val="left"/>
        </w:tabs>
        <w:numPr>
          <w:ilvl w:val="0"/>
          <w:numId w:val="12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Certain facilities or plants for the separation of lithium isotopes are subject to the export licensing authority of the Nuclear Regulatory Commission (see 10 CFR part 110).</w:t>
      </w:r>
    </w:p>
    <w:p>
      <w:pPr>
        <w:spacing w:after="0" w:line="16" w:lineRule="exact"/>
        <w:rPr>
          <w:rFonts w:ascii="Times New Roman" w:cs="Times New Roman" w:eastAsia="Times New Roman" w:hAnsi="Times New Roman"/>
          <w:sz w:val="22"/>
          <w:szCs w:val="22"/>
          <w:color w:val="auto"/>
        </w:rPr>
      </w:pPr>
    </w:p>
    <w:p>
      <w:pPr>
        <w:jc w:val="both"/>
        <w:ind w:left="3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The natural isotopic</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abundance of lithium-6 is approximately 6.5 weight percent (7.5 atom percent).</w:t>
      </w:r>
    </w:p>
    <w:p>
      <w:pPr>
        <w:spacing w:after="0" w:line="13" w:lineRule="exact"/>
        <w:rPr>
          <w:rFonts w:ascii="Times New Roman" w:cs="Times New Roman" w:eastAsia="Times New Roman" w:hAnsi="Times New Roman"/>
          <w:sz w:val="22"/>
          <w:szCs w:val="22"/>
          <w:color w:val="auto"/>
        </w:rPr>
      </w:pPr>
    </w:p>
    <w:p>
      <w:pPr>
        <w:ind w:left="36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thermoluminescent dosimeters.</w:t>
      </w: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1C234 Zirconium with a hafnium content of less than 1 part hafnium to 500 parts zirconium by weight, as follows: metal, alloys containing more than 50% zirconium by weight, compounds, manufactures thereof, and waste or scrap of any of the foregoing.</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164465</wp:posOffset>
                </wp:positionV>
                <wp:extent cx="2635250" cy="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4" o:spid="_x0000_s1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2.95pt" to="208.6pt,12.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653415</wp:posOffset>
                </wp:positionV>
                <wp:extent cx="2635250" cy="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5" o:spid="_x0000_s11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45pt" to="208.6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820420</wp:posOffset>
                </wp:positionV>
                <wp:extent cx="2635250" cy="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6" o:spid="_x0000_s11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pt" to="208.6pt,64.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161925</wp:posOffset>
                </wp:positionV>
                <wp:extent cx="0" cy="828675"/>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37" o:spid="_x0000_s1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75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161925</wp:posOffset>
                </wp:positionV>
                <wp:extent cx="0" cy="828675"/>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8" o:spid="_x0000_s11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75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8675"/>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9" o:spid="_x0000_s1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0" o:spid="_x0000_s1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799pt"/>
            </w:pict>
          </mc:Fallback>
        </mc:AlternateContent>
      </w:r>
    </w:p>
    <w:p>
      <w:pPr>
        <w:spacing w:after="0" w:line="256"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 (2) Zirconium metal and alloys in the form of tubes or assemblies of tubes, “specially designed” or prepared for use in a reactor, are subject to the export licensing authority of the Nuclear</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color w:val="auto"/>
        </w:rPr>
        <w:t>Regulatory Commission (see 10 CFR part 110).</w:t>
      </w:r>
    </w:p>
    <w:p>
      <w:pPr>
        <w:spacing w:after="0" w:line="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zirconium in the form of foil having a thickness of 0.10 mm (0.004 in.) or less.</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1C235 Tritium, tritium compounds, mixtures containing tritium in which the ratio of tritium to hydrogen atoms exceeds 1 part in 1,000, and products or devices containing any of the foregoing.</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165100</wp:posOffset>
                </wp:positionV>
                <wp:extent cx="2635250" cy="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1" o:spid="_x0000_s1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pt" to="208.65pt,1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652780</wp:posOffset>
                </wp:positionV>
                <wp:extent cx="2635250" cy="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2" o:spid="_x0000_s11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pt" to="208.65pt,51.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820420</wp:posOffset>
                </wp:positionV>
                <wp:extent cx="2635250" cy="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3" o:spid="_x0000_s1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pt" to="208.65pt,64.6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161925</wp:posOffset>
                </wp:positionV>
                <wp:extent cx="0" cy="828675"/>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4" o:spid="_x0000_s11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75pt" to="1.4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161925</wp:posOffset>
                </wp:positionV>
                <wp:extent cx="0" cy="828675"/>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5" o:spid="_x0000_s1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75pt" to="118.0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8675"/>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6" o:spid="_x0000_s1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pt" o:allowincell="f" strokecolor="#000000" strokeweight="0.4799pt"/>
            </w:pict>
          </mc:Fallback>
        </mc:AlternateContent>
      </w:r>
    </w:p>
    <w:p>
      <w:pPr>
        <w:spacing w:after="0" w:line="243"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3"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4445</wp:posOffset>
                </wp:positionV>
                <wp:extent cx="2635250" cy="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35pt" to="208.65pt,0.35pt" o:allowincell="f" strokecolor="#000000" strokeweight="0.4799pt"/>
            </w:pict>
          </mc:Fallback>
        </mc:AlternateContent>
      </w:r>
    </w:p>
    <w:p>
      <w:pPr>
        <w:spacing w:after="0" w:line="256"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 (2) Also see ECCN</w:t>
      </w:r>
    </w:p>
    <w:p>
      <w:pPr>
        <w:spacing w:after="0" w:line="17"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u w:val="single" w:color="auto"/>
          <w:color w:val="0000FF"/>
        </w:rPr>
        <w:t>1B231</w:t>
      </w:r>
      <w:r>
        <w:rPr>
          <w:rFonts w:ascii="Times New Roman" w:cs="Times New Roman" w:eastAsia="Times New Roman" w:hAnsi="Times New Roman"/>
          <w:sz w:val="22"/>
          <w:szCs w:val="22"/>
          <w:color w:val="000000"/>
        </w:rPr>
        <w:t>. (3) Tritium that is byproduct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material (e.g., produced in a nuclear reactor) is subject to the export licensing authority of the Nuclear Regulatory Commission (see 10 CFR part 110).</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(1) 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 tritium, tritium compounds, and mixtures that are byproduct material (e.g., produced in a nuclear reactor) – such</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8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7" w:name="page58"/>
    <w:bookmarkEnd w:id="5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58</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0" w:lineRule="auto"/>
        <w:rPr>
          <w:sz w:val="20"/>
          <w:szCs w:val="20"/>
          <w:color w:val="auto"/>
        </w:rPr>
      </w:pPr>
      <w:r>
        <w:rPr>
          <w:rFonts w:ascii="Times New Roman" w:cs="Times New Roman" w:eastAsia="Times New Roman" w:hAnsi="Times New Roman"/>
          <w:sz w:val="22"/>
          <w:szCs w:val="22"/>
          <w:color w:val="auto"/>
        </w:rPr>
        <w:t>materials are subject to the licensing jurisdiction of the Nuclear Regulatory Commission (see Related Controls paragraph for this entry). (2) This entry does not control a product or device containing less than 1.48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GBq (40 Ci) of tritium.</w:t>
      </w:r>
    </w:p>
    <w:p>
      <w:pPr>
        <w:ind w:left="360"/>
        <w:spacing w:after="0" w:line="225" w:lineRule="auto"/>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b w:val="1"/>
          <w:bCs w:val="1"/>
          <w:color w:val="auto"/>
        </w:rPr>
        <w:t>1C236 Radionuclides appropriate for making neutron sources based on alpha-n reaction and products or devices containing such radionuclides (see List of Items Controlled).</w:t>
      </w:r>
    </w:p>
    <w:p>
      <w:pPr>
        <w:spacing w:after="0" w:line="200" w:lineRule="exact"/>
        <w:rPr>
          <w:sz w:val="20"/>
          <w:szCs w:val="20"/>
          <w:color w:val="auto"/>
        </w:rPr>
      </w:pPr>
    </w:p>
    <w:p>
      <w:pPr>
        <w:spacing w:after="0" w:line="29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165100</wp:posOffset>
                </wp:positionV>
                <wp:extent cx="2635250" cy="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pt" to="208.6pt,1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653415</wp:posOffset>
                </wp:positionV>
                <wp:extent cx="2635250" cy="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9" o:spid="_x0000_s1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45pt" to="208.6pt,51.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820420</wp:posOffset>
                </wp:positionV>
                <wp:extent cx="2635250" cy="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50" o:spid="_x0000_s11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pt" to="208.6pt,64.6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161925</wp:posOffset>
                </wp:positionV>
                <wp:extent cx="0" cy="82931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75pt" to="1.35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161925</wp:posOffset>
                </wp:positionV>
                <wp:extent cx="0" cy="82931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52" o:spid="_x0000_s11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75pt" to="118pt,78.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931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93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53" o:spid="_x0000_s1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05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2"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5715</wp:posOffset>
                </wp:positionV>
                <wp:extent cx="2635250" cy="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4" o:spid="_x0000_s11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5pt" to="208.6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by this entry. (2) Certain alpha-emitting radionuclides are subject to the export licensing authority of the Nuclear Regulatory Commission (see 10 CFR part 110).</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 product or device containing less than 3.7 GBq (100 millicuries) of activity.</w:t>
      </w:r>
    </w:p>
    <w:p>
      <w:pPr>
        <w:spacing w:after="0" w:line="1" w:lineRule="exact"/>
        <w:rPr>
          <w:sz w:val="20"/>
          <w:szCs w:val="20"/>
          <w:color w:val="auto"/>
        </w:rPr>
      </w:pPr>
    </w:p>
    <w:p>
      <w:pPr>
        <w:ind w:left="4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ind w:firstLine="1"/>
        <w:spacing w:after="0" w:line="234" w:lineRule="auto"/>
        <w:tabs>
          <w:tab w:leader="none" w:pos="329" w:val="left"/>
        </w:tabs>
        <w:numPr>
          <w:ilvl w:val="0"/>
          <w:numId w:val="12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Radionuclides identified in 1C236.a.1 in any of the forms described in 1C236.a.2:</w:t>
      </w:r>
    </w:p>
    <w:p>
      <w:pPr>
        <w:spacing w:after="0" w:line="267" w:lineRule="exact"/>
        <w:rPr>
          <w:sz w:val="20"/>
          <w:szCs w:val="20"/>
          <w:color w:val="auto"/>
        </w:rPr>
      </w:pPr>
    </w:p>
    <w:p>
      <w:pPr>
        <w:jc w:val="both"/>
        <w:ind w:firstLine="306"/>
        <w:spacing w:after="0" w:line="235" w:lineRule="auto"/>
        <w:rPr>
          <w:sz w:val="20"/>
          <w:szCs w:val="20"/>
          <w:color w:val="auto"/>
        </w:rPr>
      </w:pPr>
      <w:r>
        <w:rPr>
          <w:rFonts w:ascii="Times New Roman" w:cs="Times New Roman" w:eastAsia="Times New Roman" w:hAnsi="Times New Roman"/>
          <w:sz w:val="22"/>
          <w:szCs w:val="22"/>
          <w:color w:val="auto"/>
        </w:rPr>
        <w:t>a.1. Radionuclides, as follows, appropriate for making neutron sources based on alpha-n reactions:</w:t>
      </w:r>
    </w:p>
    <w:p>
      <w:pPr>
        <w:spacing w:after="0" w:line="256"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a.1.a.</w:t>
        <w:tab/>
        <w:t>Actinium 225;</w:t>
      </w:r>
    </w:p>
    <w:p>
      <w:pPr>
        <w:spacing w:after="0" w:line="252"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a.1.b.</w:t>
        <w:tab/>
        <w:t>Actinium 227;</w:t>
      </w:r>
    </w:p>
    <w:p>
      <w:pPr>
        <w:spacing w:after="0" w:line="253"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a.1.c.</w:t>
        <w:tab/>
        <w:t>Californium 253;</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a.1.d.</w:t>
        <w:tab/>
        <w:t>Curium 240;</w:t>
      </w:r>
    </w:p>
    <w:p>
      <w:pPr>
        <w:spacing w:after="0" w:line="252"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a.1.e.</w:t>
        <w:tab/>
        <w:t>Curium 241;</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a.1.f.</w:t>
        <w:tab/>
        <w:t>Curium 242;</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a.1.g.</w:t>
        <w:tab/>
        <w:t>Curium 243;</w:t>
      </w:r>
    </w:p>
    <w:p>
      <w:pPr>
        <w:spacing w:after="0" w:line="252"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a.1.h.</w:t>
        <w:tab/>
        <w:t>Curium 244;</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a.1.i.</w:t>
        <w:tab/>
        <w:t>Einsteinium 253;</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a.1.j.</w:t>
        <w:tab/>
        <w:t>Einsteinium 254;</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a.1.k.</w:t>
        <w:tab/>
        <w:t>Gadolinium 148;</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a.1.l.</w:t>
        <w:tab/>
        <w:t>Plutonium 236;</w:t>
      </w:r>
    </w:p>
    <w:p>
      <w:pPr>
        <w:spacing w:after="0" w:line="252"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a.1.m.</w:t>
        <w:tab/>
        <w:t>Plutonium 238;</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a.1.n.</w:t>
        <w:tab/>
        <w:t>Polonium 208;</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a.1.o.</w:t>
        <w:tab/>
        <w:t>Polonium 209;</w:t>
      </w:r>
    </w:p>
    <w:p>
      <w:pPr>
        <w:spacing w:after="0" w:line="252"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a.1.p.</w:t>
        <w:tab/>
        <w:t>Polonium 210;</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a.1.q.</w:t>
        <w:tab/>
        <w:t>Radium 223;</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a.1.r.</w:t>
        <w:tab/>
        <w:t>Thorium 227;</w:t>
      </w:r>
    </w:p>
    <w:p>
      <w:pPr>
        <w:spacing w:after="0" w:line="252"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a.1.s.</w:t>
        <w:tab/>
        <w:t>Thorium 228;</w:t>
      </w:r>
    </w:p>
    <w:p>
      <w:pPr>
        <w:spacing w:after="0" w:line="253" w:lineRule="exact"/>
        <w:rPr>
          <w:sz w:val="20"/>
          <w:szCs w:val="20"/>
          <w:color w:val="auto"/>
        </w:rPr>
      </w:pPr>
    </w:p>
    <w:p>
      <w:pPr>
        <w:ind w:left="720"/>
        <w:spacing w:after="0"/>
        <w:tabs>
          <w:tab w:leader="none" w:pos="1320" w:val="left"/>
        </w:tabs>
        <w:rPr>
          <w:sz w:val="20"/>
          <w:szCs w:val="20"/>
          <w:color w:val="auto"/>
        </w:rPr>
      </w:pPr>
      <w:r>
        <w:rPr>
          <w:rFonts w:ascii="Times New Roman" w:cs="Times New Roman" w:eastAsia="Times New Roman" w:hAnsi="Times New Roman"/>
          <w:sz w:val="22"/>
          <w:szCs w:val="22"/>
          <w:color w:val="auto"/>
        </w:rPr>
        <w:t>a.1.t.</w:t>
        <w:tab/>
        <w:t>Uranium 230;</w:t>
      </w:r>
    </w:p>
    <w:p>
      <w:pPr>
        <w:spacing w:after="0" w:line="253"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a.1.u.</w:t>
        <w:tab/>
        <w:t>Uranium 232; and</w:t>
      </w:r>
    </w:p>
    <w:p>
      <w:pPr>
        <w:spacing w:after="0" w:line="493"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8" w:name="page59"/>
    <w:bookmarkEnd w:id="5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59</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a.2. In any of the following forms:</w:t>
      </w:r>
    </w:p>
    <w:p>
      <w:pPr>
        <w:spacing w:after="0" w:line="253"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a.2.a.</w:t>
        <w:tab/>
        <w:t>Elemental;</w:t>
      </w:r>
    </w:p>
    <w:p>
      <w:pPr>
        <w:spacing w:after="0" w:line="266" w:lineRule="exact"/>
        <w:rPr>
          <w:sz w:val="20"/>
          <w:szCs w:val="20"/>
          <w:color w:val="auto"/>
        </w:rPr>
      </w:pPr>
    </w:p>
    <w:p>
      <w:pPr>
        <w:ind w:firstLine="720"/>
        <w:spacing w:after="0" w:line="233" w:lineRule="auto"/>
        <w:rPr>
          <w:sz w:val="20"/>
          <w:szCs w:val="20"/>
          <w:color w:val="auto"/>
        </w:rPr>
      </w:pPr>
      <w:r>
        <w:rPr>
          <w:rFonts w:ascii="Times New Roman" w:cs="Times New Roman" w:eastAsia="Times New Roman" w:hAnsi="Times New Roman"/>
          <w:sz w:val="22"/>
          <w:szCs w:val="22"/>
          <w:color w:val="auto"/>
        </w:rPr>
        <w:t xml:space="preserve">a.2.b. Compounds having a total activity of 37 GBq (1 curie) per kg or greater;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ind w:firstLine="720"/>
        <w:spacing w:after="0" w:line="234" w:lineRule="auto"/>
        <w:rPr>
          <w:sz w:val="20"/>
          <w:szCs w:val="20"/>
          <w:color w:val="auto"/>
        </w:rPr>
      </w:pPr>
      <w:r>
        <w:rPr>
          <w:rFonts w:ascii="Times New Roman" w:cs="Times New Roman" w:eastAsia="Times New Roman" w:hAnsi="Times New Roman"/>
          <w:sz w:val="22"/>
          <w:szCs w:val="22"/>
          <w:color w:val="auto"/>
        </w:rPr>
        <w:t>a.2.c. Mixtures having a total activity of 37 GBq (1 curie) per kg or greater.</w:t>
      </w:r>
    </w:p>
    <w:p>
      <w:pPr>
        <w:spacing w:after="0" w:line="265" w:lineRule="exact"/>
        <w:rPr>
          <w:sz w:val="20"/>
          <w:szCs w:val="20"/>
          <w:color w:val="auto"/>
        </w:rPr>
      </w:pPr>
    </w:p>
    <w:p>
      <w:pPr>
        <w:jc w:val="both"/>
        <w:spacing w:after="0" w:line="236" w:lineRule="auto"/>
        <w:tabs>
          <w:tab w:leader="none" w:pos="341" w:val="left"/>
        </w:tabs>
        <w:numPr>
          <w:ilvl w:val="0"/>
          <w:numId w:val="12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Products or devices containing radionuclides identified in 1C236.a.1 in any of the forms described in 1C236.a.2.</w:t>
      </w:r>
    </w:p>
    <w:p>
      <w:pPr>
        <w:spacing w:after="0" w:line="200" w:lineRule="exact"/>
        <w:rPr>
          <w:sz w:val="20"/>
          <w:szCs w:val="20"/>
          <w:color w:val="auto"/>
        </w:rPr>
      </w:pPr>
    </w:p>
    <w:p>
      <w:pPr>
        <w:spacing w:after="0" w:line="312" w:lineRule="exact"/>
        <w:rPr>
          <w:sz w:val="20"/>
          <w:szCs w:val="20"/>
          <w:color w:val="auto"/>
        </w:rPr>
      </w:pPr>
    </w:p>
    <w:p>
      <w:pPr>
        <w:jc w:val="both"/>
        <w:spacing w:after="0" w:line="226" w:lineRule="auto"/>
        <w:rPr>
          <w:sz w:val="20"/>
          <w:szCs w:val="20"/>
          <w:color w:val="auto"/>
        </w:rPr>
      </w:pPr>
      <w:r>
        <w:rPr>
          <w:rFonts w:ascii="Times New Roman" w:cs="Times New Roman" w:eastAsia="Times New Roman" w:hAnsi="Times New Roman"/>
          <w:sz w:val="22"/>
          <w:szCs w:val="22"/>
          <w:b w:val="1"/>
          <w:bCs w:val="1"/>
          <w:color w:val="auto"/>
        </w:rPr>
        <w:t>1C237 Radium-226 (</w:t>
      </w:r>
      <w:r>
        <w:rPr>
          <w:rFonts w:ascii="Times New Roman" w:cs="Times New Roman" w:eastAsia="Times New Roman" w:hAnsi="Times New Roman"/>
          <w:sz w:val="28"/>
          <w:szCs w:val="28"/>
          <w:b w:val="1"/>
          <w:bCs w:val="1"/>
          <w:color w:val="auto"/>
          <w:vertAlign w:val="superscript"/>
        </w:rPr>
        <w:t>226</w:t>
      </w:r>
      <w:r>
        <w:rPr>
          <w:rFonts w:ascii="Times New Roman" w:cs="Times New Roman" w:eastAsia="Times New Roman" w:hAnsi="Times New Roman"/>
          <w:sz w:val="22"/>
          <w:szCs w:val="22"/>
          <w:b w:val="1"/>
          <w:bCs w:val="1"/>
          <w:color w:val="auto"/>
        </w:rPr>
        <w:t>Ra), radium-226 alloys, radium-226 compounds, mixtures containing radium-226, manufactures thereof, and products or devices containing any of the foregoing.</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5" o:spid="_x0000_s11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654050</wp:posOffset>
                </wp:positionV>
                <wp:extent cx="2635250" cy="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6" o:spid="_x0000_s1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5pt" to="208.6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821055</wp:posOffset>
                </wp:positionV>
                <wp:extent cx="2635250" cy="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7" o:spid="_x0000_s1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5pt" to="208.6pt,64.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675"/>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8" o:spid="_x0000_s1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675"/>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59" o:spid="_x0000_s1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675"/>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0" o:spid="_x0000_s1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05pt" o:allowincell="f" strokecolor="#000000" strokeweight="0.4799pt"/>
            </w:pict>
          </mc:Fallback>
        </mc:AlternateContent>
      </w:r>
    </w:p>
    <w:p>
      <w:pPr>
        <w:spacing w:after="0" w:line="245"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1" o:spid="_x0000_s1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0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28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and “production”)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auto"/>
        </w:rPr>
        <w:t xml:space="preserve"> (“use”) for technology for items controlled by this entry.</w:t>
      </w:r>
    </w:p>
    <w:p>
      <w:pPr>
        <w:ind w:left="280"/>
        <w:spacing w:after="0"/>
        <w:tabs>
          <w:tab w:leader="none" w:pos="22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280"/>
        <w:spacing w:after="0" w:line="234"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the following:</w:t>
      </w:r>
    </w:p>
    <w:p>
      <w:pPr>
        <w:spacing w:after="0" w:line="1" w:lineRule="exact"/>
        <w:rPr>
          <w:sz w:val="20"/>
          <w:szCs w:val="20"/>
          <w:color w:val="auto"/>
        </w:rPr>
      </w:pPr>
    </w:p>
    <w:p>
      <w:pPr>
        <w:ind w:left="900"/>
        <w:spacing w:after="0"/>
        <w:rPr>
          <w:sz w:val="20"/>
          <w:szCs w:val="20"/>
          <w:color w:val="auto"/>
        </w:rPr>
      </w:pPr>
      <w:r>
        <w:rPr>
          <w:rFonts w:ascii="Times New Roman" w:cs="Times New Roman" w:eastAsia="Times New Roman" w:hAnsi="Times New Roman"/>
          <w:sz w:val="22"/>
          <w:szCs w:val="22"/>
          <w:color w:val="auto"/>
        </w:rPr>
        <w:t>a. Medical applicators;</w:t>
      </w:r>
    </w:p>
    <w:p>
      <w:pPr>
        <w:spacing w:after="0" w:line="13" w:lineRule="exact"/>
        <w:rPr>
          <w:sz w:val="20"/>
          <w:szCs w:val="20"/>
          <w:color w:val="auto"/>
        </w:rPr>
      </w:pPr>
    </w:p>
    <w:p>
      <w:pPr>
        <w:jc w:val="both"/>
        <w:ind w:left="280" w:firstLine="630"/>
        <w:spacing w:after="0" w:line="250" w:lineRule="auto"/>
        <w:rPr>
          <w:sz w:val="20"/>
          <w:szCs w:val="20"/>
          <w:color w:val="auto"/>
        </w:rPr>
      </w:pPr>
      <w:r>
        <w:rPr>
          <w:rFonts w:ascii="Times New Roman" w:cs="Times New Roman" w:eastAsia="Times New Roman" w:hAnsi="Times New Roman"/>
          <w:sz w:val="21"/>
          <w:szCs w:val="21"/>
          <w:color w:val="auto"/>
        </w:rPr>
        <w:t>b. A product or device containing less than 0.37 GBq (10 millicuries) of radium-226.</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0" w:lineRule="exact"/>
        <w:rPr>
          <w:sz w:val="20"/>
          <w:szCs w:val="20"/>
          <w:color w:val="auto"/>
        </w:rPr>
      </w:pPr>
    </w:p>
    <w:p>
      <w:pPr>
        <w:jc w:val="both"/>
        <w:spacing w:after="0" w:line="227" w:lineRule="auto"/>
        <w:rPr>
          <w:sz w:val="20"/>
          <w:szCs w:val="20"/>
          <w:color w:val="auto"/>
        </w:rPr>
      </w:pPr>
      <w:r>
        <w:rPr>
          <w:rFonts w:ascii="Times New Roman" w:cs="Times New Roman" w:eastAsia="Times New Roman" w:hAnsi="Times New Roman"/>
          <w:sz w:val="22"/>
          <w:szCs w:val="22"/>
          <w:b w:val="1"/>
          <w:bCs w:val="1"/>
          <w:color w:val="auto"/>
        </w:rPr>
        <w:t>1C239 High explosives, other than those controlled by the U.S. Munitions List, or substances or mixtures containing more than 2% by weight thereof, with a crystal density greater than 1.8 g/cm</w:t>
      </w:r>
      <w:r>
        <w:rPr>
          <w:rFonts w:ascii="Times New Roman" w:cs="Times New Roman" w:eastAsia="Times New Roman" w:hAnsi="Times New Roman"/>
          <w:sz w:val="28"/>
          <w:szCs w:val="28"/>
          <w:b w:val="1"/>
          <w:bCs w:val="1"/>
          <w:color w:val="auto"/>
          <w:vertAlign w:val="superscript"/>
        </w:rPr>
        <w:t>3</w:t>
      </w:r>
      <w:r>
        <w:rPr>
          <w:rFonts w:ascii="Times New Roman" w:cs="Times New Roman" w:eastAsia="Times New Roman" w:hAnsi="Times New Roman"/>
          <w:sz w:val="22"/>
          <w:szCs w:val="22"/>
          <w:b w:val="1"/>
          <w:bCs w:val="1"/>
          <w:color w:val="auto"/>
        </w:rPr>
        <w:t xml:space="preserve"> and having a detonation velocity greater than 8,000 m/s.</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164465</wp:posOffset>
                </wp:positionV>
                <wp:extent cx="2635250" cy="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2" o:spid="_x0000_s1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2.95pt" to="208.65pt,12.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653415</wp:posOffset>
                </wp:positionV>
                <wp:extent cx="2635250" cy="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45pt" to="208.65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1499235</wp:posOffset>
                </wp:positionH>
                <wp:positionV relativeFrom="paragraph">
                  <wp:posOffset>161925</wp:posOffset>
                </wp:positionV>
                <wp:extent cx="0" cy="828675"/>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4" o:spid="_x0000_s11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05pt,12.75pt" to="118.0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820420</wp:posOffset>
                </wp:positionV>
                <wp:extent cx="2635250" cy="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5" o:spid="_x0000_s11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64.6pt" to="208.65pt,64.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161925</wp:posOffset>
                </wp:positionV>
                <wp:extent cx="0" cy="828675"/>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6" o:spid="_x0000_s11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75pt" to="1.4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161925</wp:posOffset>
                </wp:positionV>
                <wp:extent cx="0" cy="828675"/>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6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75pt" to="208.4pt,78pt" o:allowincell="f" strokecolor="#000000" strokeweight="0.4799pt"/>
            </w:pict>
          </mc:Fallback>
        </mc:AlternateContent>
      </w:r>
    </w:p>
    <w:p>
      <w:pPr>
        <w:spacing w:after="0" w:line="243"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5715</wp:posOffset>
                </wp:positionV>
                <wp:extent cx="2635250" cy="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8" o:spid="_x0000_s11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0.45pt" to="208.65pt,0.45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720"/>
        <w:spacing w:after="0"/>
        <w:tabs>
          <w:tab w:leader="none" w:pos="1540" w:val="left"/>
          <w:tab w:leader="none" w:pos="2720" w:val="left"/>
          <w:tab w:leader="none" w:pos="3140" w:val="left"/>
          <w:tab w:leader="none" w:pos="3620" w:val="left"/>
        </w:tabs>
        <w:rPr>
          <w:sz w:val="20"/>
          <w:szCs w:val="20"/>
          <w:color w:val="auto"/>
        </w:rPr>
      </w:pPr>
      <w:r>
        <w:rPr>
          <w:rFonts w:ascii="Times New Roman" w:cs="Times New Roman" w:eastAsia="Times New Roman" w:hAnsi="Times New Roman"/>
          <w:sz w:val="22"/>
          <w:szCs w:val="22"/>
          <w:i w:val="1"/>
          <w:iCs w:val="1"/>
          <w:color w:val="auto"/>
        </w:rPr>
        <w:t>Related</w:t>
        <w:tab/>
        <w:t>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(1)</w:t>
        <w:tab/>
        <w:t>See</w:t>
        <w:tab/>
        <w:t>ECCNs</w:t>
      </w:r>
    </w:p>
    <w:p>
      <w:pPr>
        <w:spacing w:after="0" w:line="13" w:lineRule="exact"/>
        <w:rPr>
          <w:sz w:val="20"/>
          <w:szCs w:val="20"/>
          <w:color w:val="auto"/>
        </w:rPr>
      </w:pPr>
    </w:p>
    <w:p>
      <w:pPr>
        <w:jc w:val="both"/>
        <w:ind w:left="720"/>
        <w:spacing w:after="0" w:line="238" w:lineRule="auto"/>
        <w:rPr>
          <w:sz w:val="20"/>
          <w:szCs w:val="20"/>
          <w:color w:val="auto"/>
        </w:rPr>
      </w:pP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00"/>
        </w:rPr>
        <w:t xml:space="preserve"> (“use”) for technology for items controlled by this entry. (2) See ECCNs 1C608 (energetic materials and related commodities on the Wassenaar Arrangement Munitions List) and 1C992 (commercial charges and devices containing energetic materials, n.e.s and nitrogen trifluoride in a gaseous state). (3) High explosives for military use are “subject to the ITAR” (see 22 CFR part 121.1).</w:t>
      </w:r>
    </w:p>
    <w:p>
      <w:pPr>
        <w:spacing w:after="0" w:line="265" w:lineRule="exact"/>
        <w:rPr>
          <w:sz w:val="20"/>
          <w:szCs w:val="20"/>
          <w:color w:val="auto"/>
        </w:rPr>
      </w:pP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715"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59" w:name="page60"/>
    <w:bookmarkEnd w:id="5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60</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1C240 Nickel powder or porous nickel metal, specially prepared for the manufacture of gaseous diffusion barriers subject to the export licensing authority of the Nuclear Regulatory Commission (see 10 CFR part 110), as follows (see List of Items Controlled).</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653415</wp:posOffset>
                </wp:positionV>
                <wp:extent cx="2635250" cy="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0" o:spid="_x0000_s1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45pt" to="208.6pt,51.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821055</wp:posOffset>
                </wp:positionV>
                <wp:extent cx="2635250" cy="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71" o:spid="_x0000_s1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64.65pt" to="208.6pt,64.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82804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2" o:spid="_x0000_s11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7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82804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7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82804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804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74" o:spid="_x0000_s11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78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3"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10"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720"/>
        <w:spacing w:after="0"/>
        <w:tabs>
          <w:tab w:leader="none" w:pos="1540" w:val="left"/>
          <w:tab w:leader="none" w:pos="2720" w:val="left"/>
          <w:tab w:leader="none" w:pos="3140" w:val="left"/>
          <w:tab w:leader="none" w:pos="3620" w:val="left"/>
        </w:tabs>
        <w:rPr>
          <w:sz w:val="20"/>
          <w:szCs w:val="20"/>
          <w:color w:val="auto"/>
        </w:rPr>
      </w:pPr>
      <w:r>
        <w:rPr>
          <w:rFonts w:ascii="Times New Roman" w:cs="Times New Roman" w:eastAsia="Times New Roman" w:hAnsi="Times New Roman"/>
          <w:sz w:val="22"/>
          <w:szCs w:val="22"/>
          <w:i w:val="1"/>
          <w:iCs w:val="1"/>
          <w:color w:val="auto"/>
        </w:rPr>
        <w:t>Related</w:t>
        <w:tab/>
        <w:t>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(1)</w:t>
        <w:tab/>
        <w:t>See</w:t>
        <w:tab/>
        <w:t>ECCNs</w:t>
      </w:r>
    </w:p>
    <w:p>
      <w:pPr>
        <w:spacing w:after="0" w:line="13" w:lineRule="exact"/>
        <w:rPr>
          <w:sz w:val="20"/>
          <w:szCs w:val="20"/>
          <w:color w:val="auto"/>
        </w:rPr>
      </w:pPr>
    </w:p>
    <w:p>
      <w:pPr>
        <w:jc w:val="both"/>
        <w:ind w:left="720"/>
        <w:spacing w:after="0" w:line="238" w:lineRule="auto"/>
        <w:rPr>
          <w:sz w:val="20"/>
          <w:szCs w:val="20"/>
          <w:color w:val="auto"/>
        </w:rPr>
      </w:pPr>
      <w:r>
        <w:rPr>
          <w:rFonts w:ascii="Times New Roman" w:cs="Times New Roman" w:eastAsia="Times New Roman" w:hAnsi="Times New Roman"/>
          <w:sz w:val="22"/>
          <w:szCs w:val="22"/>
          <w:u w:val="single" w:color="auto"/>
          <w:color w:val="0000FF"/>
        </w:rPr>
        <w:t>1E001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1E201</w:t>
      </w:r>
      <w:r>
        <w:rPr>
          <w:rFonts w:ascii="Times New Roman" w:cs="Times New Roman" w:eastAsia="Times New Roman" w:hAnsi="Times New Roman"/>
          <w:sz w:val="22"/>
          <w:szCs w:val="22"/>
          <w:color w:val="000000"/>
        </w:rPr>
        <w:t xml:space="preserve"> (“use”) for technology for items controlled by this entry. (2) Nickel powder and porous nickel metal, “specially designed” or prepared for use in separating uranium isotopes, are subject to the export licensing authority of the Nuclear Regulatory Commission (see 10 CFR part 110).</w:t>
      </w:r>
    </w:p>
    <w:p>
      <w:pPr>
        <w:spacing w:after="0" w:line="8" w:lineRule="exact"/>
        <w:rPr>
          <w:sz w:val="20"/>
          <w:szCs w:val="20"/>
          <w:color w:val="auto"/>
        </w:rPr>
      </w:pP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3" w:lineRule="exact"/>
        <w:rPr>
          <w:sz w:val="20"/>
          <w:szCs w:val="20"/>
          <w:color w:val="auto"/>
        </w:rPr>
      </w:pPr>
    </w:p>
    <w:p>
      <w:pPr>
        <w:jc w:val="both"/>
        <w:ind w:left="720"/>
        <w:spacing w:after="0" w:line="234"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 the following:</w:t>
      </w:r>
    </w:p>
    <w:p>
      <w:pPr>
        <w:spacing w:after="0" w:line="253"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a. Filamentary nickel powders;</w:t>
      </w:r>
    </w:p>
    <w:p>
      <w:pPr>
        <w:spacing w:after="0" w:line="266" w:lineRule="exact"/>
        <w:rPr>
          <w:sz w:val="20"/>
          <w:szCs w:val="20"/>
          <w:color w:val="auto"/>
        </w:rPr>
      </w:pPr>
    </w:p>
    <w:p>
      <w:pPr>
        <w:jc w:val="both"/>
        <w:ind w:left="1080"/>
        <w:spacing w:after="0" w:line="223" w:lineRule="auto"/>
        <w:rPr>
          <w:sz w:val="20"/>
          <w:szCs w:val="20"/>
          <w:color w:val="auto"/>
        </w:rPr>
      </w:pPr>
      <w:r>
        <w:rPr>
          <w:rFonts w:ascii="Times New Roman" w:cs="Times New Roman" w:eastAsia="Times New Roman" w:hAnsi="Times New Roman"/>
          <w:sz w:val="21"/>
          <w:szCs w:val="21"/>
          <w:color w:val="auto"/>
        </w:rPr>
        <w:t>b. Single porous nickel sheets with an area of 1,000 cm</w:t>
      </w:r>
      <w:r>
        <w:rPr>
          <w:rFonts w:ascii="Times New Roman" w:cs="Times New Roman" w:eastAsia="Times New Roman" w:hAnsi="Times New Roman"/>
          <w:sz w:val="27"/>
          <w:szCs w:val="27"/>
          <w:color w:val="auto"/>
          <w:vertAlign w:val="superscript"/>
        </w:rPr>
        <w:t>2</w:t>
      </w:r>
      <w:r>
        <w:rPr>
          <w:rFonts w:ascii="Times New Roman" w:cs="Times New Roman" w:eastAsia="Times New Roman" w:hAnsi="Times New Roman"/>
          <w:sz w:val="21"/>
          <w:szCs w:val="21"/>
          <w:color w:val="auto"/>
        </w:rPr>
        <w:t xml:space="preserve"> per sheet or less.</w:t>
      </w:r>
    </w:p>
    <w:p>
      <w:pPr>
        <w:ind w:left="720"/>
        <w:spacing w:after="0" w:line="221" w:lineRule="auto"/>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ind w:firstLine="1"/>
        <w:spacing w:after="0" w:line="234" w:lineRule="auto"/>
        <w:tabs>
          <w:tab w:leader="none" w:pos="329" w:val="left"/>
        </w:tabs>
        <w:numPr>
          <w:ilvl w:val="0"/>
          <w:numId w:val="12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Nickel powder having both of the following characteristics:</w:t>
      </w:r>
    </w:p>
    <w:p>
      <w:pPr>
        <w:spacing w:after="0" w:line="267"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color w:val="auto"/>
        </w:rPr>
        <w:t>a.1. A nickel purity content of 99.0% or greater by weight; and</w:t>
      </w:r>
    </w:p>
    <w:p>
      <w:pPr>
        <w:spacing w:after="0" w:line="26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a.2. A mean particle size of less than 10 micrometers measured by American Society for Testing and Materials (ASTM) B330 standard;</w:t>
      </w:r>
    </w:p>
    <w:p>
      <w:pPr>
        <w:spacing w:after="0" w:line="265" w:lineRule="exact"/>
        <w:rPr>
          <w:sz w:val="20"/>
          <w:szCs w:val="20"/>
          <w:color w:val="auto"/>
        </w:rPr>
      </w:pPr>
    </w:p>
    <w:p>
      <w:pPr>
        <w:ind w:firstLine="1"/>
        <w:spacing w:after="0" w:line="234" w:lineRule="auto"/>
        <w:tabs>
          <w:tab w:leader="none" w:pos="341" w:val="left"/>
        </w:tabs>
        <w:numPr>
          <w:ilvl w:val="0"/>
          <w:numId w:val="12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Porous nickel metal produced from materials controlled by 1C240.a.</w:t>
      </w:r>
    </w:p>
    <w:p>
      <w:pPr>
        <w:spacing w:after="0" w:line="267"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1C240.b refers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porous metal formed by compacting and sintering the materials in 1C240.a to form a metal material with fine pores interconnected throughout the structure.</w:t>
      </w:r>
    </w:p>
    <w:p>
      <w:pPr>
        <w:spacing w:after="0" w:line="200" w:lineRule="exact"/>
        <w:rPr>
          <w:sz w:val="20"/>
          <w:szCs w:val="20"/>
          <w:color w:val="auto"/>
        </w:rPr>
      </w:pPr>
    </w:p>
    <w:p>
      <w:pPr>
        <w:spacing w:after="0" w:line="321" w:lineRule="exact"/>
        <w:rPr>
          <w:sz w:val="20"/>
          <w:szCs w:val="20"/>
          <w:color w:val="auto"/>
        </w:rPr>
      </w:pPr>
    </w:p>
    <w:p>
      <w:pPr>
        <w:jc w:val="both"/>
        <w:ind w:right="620"/>
        <w:spacing w:after="0" w:line="234" w:lineRule="auto"/>
        <w:rPr>
          <w:sz w:val="20"/>
          <w:szCs w:val="20"/>
          <w:color w:val="auto"/>
        </w:rPr>
      </w:pPr>
      <w:r>
        <w:rPr>
          <w:rFonts w:ascii="Times New Roman" w:cs="Times New Roman" w:eastAsia="Times New Roman" w:hAnsi="Times New Roman"/>
          <w:sz w:val="22"/>
          <w:szCs w:val="22"/>
          <w:b w:val="1"/>
          <w:bCs w:val="1"/>
          <w:color w:val="auto"/>
        </w:rPr>
        <w:t>1C241 Rhenium and alloys containing rhenium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165735</wp:posOffset>
                </wp:positionV>
                <wp:extent cx="2749550" cy="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6" o:spid="_x0000_s12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13.05pt" to="217.65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655320</wp:posOffset>
                </wp:positionV>
                <wp:extent cx="2749550" cy="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77" o:spid="_x0000_s1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1.6pt" to="217.65pt,51.6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14605</wp:posOffset>
                </wp:positionH>
                <wp:positionV relativeFrom="paragraph">
                  <wp:posOffset>952500</wp:posOffset>
                </wp:positionV>
                <wp:extent cx="2749550" cy="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78" o:spid="_x0000_s12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75pt" to="217.65pt,7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17780</wp:posOffset>
                </wp:positionH>
                <wp:positionV relativeFrom="paragraph">
                  <wp:posOffset>162560</wp:posOffset>
                </wp:positionV>
                <wp:extent cx="0" cy="1089025"/>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90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pt,12.8pt" to="1.4pt,98.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1503680</wp:posOffset>
                </wp:positionH>
                <wp:positionV relativeFrom="paragraph">
                  <wp:posOffset>162560</wp:posOffset>
                </wp:positionV>
                <wp:extent cx="0" cy="1089025"/>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9025"/>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80" o:spid="_x0000_s12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4pt,12.8pt" to="118.4pt,98.5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2760980</wp:posOffset>
                </wp:positionH>
                <wp:positionV relativeFrom="paragraph">
                  <wp:posOffset>162560</wp:posOffset>
                </wp:positionV>
                <wp:extent cx="0" cy="1089025"/>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8902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7.4pt,12.8pt" to="217.4pt,98.55pt" o:allowincell="f" strokecolor="#000000" strokeweight="0.4799pt"/>
            </w:pict>
          </mc:Fallback>
        </mc:AlternateContent>
      </w:r>
    </w:p>
    <w:p>
      <w:pPr>
        <w:spacing w:after="0" w:line="244" w:lineRule="exact"/>
        <w:rPr>
          <w:sz w:val="20"/>
          <w:szCs w:val="20"/>
          <w:color w:val="auto"/>
        </w:rPr>
      </w:pPr>
    </w:p>
    <w:p>
      <w:pPr>
        <w:ind w:left="25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20" w:right="120" w:hanging="2416"/>
        <w:spacing w:after="0" w:line="234" w:lineRule="auto"/>
        <w:tabs>
          <w:tab w:leader="none" w:pos="25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15" w:lineRule="exact"/>
        <w:rPr>
          <w:sz w:val="20"/>
          <w:szCs w:val="20"/>
          <w:color w:val="auto"/>
        </w:rPr>
      </w:pPr>
    </w:p>
    <w:p>
      <w:pPr>
        <w:jc w:val="center"/>
        <w:ind w:right="640"/>
        <w:spacing w:after="0"/>
        <w:rPr>
          <w:sz w:val="20"/>
          <w:szCs w:val="20"/>
          <w:color w:val="auto"/>
        </w:rPr>
      </w:pPr>
      <w:r>
        <w:rPr>
          <w:rFonts w:ascii="Times New Roman" w:cs="Times New Roman" w:eastAsia="Times New Roman" w:hAnsi="Times New Roman"/>
          <w:sz w:val="22"/>
          <w:szCs w:val="22"/>
          <w:color w:val="auto"/>
        </w:rPr>
        <w:t>NP applies to entire entry NP Column 1</w:t>
      </w:r>
    </w:p>
    <w:p>
      <w:pPr>
        <w:spacing w:after="0" w:line="215" w:lineRule="exact"/>
        <w:rPr>
          <w:sz w:val="20"/>
          <w:szCs w:val="20"/>
          <w:color w:val="auto"/>
        </w:rPr>
      </w:pPr>
    </w:p>
    <w:p>
      <w:pPr>
        <w:jc w:val="center"/>
        <w:ind w:right="64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14605</wp:posOffset>
                </wp:positionH>
                <wp:positionV relativeFrom="paragraph">
                  <wp:posOffset>67945</wp:posOffset>
                </wp:positionV>
                <wp:extent cx="2749550" cy="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pt,5.35pt" to="217.65pt,5.35pt" o:allowincell="f" strokecolor="#000000" strokeweight="0.48pt"/>
            </w:pict>
          </mc:Fallback>
        </mc:AlternateContent>
      </w:r>
    </w:p>
    <w:p>
      <w:pPr>
        <w:spacing w:after="0" w:line="200" w:lineRule="exact"/>
        <w:rPr>
          <w:sz w:val="20"/>
          <w:szCs w:val="20"/>
          <w:color w:val="auto"/>
        </w:rPr>
      </w:pPr>
    </w:p>
    <w:p>
      <w:pPr>
        <w:spacing w:after="0" w:line="255" w:lineRule="exact"/>
        <w:rPr>
          <w:sz w:val="20"/>
          <w:szCs w:val="20"/>
          <w:color w:val="auto"/>
        </w:rPr>
      </w:pPr>
    </w:p>
    <w:p>
      <w:pPr>
        <w:ind w:right="24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00"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tabs>
          <w:tab w:leader="none" w:pos="208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a. Rhenium and alloys containing rhenium, as follows, having both of the characteristics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17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0" w:name="page61"/>
    <w:bookmarkEnd w:id="6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61</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described in 1C241.b:</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Alloys containing 90% by weight or more of rhenium;</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a.2. Alloys containing 90% by weight or more of any combination of rhenium and tungsten; </w:t>
      </w:r>
      <w:r>
        <w:rPr>
          <w:rFonts w:ascii="Times New Roman" w:cs="Times New Roman" w:eastAsia="Times New Roman" w:hAnsi="Times New Roman"/>
          <w:sz w:val="22"/>
          <w:szCs w:val="22"/>
          <w:i w:val="1"/>
          <w:iCs w:val="1"/>
          <w:color w:val="auto"/>
        </w:rPr>
        <w:t>and</w:t>
      </w:r>
    </w:p>
    <w:p>
      <w:pPr>
        <w:spacing w:after="0" w:line="254"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b.</w:t>
        <w:tab/>
        <w:t>Having both of the following characteristics: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b.1. In forms with a hollow cylindrical symmetry (including cylinder segments) with an inside diameter between 100 mm and 300 mm; </w:t>
      </w:r>
      <w:r>
        <w:rPr>
          <w:rFonts w:ascii="Times New Roman" w:cs="Times New Roman" w:eastAsia="Times New Roman" w:hAnsi="Times New Roman"/>
          <w:sz w:val="22"/>
          <w:szCs w:val="22"/>
          <w:i w:val="1"/>
          <w:iCs w:val="1"/>
          <w:color w:val="auto"/>
        </w:rPr>
        <w:t>and</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b.2.</w:t>
        <w:tab/>
        <w:t>A mass greater than 20 kg.</w:t>
      </w:r>
    </w:p>
    <w:p>
      <w:pPr>
        <w:spacing w:after="0" w:line="200" w:lineRule="exact"/>
        <w:rPr>
          <w:sz w:val="20"/>
          <w:szCs w:val="20"/>
          <w:color w:val="auto"/>
        </w:rPr>
      </w:pPr>
    </w:p>
    <w:p>
      <w:pPr>
        <w:spacing w:after="0" w:line="320"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1C298 Graphite with a boron content of less than 5 parts per million and a density greater than 1.5 grams per cubic centimeter that is intended for use other than in a nuclear reactor.</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165735</wp:posOffset>
                </wp:positionV>
                <wp:extent cx="2635250" cy="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3" o:spid="_x0000_s12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13.05pt" to="208.6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654050</wp:posOffset>
                </wp:positionV>
                <wp:extent cx="2635250" cy="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4" o:spid="_x0000_s12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51.5pt" to="208.6pt,5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17145</wp:posOffset>
                </wp:positionH>
                <wp:positionV relativeFrom="paragraph">
                  <wp:posOffset>162560</wp:posOffset>
                </wp:positionV>
                <wp:extent cx="0" cy="66167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6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pt,12.8pt" to="1.35pt,64.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1498600</wp:posOffset>
                </wp:positionH>
                <wp:positionV relativeFrom="paragraph">
                  <wp:posOffset>162560</wp:posOffset>
                </wp:positionV>
                <wp:extent cx="0" cy="66167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pt,12.8pt" to="118pt,64.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2646680</wp:posOffset>
                </wp:positionH>
                <wp:positionV relativeFrom="paragraph">
                  <wp:posOffset>162560</wp:posOffset>
                </wp:positionV>
                <wp:extent cx="0" cy="66167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7" o:spid="_x0000_s1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4pt,12.8pt" to="208.4pt,64.9pt" o:allowincell="f" strokecolor="#000000" strokeweight="0.4799pt"/>
            </w:pict>
          </mc:Fallback>
        </mc:AlternateContent>
      </w:r>
    </w:p>
    <w:p>
      <w:pPr>
        <w:spacing w:after="0" w:line="244" w:lineRule="exact"/>
        <w:rPr>
          <w:sz w:val="20"/>
          <w:szCs w:val="20"/>
          <w:color w:val="auto"/>
        </w:rPr>
      </w:pPr>
    </w:p>
    <w:p>
      <w:pPr>
        <w:ind w:left="240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420" w:right="220" w:hanging="2326"/>
        <w:spacing w:after="0" w:line="234" w:lineRule="auto"/>
        <w:tabs>
          <w:tab w:leader="none" w:pos="240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9" w:lineRule="exact"/>
        <w:rPr>
          <w:sz w:val="20"/>
          <w:szCs w:val="20"/>
          <w:color w:val="auto"/>
        </w:rPr>
      </w:pPr>
    </w:p>
    <w:p>
      <w:pPr>
        <w:ind w:left="40"/>
        <w:spacing w:after="0"/>
        <w:rPr>
          <w:sz w:val="20"/>
          <w:szCs w:val="20"/>
          <w:color w:val="auto"/>
        </w:rPr>
      </w:pPr>
      <w:r>
        <w:rPr>
          <w:rFonts w:ascii="Times New Roman" w:cs="Times New Roman" w:eastAsia="Times New Roman" w:hAnsi="Times New Roman"/>
          <w:sz w:val="22"/>
          <w:szCs w:val="22"/>
          <w:color w:val="auto"/>
        </w:rPr>
        <w:t>NP applies to entire entry NP Column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5080</wp:posOffset>
                </wp:positionV>
                <wp:extent cx="2635250" cy="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52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pt,0.4pt" to="208.6pt,0.4pt" o:allowincell="f" strokecolor="#000000" strokeweight="0.4799pt"/>
            </w:pict>
          </mc:Fallback>
        </mc:AlternateContent>
      </w:r>
    </w:p>
    <w:p>
      <w:pPr>
        <w:spacing w:after="0" w:line="256"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b w:val="1"/>
          <w:bCs w:val="1"/>
          <w:color w:val="auto"/>
        </w:rPr>
        <w:t xml:space="preserve">License Requirement Note: </w:t>
      </w:r>
      <w:r>
        <w:rPr>
          <w:rFonts w:ascii="Times New Roman" w:cs="Times New Roman" w:eastAsia="Times New Roman" w:hAnsi="Times New Roman"/>
          <w:sz w:val="22"/>
          <w:szCs w:val="22"/>
          <w:color w:val="auto"/>
        </w:rPr>
        <w:t>Some</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graphite intended for use in a nuclear reactor is subject to the export licensing authority of the Nuclear Regulatory Commission (see 10 CFR part 110).</w:t>
      </w:r>
    </w:p>
    <w:p>
      <w:pPr>
        <w:spacing w:after="0" w:line="26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1C107.</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Graphite having a purity level of less than 5 parts per million “boron equivalent” as measured according to ASTM standard C-1233-98 and intended for use in a nuclear reactor is subject to the export licensing authority of the Nuclear Regulatory Commission (see 10 CFR 110).</w:t>
      </w:r>
    </w:p>
    <w:p>
      <w:pPr>
        <w:spacing w:after="0" w:line="271"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graphite with a purity level better than 5 parts per million boron equivalent is determined according to ASTM standard C1233-98. In applying ASTM standard C1233-98, the boron equivalence of the element carbon is not included in the boron equivalence calculation, since carbon is not considered an impurity.</w:t>
      </w:r>
    </w:p>
    <w:p>
      <w:pPr>
        <w:spacing w:after="0" w:line="25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1C350 Chemicals that may be used as precursors for toxic chemical agents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4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CB, CW, AT</w:t>
      </w:r>
    </w:p>
    <w:p>
      <w:pPr>
        <w:spacing w:after="0" w:line="235" w:lineRule="exact"/>
        <w:rPr>
          <w:sz w:val="20"/>
          <w:szCs w:val="20"/>
          <w:color w:val="auto"/>
        </w:rPr>
      </w:pPr>
    </w:p>
    <w:tbl>
      <w:tblPr>
        <w:tblLayout w:type="fixed"/>
        <w:tblInd w:w="30" w:type="dxa"/>
        <w:tblCellMar>
          <w:top w:w="0" w:type="dxa"/>
          <w:left w:w="0" w:type="dxa"/>
          <w:bottom w:w="0" w:type="dxa"/>
          <w:right w:w="0" w:type="dxa"/>
        </w:tblCellMar>
      </w:tblPr>
      <w:tr>
        <w:trPr>
          <w:trHeight w:val="262"/>
        </w:trPr>
        <w:tc>
          <w:tcPr>
            <w:tcW w:w="1820" w:type="dxa"/>
            <w:vAlign w:val="bottom"/>
            <w:tcBorders>
              <w:top w:val="single" w:sz="8" w:color="auto"/>
              <w:left w:val="single" w:sz="8" w:color="auto"/>
              <w:right w:val="single" w:sz="8" w:color="auto"/>
            </w:tcBorders>
            <w:vMerge w:val="restart"/>
          </w:tcPr>
          <w:p>
            <w:pPr>
              <w:ind w:left="4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34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 Supp.</w:t>
            </w:r>
          </w:p>
        </w:tc>
        <w:tc>
          <w:tcPr>
            <w:tcW w:w="0" w:type="dxa"/>
            <w:vAlign w:val="bottom"/>
          </w:tcPr>
          <w:p>
            <w:pPr>
              <w:spacing w:after="0"/>
              <w:rPr>
                <w:sz w:val="1"/>
                <w:szCs w:val="1"/>
                <w:color w:val="auto"/>
              </w:rPr>
            </w:pPr>
          </w:p>
        </w:tc>
      </w:tr>
      <w:tr>
        <w:trPr>
          <w:trHeight w:val="126"/>
        </w:trPr>
        <w:tc>
          <w:tcPr>
            <w:tcW w:w="1820" w:type="dxa"/>
            <w:vAlign w:val="bottom"/>
            <w:tcBorders>
              <w:left w:val="single" w:sz="8" w:color="auto"/>
              <w:right w:val="single" w:sz="8" w:color="auto"/>
            </w:tcBorders>
            <w:vMerge w:val="continue"/>
          </w:tcPr>
          <w:p>
            <w:pPr>
              <w:spacing w:after="0"/>
              <w:rPr>
                <w:sz w:val="10"/>
                <w:szCs w:val="10"/>
                <w:color w:val="auto"/>
              </w:rPr>
            </w:pPr>
          </w:p>
        </w:tc>
        <w:tc>
          <w:tcPr>
            <w:tcW w:w="2340" w:type="dxa"/>
            <w:vAlign w:val="bottom"/>
            <w:tcBorders>
              <w:right w:val="single" w:sz="8" w:color="auto"/>
            </w:tcBorders>
            <w:vMerge w:val="restart"/>
          </w:tcPr>
          <w:p>
            <w:pPr>
              <w:ind w:left="360"/>
              <w:spacing w:after="0"/>
              <w:rPr>
                <w:sz w:val="20"/>
                <w:szCs w:val="20"/>
                <w:color w:val="auto"/>
              </w:rPr>
            </w:pPr>
            <w:r>
              <w:rPr>
                <w:rFonts w:ascii="Times New Roman" w:cs="Times New Roman" w:eastAsia="Times New Roman" w:hAnsi="Times New Roman"/>
                <w:sz w:val="22"/>
                <w:szCs w:val="22"/>
                <w:i w:val="1"/>
                <w:iCs w:val="1"/>
                <w:color w:val="auto"/>
              </w:rPr>
              <w:t>No. 1 to part 738)</w:t>
            </w:r>
          </w:p>
        </w:tc>
        <w:tc>
          <w:tcPr>
            <w:tcW w:w="0" w:type="dxa"/>
            <w:vAlign w:val="bottom"/>
          </w:tcPr>
          <w:p>
            <w:pPr>
              <w:spacing w:after="0"/>
              <w:rPr>
                <w:sz w:val="1"/>
                <w:szCs w:val="1"/>
                <w:color w:val="auto"/>
              </w:rPr>
            </w:pPr>
          </w:p>
        </w:tc>
      </w:tr>
      <w:tr>
        <w:trPr>
          <w:trHeight w:val="127"/>
        </w:trPr>
        <w:tc>
          <w:tcPr>
            <w:tcW w:w="1820" w:type="dxa"/>
            <w:vAlign w:val="bottom"/>
            <w:tcBorders>
              <w:left w:val="single" w:sz="8" w:color="auto"/>
              <w:bottom w:val="single" w:sz="8" w:color="auto"/>
              <w:right w:val="single" w:sz="8" w:color="auto"/>
            </w:tcBorders>
          </w:tcPr>
          <w:p>
            <w:pPr>
              <w:spacing w:after="0"/>
              <w:rPr>
                <w:sz w:val="11"/>
                <w:szCs w:val="11"/>
                <w:color w:val="auto"/>
              </w:rPr>
            </w:pPr>
          </w:p>
        </w:tc>
        <w:tc>
          <w:tcPr>
            <w:tcW w:w="23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41"/>
        </w:trPr>
        <w:tc>
          <w:tcPr>
            <w:tcW w:w="1820" w:type="dxa"/>
            <w:vAlign w:val="bottom"/>
            <w:tcBorders>
              <w:left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CB applies to entire</w:t>
            </w:r>
          </w:p>
        </w:tc>
        <w:tc>
          <w:tcPr>
            <w:tcW w:w="234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CB Column 2</w:t>
            </w:r>
          </w:p>
        </w:tc>
        <w:tc>
          <w:tcPr>
            <w:tcW w:w="0" w:type="dxa"/>
            <w:vAlign w:val="bottom"/>
          </w:tcPr>
          <w:p>
            <w:pPr>
              <w:spacing w:after="0"/>
              <w:rPr>
                <w:sz w:val="1"/>
                <w:szCs w:val="1"/>
                <w:color w:val="auto"/>
              </w:rPr>
            </w:pPr>
          </w:p>
        </w:tc>
      </w:tr>
      <w:tr>
        <w:trPr>
          <w:trHeight w:val="255"/>
        </w:trPr>
        <w:tc>
          <w:tcPr>
            <w:tcW w:w="182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234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8"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CW applies to 1C350 .b, and .c. The Commerce Country Chart is not designed to determine licensing requirements for items controlled for CW reasons. A license is required, for CW reasons, to export or reexport Schedule 2 chemicals and mixtures identified in 1C350.b to States not Party to the CWC (destinations not listed in Supplement No. 2 to part 745 of the EAR). A license is required, for CW reasons, to export Schedule 3 chemicals and mixtures identified in 1C350.c to States not Party to the CWC, unless an End-Use Certificate issued by the government of the importing country has been</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8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1" w:name="page62"/>
    <w:bookmarkEnd w:id="6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62</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obtained by the exporter prior to export. A license is required, for CW reasons, to reexport Schedule 3 chemicals and mixtures identified in 1C350.c from a State not Party to the CWC to any other State not Party to the CWC. (See §742.18 of the EAR for license requirements and policies for toxic and precursor chemicals controlled for CW reasons. See §745.2 of the EAR for End-Use Certificate requirements that apply to exports of Schedule 3 chemicals to countries not listed in Supplement No. 2 to part 745 of the EAR.)</w:t>
      </w:r>
    </w:p>
    <w:p>
      <w:pPr>
        <w:spacing w:after="0" w:line="258"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AT applies to entire entry. The Commerce Country Chart is not designed to determine licensing requirements for items controlled for AT reasons in 1C350. A license is required, for AT reasons, to export or reexport items controlled by 1C350 to a country in Country Group E:1 of Supplement No. 1 to part 740 of the EAR. (See part 742 of the EAR for additional information on the AT controls that apply to Iran, North Korea, Sudan, and Syria. See part 746 of the EAR for additional information on sanctions that apply to Iran, North Korea, and Syria.)</w:t>
      </w:r>
    </w:p>
    <w:p>
      <w:pPr>
        <w:spacing w:after="0" w:line="24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 Notes:</w:t>
      </w:r>
    </w:p>
    <w:p>
      <w:pPr>
        <w:spacing w:after="0" w:line="265" w:lineRule="exact"/>
        <w:rPr>
          <w:sz w:val="20"/>
          <w:szCs w:val="20"/>
          <w:color w:val="auto"/>
        </w:rPr>
      </w:pPr>
    </w:p>
    <w:p>
      <w:pPr>
        <w:jc w:val="both"/>
        <w:ind w:firstLine="360"/>
        <w:spacing w:after="0" w:line="238" w:lineRule="auto"/>
        <w:tabs>
          <w:tab w:leader="none" w:pos="654" w:val="left"/>
        </w:tabs>
        <w:numPr>
          <w:ilvl w:val="0"/>
          <w:numId w:val="1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SAMPLE SHIPMENTS: Subject to the following requirements and restrictions, a license is not required for sample shipments when the cumulative total of these shipments does not exceed a 55-gallon container or 200 kg of a single chemical to any one consignee during a calendar year. A consignee that receives a sample shipment under this exclusion may not resell, transfer, or reexport the sample shipment, but may use the sample shipment for any other legal purpose unrelated to chemical weapons.</w:t>
      </w:r>
    </w:p>
    <w:p>
      <w:pPr>
        <w:spacing w:after="0" w:line="263" w:lineRule="exact"/>
        <w:rPr>
          <w:rFonts w:ascii="Times New Roman" w:cs="Times New Roman" w:eastAsia="Times New Roman" w:hAnsi="Times New Roman"/>
          <w:sz w:val="22"/>
          <w:szCs w:val="22"/>
          <w:i w:val="1"/>
          <w:iCs w:val="1"/>
          <w:color w:val="auto"/>
        </w:rPr>
      </w:pPr>
    </w:p>
    <w:p>
      <w:pPr>
        <w:ind w:left="940" w:hanging="220"/>
        <w:spacing w:after="0"/>
        <w:tabs>
          <w:tab w:leader="none" w:pos="940" w:val="left"/>
        </w:tabs>
        <w:numPr>
          <w:ilvl w:val="1"/>
          <w:numId w:val="1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Chemicals Not Eligible:</w:t>
      </w:r>
    </w:p>
    <w:p>
      <w:pPr>
        <w:spacing w:after="0" w:line="253" w:lineRule="exact"/>
        <w:rPr>
          <w:rFonts w:ascii="Times New Roman" w:cs="Times New Roman" w:eastAsia="Times New Roman" w:hAnsi="Times New Roman"/>
          <w:sz w:val="22"/>
          <w:szCs w:val="22"/>
          <w:i w:val="1"/>
          <w:iCs w:val="1"/>
          <w:color w:val="auto"/>
        </w:rPr>
      </w:pPr>
    </w:p>
    <w:p>
      <w:pPr>
        <w:ind w:left="1320" w:hanging="240"/>
        <w:spacing w:after="0"/>
        <w:tabs>
          <w:tab w:leader="none" w:pos="1320" w:val="left"/>
        </w:tabs>
        <w:numPr>
          <w:ilvl w:val="2"/>
          <w:numId w:val="1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[Reserved]</w:t>
      </w:r>
    </w:p>
    <w:p>
      <w:pPr>
        <w:spacing w:after="0" w:line="264" w:lineRule="exact"/>
        <w:rPr>
          <w:rFonts w:ascii="Times New Roman" w:cs="Times New Roman" w:eastAsia="Times New Roman" w:hAnsi="Times New Roman"/>
          <w:sz w:val="22"/>
          <w:szCs w:val="22"/>
          <w:i w:val="1"/>
          <w:iCs w:val="1"/>
          <w:color w:val="auto"/>
        </w:rPr>
      </w:pPr>
    </w:p>
    <w:p>
      <w:pPr>
        <w:jc w:val="both"/>
        <w:ind w:firstLine="1080"/>
        <w:spacing w:after="0" w:line="238" w:lineRule="auto"/>
        <w:tabs>
          <w:tab w:leader="none" w:pos="1468" w:val="left"/>
        </w:tabs>
        <w:numPr>
          <w:ilvl w:val="2"/>
          <w:numId w:val="1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CWC Schedule 2 chemicals (States not Party to the CWC). No CWC Schedule 2 chemical or mixture identified in 1C350.b is eligible for sample shipment to States not Party to the CWC (destinations not listed in Supplement No. 2 to part 745 of the EAR) without a license.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2" w:lineRule="exact"/>
        <w:rPr>
          <w:sz w:val="20"/>
          <w:szCs w:val="20"/>
          <w:color w:val="auto"/>
        </w:rPr>
      </w:pPr>
    </w:p>
    <w:p>
      <w:pPr>
        <w:jc w:val="both"/>
        <w:ind w:firstLine="721"/>
        <w:spacing w:after="0" w:line="237" w:lineRule="auto"/>
        <w:tabs>
          <w:tab w:leader="none" w:pos="1094" w:val="left"/>
        </w:tabs>
        <w:numPr>
          <w:ilvl w:val="1"/>
          <w:numId w:val="12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Countries Not Eligible: Countries in Country Group E:1 of Supplement No. 1 to part 740 of the EAR are not eligible to receive sample shipments of any chemicals controlled by this ECCN without a license.</w:t>
      </w:r>
    </w:p>
    <w:p>
      <w:pPr>
        <w:spacing w:after="0" w:line="269" w:lineRule="exact"/>
        <w:rPr>
          <w:rFonts w:ascii="Times New Roman" w:cs="Times New Roman" w:eastAsia="Times New Roman" w:hAnsi="Times New Roman"/>
          <w:sz w:val="22"/>
          <w:szCs w:val="22"/>
          <w:i w:val="1"/>
          <w:iCs w:val="1"/>
          <w:color w:val="auto"/>
        </w:rPr>
      </w:pPr>
    </w:p>
    <w:p>
      <w:pPr>
        <w:jc w:val="both"/>
        <w:ind w:firstLine="721"/>
        <w:spacing w:after="0" w:line="238" w:lineRule="auto"/>
        <w:tabs>
          <w:tab w:leader="none" w:pos="1117" w:val="left"/>
        </w:tabs>
        <w:numPr>
          <w:ilvl w:val="1"/>
          <w:numId w:val="12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Sample shipments that require an End-Use Certificate for CW reasons: No CWC Schedule 3 chemical or mixture identified in 1C350.c is eligible for sample shipment to States not Party to the CWC (destinations not listed in Supplement No. 2 to part 745 of the EAR) without a license, unless an End-Use Certificate issued by the government of the importing country is obtained by the exporter prior to export (see §745.2 of the EAR for End-Use Certificate requirements).</w:t>
      </w:r>
    </w:p>
    <w:p>
      <w:pPr>
        <w:spacing w:after="0" w:line="276" w:lineRule="exact"/>
        <w:rPr>
          <w:rFonts w:ascii="Times New Roman" w:cs="Times New Roman" w:eastAsia="Times New Roman" w:hAnsi="Times New Roman"/>
          <w:sz w:val="22"/>
          <w:szCs w:val="22"/>
          <w:i w:val="1"/>
          <w:iCs w:val="1"/>
          <w:color w:val="auto"/>
        </w:rPr>
      </w:pPr>
    </w:p>
    <w:p>
      <w:pPr>
        <w:jc w:val="both"/>
        <w:ind w:firstLine="721"/>
        <w:spacing w:after="0" w:line="238" w:lineRule="auto"/>
        <w:tabs>
          <w:tab w:leader="none" w:pos="1047" w:val="left"/>
        </w:tabs>
        <w:numPr>
          <w:ilvl w:val="1"/>
          <w:numId w:val="12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Sample shipments that require a license for reasons set forth elsewhere in the EAR: Sample shipments, as described in this Note 1, may require a license for reasons set forth elsewhere in the EAR. See, in particular, the end-use/end-user restrictions in part 744 of the EAR, and the restrictions that apply to embargoed countries in part 746 of the EAR.</w:t>
      </w:r>
    </w:p>
    <w:p>
      <w:pPr>
        <w:spacing w:after="0" w:line="269" w:lineRule="exact"/>
        <w:rPr>
          <w:rFonts w:ascii="Times New Roman" w:cs="Times New Roman" w:eastAsia="Times New Roman" w:hAnsi="Times New Roman"/>
          <w:sz w:val="22"/>
          <w:szCs w:val="22"/>
          <w:i w:val="1"/>
          <w:iCs w:val="1"/>
          <w:color w:val="auto"/>
        </w:rPr>
      </w:pPr>
    </w:p>
    <w:p>
      <w:pPr>
        <w:jc w:val="both"/>
        <w:ind w:firstLine="721"/>
        <w:spacing w:after="0" w:line="251" w:lineRule="auto"/>
        <w:tabs>
          <w:tab w:leader="none" w:pos="1031" w:val="left"/>
        </w:tabs>
        <w:numPr>
          <w:ilvl w:val="1"/>
          <w:numId w:val="129"/>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Annual report requirement. The exporter is required to submit an annual written report for shipments of samples made under this Note 1. The report must be on company letterhead stationery (titled “Report of Sample Shipments of Chemical Precursors” at the top of the first page) and identify the chemical(s), Chemical Abstract Service Registry (C.A.S.) number(s), quantity(ies), the ultimate consignee's name and address, and the date of export for all sample shipments that were made during the previous calendar year. The report must be submitted no later than February 28 of the year following the calendar year in which the sample shipments were made, to: U.S. Department of Commerce, Bureau of Industry and Security, 14th Street and Pennsylvania Ave., NW., Room 2099B,</w:t>
      </w:r>
    </w:p>
    <w:p>
      <w:pPr>
        <w:spacing w:after="0" w:line="7" w:lineRule="exact"/>
        <w:rPr>
          <w:rFonts w:ascii="Times New Roman" w:cs="Times New Roman" w:eastAsia="Times New Roman" w:hAnsi="Times New Roman"/>
          <w:sz w:val="21"/>
          <w:szCs w:val="21"/>
          <w:i w:val="1"/>
          <w:iCs w:val="1"/>
          <w:color w:val="auto"/>
        </w:rPr>
      </w:pPr>
    </w:p>
    <w:p>
      <w:pPr>
        <w:spacing w:after="0" w:line="234"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Washington, DC 20230, Attn: “Report of Sample Shipments of Chemical Precursors.”</w:t>
      </w:r>
    </w:p>
    <w:p>
      <w:pPr>
        <w:spacing w:after="0" w:line="252" w:lineRule="exact"/>
        <w:rPr>
          <w:rFonts w:ascii="Times New Roman" w:cs="Times New Roman" w:eastAsia="Times New Roman" w:hAnsi="Times New Roman"/>
          <w:sz w:val="21"/>
          <w:szCs w:val="21"/>
          <w:i w:val="1"/>
          <w:iCs w:val="1"/>
          <w:color w:val="auto"/>
        </w:rPr>
      </w:pPr>
    </w:p>
    <w:p>
      <w:pPr>
        <w:ind w:left="700" w:hanging="339"/>
        <w:spacing w:after="0"/>
        <w:tabs>
          <w:tab w:leader="none" w:pos="700" w:val="left"/>
        </w:tabs>
        <w:numPr>
          <w:ilvl w:val="0"/>
          <w:numId w:val="13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MIXTURES:</w:t>
      </w:r>
    </w:p>
    <w:p>
      <w:pPr>
        <w:spacing w:after="0" w:line="45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2" w:name="page63"/>
    <w:bookmarkEnd w:id="6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63</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1"/>
          <w:szCs w:val="21"/>
          <w:i w:val="1"/>
          <w:iCs w:val="1"/>
          <w:color w:val="auto"/>
        </w:rPr>
        <w:t>a. Mixtures that contain precursor chemicals identified in ECCN 1C350, in concentrations that are below the levels indicated in 1C350.b through .d, are controlled by ECCN 1C395 or 1C995 and are subject to the licensing requirements specified in those ECCNs.</w:t>
      </w:r>
    </w:p>
    <w:p>
      <w:pPr>
        <w:spacing w:after="0" w:line="25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i w:val="1"/>
          <w:iCs w:val="1"/>
          <w:color w:val="auto"/>
        </w:rPr>
        <w:t>b. A license is not required under this ECCN for a mixture, when the controlled chemical in the mixture is a normal ingredient in consumer goods packaged for retail sale for</w:t>
      </w:r>
    </w:p>
    <w:p>
      <w:pPr>
        <w:spacing w:after="0" w:line="1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i w:val="1"/>
          <w:iCs w:val="1"/>
          <w:color w:val="auto"/>
        </w:rPr>
        <w:t>personal use. Such consumer goods are designated EAR99. However, a license may be required for reasons set forth elsewhere in the EAR.</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Mixtures: </w:t>
      </w:r>
      <w:r>
        <w:rPr>
          <w:rFonts w:ascii="Times New Roman" w:cs="Times New Roman" w:eastAsia="Times New Roman" w:hAnsi="Times New Roman"/>
          <w:sz w:val="22"/>
          <w:szCs w:val="22"/>
          <w:i w:val="1"/>
          <w:iCs w:val="1"/>
          <w:color w:val="auto"/>
        </w:rPr>
        <w:t>Calculation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concentrations of AG-controlled chemicals:</w:t>
      </w:r>
    </w:p>
    <w:p>
      <w:pPr>
        <w:spacing w:after="0" w:line="266" w:lineRule="exact"/>
        <w:rPr>
          <w:sz w:val="20"/>
          <w:szCs w:val="20"/>
          <w:color w:val="auto"/>
        </w:rPr>
      </w:pPr>
    </w:p>
    <w:p>
      <w:pPr>
        <w:jc w:val="both"/>
        <w:ind w:firstLine="360"/>
        <w:spacing w:after="0" w:line="236" w:lineRule="auto"/>
        <w:tabs>
          <w:tab w:leader="none" w:pos="709" w:val="left"/>
        </w:tabs>
        <w:numPr>
          <w:ilvl w:val="0"/>
          <w:numId w:val="1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Exclusion. No chemical may be added to the mixture (solution) for the sole purpose of circumventing the Export Administration Regulations;</w:t>
      </w:r>
    </w:p>
    <w:p>
      <w:pPr>
        <w:spacing w:after="0" w:line="269" w:lineRule="exact"/>
        <w:rPr>
          <w:rFonts w:ascii="Times New Roman" w:cs="Times New Roman" w:eastAsia="Times New Roman" w:hAnsi="Times New Roman"/>
          <w:sz w:val="22"/>
          <w:szCs w:val="22"/>
          <w:i w:val="1"/>
          <w:iCs w:val="1"/>
          <w:color w:val="auto"/>
        </w:rPr>
      </w:pPr>
    </w:p>
    <w:p>
      <w:pPr>
        <w:jc w:val="both"/>
        <w:ind w:firstLine="360"/>
        <w:spacing w:after="0" w:line="237" w:lineRule="auto"/>
        <w:tabs>
          <w:tab w:leader="none" w:pos="701" w:val="left"/>
        </w:tabs>
        <w:numPr>
          <w:ilvl w:val="0"/>
          <w:numId w:val="1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Percent Weight Calculation. When calculating the percentage, by weight, of ingredients in a chemical mixture, include all ingredients of the mixture, including those that act as solvents.</w:t>
      </w:r>
    </w:p>
    <w:p>
      <w:pPr>
        <w:spacing w:after="0" w:line="269" w:lineRule="exact"/>
        <w:rPr>
          <w:sz w:val="20"/>
          <w:szCs w:val="20"/>
          <w:color w:val="auto"/>
        </w:rPr>
      </w:pPr>
    </w:p>
    <w:p>
      <w:pPr>
        <w:jc w:val="both"/>
        <w:ind w:firstLine="360"/>
        <w:spacing w:after="0" w:line="238" w:lineRule="auto"/>
        <w:tabs>
          <w:tab w:leader="none" w:pos="796" w:val="left"/>
        </w:tabs>
        <w:numPr>
          <w:ilvl w:val="0"/>
          <w:numId w:val="13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COMPOUNDS. Compounds created with any chemicals identified in this ECCN 1C350 may be shipped NLR (No License Required), without obtaining an End-Use Certificate, unless those compounds are also identified in this entry or require a license for reasons set forth elsewhere in the EAR.</w:t>
      </w:r>
    </w:p>
    <w:p>
      <w:pPr>
        <w:spacing w:after="0" w:line="267" w:lineRule="exact"/>
        <w:rPr>
          <w:rFonts w:ascii="Times New Roman" w:cs="Times New Roman" w:eastAsia="Times New Roman" w:hAnsi="Times New Roman"/>
          <w:sz w:val="22"/>
          <w:szCs w:val="22"/>
          <w:i w:val="1"/>
          <w:iCs w:val="1"/>
          <w:color w:val="auto"/>
        </w:rPr>
      </w:pPr>
    </w:p>
    <w:p>
      <w:pPr>
        <w:jc w:val="both"/>
        <w:ind w:firstLine="360"/>
        <w:spacing w:after="0" w:line="251" w:lineRule="auto"/>
        <w:tabs>
          <w:tab w:leader="none" w:pos="770" w:val="left"/>
        </w:tabs>
        <w:numPr>
          <w:ilvl w:val="0"/>
          <w:numId w:val="132"/>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TESTING KITS: Certain medical, analytical, diagnostic, and food testing kits containing small quantities of chemicals identified in this ECCN 1C350, are excluded from the scope of this ECCN and are controlled under ECCN 1C395 or 1C995. (Note that replacement reagents for such kits are controlled by this ECCN 1C350 if the reagents contain one or more of the precursor chemicals identified in 1C350 in concentrations equal to or greater than the control levels for mixtures indicated in 1C350.)</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6" w:lineRule="exact"/>
        <w:rPr>
          <w:sz w:val="20"/>
          <w:szCs w:val="20"/>
          <w:color w:val="auto"/>
        </w:rPr>
      </w:pPr>
    </w:p>
    <w:p>
      <w:pPr>
        <w:jc w:val="both"/>
        <w:ind w:firstLine="396"/>
        <w:spacing w:after="0" w:line="236" w:lineRule="auto"/>
        <w:tabs>
          <w:tab w:leader="none" w:pos="736" w:val="left"/>
        </w:tabs>
        <w:numPr>
          <w:ilvl w:val="1"/>
          <w:numId w:val="13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purposes of this entry, a “mixture” is defined as a solid, liquid or gaseous product made up of two or more ingredients that do not react together under normal storage conditions.</w:t>
      </w:r>
    </w:p>
    <w:p>
      <w:pPr>
        <w:spacing w:after="0" w:line="270" w:lineRule="exact"/>
        <w:rPr>
          <w:rFonts w:ascii="Times New Roman" w:cs="Times New Roman" w:eastAsia="Times New Roman" w:hAnsi="Times New Roman"/>
          <w:sz w:val="22"/>
          <w:szCs w:val="22"/>
          <w:i w:val="1"/>
          <w:iCs w:val="1"/>
          <w:color w:val="auto"/>
        </w:rPr>
      </w:pPr>
    </w:p>
    <w:p>
      <w:pPr>
        <w:jc w:val="both"/>
        <w:ind w:firstLine="307"/>
        <w:spacing w:after="0" w:line="236" w:lineRule="auto"/>
        <w:tabs>
          <w:tab w:leader="none" w:pos="678" w:val="left"/>
        </w:tabs>
        <w:numPr>
          <w:ilvl w:val="0"/>
          <w:numId w:val="13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scope of this control applicable to Hydrogen Fluoride (see 1C350.d.7 in the List of Items Controlled) includes its liquid, gaseous, and aqueous phases, and hydrates.</w:t>
      </w:r>
    </w:p>
    <w:p>
      <w:pPr>
        <w:spacing w:after="0" w:line="269" w:lineRule="exact"/>
        <w:rPr>
          <w:rFonts w:ascii="Times New Roman" w:cs="Times New Roman" w:eastAsia="Times New Roman" w:hAnsi="Times New Roman"/>
          <w:sz w:val="22"/>
          <w:szCs w:val="22"/>
          <w:i w:val="1"/>
          <w:iCs w:val="1"/>
          <w:color w:val="auto"/>
        </w:rPr>
      </w:pPr>
    </w:p>
    <w:p>
      <w:pPr>
        <w:jc w:val="both"/>
        <w:ind w:firstLine="307"/>
        <w:spacing w:after="0" w:line="239" w:lineRule="auto"/>
        <w:tabs>
          <w:tab w:leader="none" w:pos="648" w:val="left"/>
        </w:tabs>
        <w:numPr>
          <w:ilvl w:val="0"/>
          <w:numId w:val="13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Precursor chemicals in ECCN 1C350 are listed by name, Chemical Abstract Service (CAS) number and CWC Schedule (where applicable). Precursor chemicals of the same structural formula (e.g., hydrates) are controlled by ECCN 1C350, regardless of name or CAS number. CAS numbers are shown to assist in identifying whether a particular precursor chemical or mixture is controlled under ECCN 1C350, irrespective of nomenclature. However, CAS numbers cannot be used as unique identifiers in all situations because some forms of the listed precursor chemical have different CAS numbers, and mixtures containing a precursor chemical listed in ECCN 1C350 may also have different CAS numbers.</w:t>
      </w:r>
    </w:p>
    <w:p>
      <w:pPr>
        <w:spacing w:after="0" w:line="26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XIV(c) for related chemicals “subject to the ITAR” (see 22 CFR parts 120 through 130).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See §770.2(k) of the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EAR for synonyms for the chemicals listed in this entry.</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200" w:hanging="199"/>
        <w:spacing w:after="0"/>
        <w:tabs>
          <w:tab w:leader="none" w:pos="200" w:val="left"/>
        </w:tabs>
        <w:numPr>
          <w:ilvl w:val="0"/>
          <w:numId w:val="13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5" w:lineRule="exact"/>
        <w:rPr>
          <w:rFonts w:ascii="Times New Roman" w:cs="Times New Roman" w:eastAsia="Times New Roman" w:hAnsi="Times New Roman"/>
          <w:sz w:val="22"/>
          <w:szCs w:val="22"/>
          <w:color w:val="auto"/>
        </w:rPr>
      </w:pPr>
    </w:p>
    <w:p>
      <w:pPr>
        <w:jc w:val="both"/>
        <w:ind w:firstLine="1"/>
        <w:spacing w:after="0" w:line="250" w:lineRule="auto"/>
        <w:tabs>
          <w:tab w:leader="none" w:pos="495" w:val="left"/>
        </w:tabs>
        <w:numPr>
          <w:ilvl w:val="0"/>
          <w:numId w:val="135"/>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Australia Group-controlled precursor chemicals also identified as Schedule 2 chemicals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3" w:name="page64"/>
    <w:bookmarkEnd w:id="6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64</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under the CWC, as follows, and mixtures in which at least one of the following chemicals constitutes 30 percent or more of the weight of the mixture:</w:t>
      </w:r>
    </w:p>
    <w:p>
      <w:pPr>
        <w:spacing w:after="0" w:line="266" w:lineRule="exact"/>
        <w:rPr>
          <w:sz w:val="20"/>
          <w:szCs w:val="20"/>
          <w:color w:val="auto"/>
        </w:rPr>
      </w:pPr>
    </w:p>
    <w:p>
      <w:pPr>
        <w:ind w:right="980" w:firstLine="270"/>
        <w:spacing w:after="0" w:line="234" w:lineRule="auto"/>
        <w:rPr>
          <w:sz w:val="20"/>
          <w:szCs w:val="20"/>
          <w:color w:val="auto"/>
        </w:rPr>
      </w:pPr>
      <w:r>
        <w:rPr>
          <w:rFonts w:ascii="Times New Roman" w:cs="Times New Roman" w:eastAsia="Times New Roman" w:hAnsi="Times New Roman"/>
          <w:sz w:val="22"/>
          <w:szCs w:val="22"/>
          <w:color w:val="auto"/>
        </w:rPr>
        <w:t>b.1. (C.A.S. #7784-34-1) Arsenic trichloride;</w:t>
      </w:r>
    </w:p>
    <w:p>
      <w:pPr>
        <w:spacing w:after="0" w:line="254" w:lineRule="exact"/>
        <w:rPr>
          <w:sz w:val="20"/>
          <w:szCs w:val="20"/>
          <w:color w:val="auto"/>
        </w:rPr>
      </w:pPr>
    </w:p>
    <w:p>
      <w:pPr>
        <w:ind w:left="280"/>
        <w:spacing w:after="0"/>
        <w:tabs>
          <w:tab w:leader="none" w:pos="760" w:val="left"/>
        </w:tabs>
        <w:rPr>
          <w:sz w:val="20"/>
          <w:szCs w:val="20"/>
          <w:color w:val="auto"/>
        </w:rPr>
      </w:pPr>
      <w:r>
        <w:rPr>
          <w:rFonts w:ascii="Times New Roman" w:cs="Times New Roman" w:eastAsia="Times New Roman" w:hAnsi="Times New Roman"/>
          <w:sz w:val="22"/>
          <w:szCs w:val="22"/>
          <w:color w:val="auto"/>
        </w:rPr>
        <w:t>b.2.</w:t>
        <w:tab/>
        <w:t>(C.A.S. #76-93-7) Benzilic acid;</w:t>
      </w:r>
    </w:p>
    <w:p>
      <w:pPr>
        <w:spacing w:after="0" w:line="265" w:lineRule="exact"/>
        <w:rPr>
          <w:sz w:val="20"/>
          <w:szCs w:val="20"/>
          <w:color w:val="auto"/>
        </w:rPr>
      </w:pPr>
    </w:p>
    <w:p>
      <w:pPr>
        <w:ind w:right="1220" w:firstLine="270"/>
        <w:spacing w:after="0" w:line="234" w:lineRule="auto"/>
        <w:rPr>
          <w:sz w:val="20"/>
          <w:szCs w:val="20"/>
          <w:color w:val="auto"/>
        </w:rPr>
      </w:pPr>
      <w:r>
        <w:rPr>
          <w:rFonts w:ascii="Times New Roman" w:cs="Times New Roman" w:eastAsia="Times New Roman" w:hAnsi="Times New Roman"/>
          <w:sz w:val="22"/>
          <w:szCs w:val="22"/>
          <w:color w:val="auto"/>
        </w:rPr>
        <w:t>b.3. (C.A.S. #78-38-6) Diethyl ethylphosphonate;</w:t>
      </w:r>
    </w:p>
    <w:p>
      <w:pPr>
        <w:spacing w:after="0" w:line="266" w:lineRule="exact"/>
        <w:rPr>
          <w:sz w:val="20"/>
          <w:szCs w:val="20"/>
          <w:color w:val="auto"/>
        </w:rPr>
      </w:pPr>
    </w:p>
    <w:p>
      <w:pPr>
        <w:ind w:right="1120" w:firstLine="270"/>
        <w:spacing w:after="0" w:line="234" w:lineRule="auto"/>
        <w:rPr>
          <w:sz w:val="20"/>
          <w:szCs w:val="20"/>
          <w:color w:val="auto"/>
        </w:rPr>
      </w:pPr>
      <w:r>
        <w:rPr>
          <w:rFonts w:ascii="Times New Roman" w:cs="Times New Roman" w:eastAsia="Times New Roman" w:hAnsi="Times New Roman"/>
          <w:sz w:val="22"/>
          <w:szCs w:val="22"/>
          <w:color w:val="auto"/>
        </w:rPr>
        <w:t>b.4. (C.A.S. #683-08-9) Diethyl methylphosphonate;</w:t>
      </w:r>
    </w:p>
    <w:p>
      <w:pPr>
        <w:spacing w:after="0" w:line="265" w:lineRule="exact"/>
        <w:rPr>
          <w:sz w:val="20"/>
          <w:szCs w:val="20"/>
          <w:color w:val="auto"/>
        </w:rPr>
      </w:pPr>
    </w:p>
    <w:p>
      <w:pPr>
        <w:ind w:right="900" w:firstLine="270"/>
        <w:spacing w:after="0" w:line="234" w:lineRule="auto"/>
        <w:rPr>
          <w:sz w:val="20"/>
          <w:szCs w:val="20"/>
          <w:color w:val="auto"/>
        </w:rPr>
      </w:pPr>
      <w:r>
        <w:rPr>
          <w:rFonts w:ascii="Times New Roman" w:cs="Times New Roman" w:eastAsia="Times New Roman" w:hAnsi="Times New Roman"/>
          <w:sz w:val="22"/>
          <w:szCs w:val="22"/>
          <w:color w:val="auto"/>
        </w:rPr>
        <w:t>b.5. (C.A.S. #15715-41-0) Diethyl methylphosphonite;</w:t>
      </w:r>
    </w:p>
    <w:p>
      <w:pPr>
        <w:spacing w:after="0" w:line="266" w:lineRule="exact"/>
        <w:rPr>
          <w:sz w:val="20"/>
          <w:szCs w:val="20"/>
          <w:color w:val="auto"/>
        </w:rPr>
      </w:pPr>
    </w:p>
    <w:p>
      <w:pPr>
        <w:ind w:right="680" w:firstLine="270"/>
        <w:spacing w:after="0" w:line="234" w:lineRule="auto"/>
        <w:rPr>
          <w:sz w:val="20"/>
          <w:szCs w:val="20"/>
          <w:color w:val="auto"/>
        </w:rPr>
      </w:pPr>
      <w:r>
        <w:rPr>
          <w:rFonts w:ascii="Times New Roman" w:cs="Times New Roman" w:eastAsia="Times New Roman" w:hAnsi="Times New Roman"/>
          <w:sz w:val="22"/>
          <w:szCs w:val="22"/>
          <w:color w:val="auto"/>
        </w:rPr>
        <w:t>b.6. (C.A.S.#2404-03-7) Diethyl-N,N-dimethylphosphoroamidate;</w:t>
      </w:r>
    </w:p>
    <w:p>
      <w:pPr>
        <w:spacing w:after="0" w:line="265" w:lineRule="exact"/>
        <w:rPr>
          <w:sz w:val="20"/>
          <w:szCs w:val="20"/>
          <w:color w:val="auto"/>
        </w:rPr>
      </w:pPr>
    </w:p>
    <w:p>
      <w:pPr>
        <w:ind w:right="400" w:firstLine="270"/>
        <w:spacing w:after="0" w:line="250" w:lineRule="auto"/>
        <w:rPr>
          <w:sz w:val="20"/>
          <w:szCs w:val="20"/>
          <w:color w:val="auto"/>
        </w:rPr>
      </w:pPr>
      <w:r>
        <w:rPr>
          <w:rFonts w:ascii="Times New Roman" w:cs="Times New Roman" w:eastAsia="Times New Roman" w:hAnsi="Times New Roman"/>
          <w:sz w:val="21"/>
          <w:szCs w:val="21"/>
          <w:color w:val="auto"/>
        </w:rPr>
        <w:t>b.7. (C.A.S.# 41480-75-5) N,N-Diisopropylaminoethanethiol hydrochloride;</w:t>
      </w:r>
    </w:p>
    <w:p>
      <w:pPr>
        <w:spacing w:after="0" w:line="257" w:lineRule="exact"/>
        <w:rPr>
          <w:sz w:val="20"/>
          <w:szCs w:val="20"/>
          <w:color w:val="auto"/>
        </w:rPr>
      </w:pPr>
    </w:p>
    <w:p>
      <w:pPr>
        <w:ind w:right="660" w:firstLine="270"/>
        <w:spacing w:after="0" w:line="233" w:lineRule="auto"/>
        <w:rPr>
          <w:sz w:val="20"/>
          <w:szCs w:val="20"/>
          <w:color w:val="auto"/>
        </w:rPr>
      </w:pPr>
      <w:r>
        <w:rPr>
          <w:rFonts w:ascii="Times New Roman" w:cs="Times New Roman" w:eastAsia="Times New Roman" w:hAnsi="Times New Roman"/>
          <w:sz w:val="22"/>
          <w:szCs w:val="22"/>
          <w:color w:val="auto"/>
        </w:rPr>
        <w:t>b.8. (C.A.S. #5842-07-9) N,N-Diisopropyl-beta-aminoethane thiol;</w:t>
      </w:r>
    </w:p>
    <w:p>
      <w:pPr>
        <w:spacing w:after="0" w:line="200" w:lineRule="exact"/>
        <w:rPr>
          <w:sz w:val="20"/>
          <w:szCs w:val="20"/>
          <w:color w:val="auto"/>
        </w:rPr>
      </w:pPr>
    </w:p>
    <w:p>
      <w:pPr>
        <w:spacing w:after="0" w:line="320" w:lineRule="exact"/>
        <w:rPr>
          <w:sz w:val="20"/>
          <w:szCs w:val="20"/>
          <w:color w:val="auto"/>
        </w:rPr>
      </w:pPr>
    </w:p>
    <w:p>
      <w:pPr>
        <w:ind w:right="1060" w:firstLine="270"/>
        <w:spacing w:after="0" w:line="234" w:lineRule="auto"/>
        <w:rPr>
          <w:sz w:val="20"/>
          <w:szCs w:val="20"/>
          <w:color w:val="auto"/>
        </w:rPr>
      </w:pPr>
      <w:r>
        <w:rPr>
          <w:rFonts w:ascii="Times New Roman" w:cs="Times New Roman" w:eastAsia="Times New Roman" w:hAnsi="Times New Roman"/>
          <w:sz w:val="22"/>
          <w:szCs w:val="22"/>
          <w:color w:val="auto"/>
        </w:rPr>
        <w:t>b.9. (C.A.S. #96-80-0) N,N-Diisopropyl-beta-aminoethanol;</w:t>
      </w:r>
    </w:p>
    <w:p>
      <w:pPr>
        <w:spacing w:after="0" w:line="265" w:lineRule="exact"/>
        <w:rPr>
          <w:sz w:val="20"/>
          <w:szCs w:val="20"/>
          <w:color w:val="auto"/>
        </w:rPr>
      </w:pPr>
    </w:p>
    <w:p>
      <w:pPr>
        <w:ind w:right="480" w:firstLine="270"/>
        <w:spacing w:after="0" w:line="234" w:lineRule="auto"/>
        <w:rPr>
          <w:sz w:val="20"/>
          <w:szCs w:val="20"/>
          <w:color w:val="auto"/>
        </w:rPr>
      </w:pPr>
      <w:r>
        <w:rPr>
          <w:rFonts w:ascii="Times New Roman" w:cs="Times New Roman" w:eastAsia="Times New Roman" w:hAnsi="Times New Roman"/>
          <w:sz w:val="22"/>
          <w:szCs w:val="22"/>
          <w:color w:val="auto"/>
        </w:rPr>
        <w:t>b.10. (C.A.S. #96-79-7), N,N-Diisopropyl-beta-aminoethyl chloride;</w:t>
      </w:r>
    </w:p>
    <w:p>
      <w:pPr>
        <w:spacing w:after="0" w:line="266" w:lineRule="exact"/>
        <w:rPr>
          <w:sz w:val="20"/>
          <w:szCs w:val="20"/>
          <w:color w:val="auto"/>
        </w:rPr>
      </w:pPr>
    </w:p>
    <w:p>
      <w:pPr>
        <w:ind w:right="540" w:firstLine="270"/>
        <w:spacing w:after="0" w:line="235" w:lineRule="auto"/>
        <w:rPr>
          <w:sz w:val="20"/>
          <w:szCs w:val="20"/>
          <w:color w:val="auto"/>
        </w:rPr>
      </w:pPr>
      <w:r>
        <w:rPr>
          <w:rFonts w:ascii="Times New Roman" w:cs="Times New Roman" w:eastAsia="Times New Roman" w:hAnsi="Times New Roman"/>
          <w:sz w:val="22"/>
          <w:szCs w:val="22"/>
          <w:color w:val="auto"/>
        </w:rPr>
        <w:t>b.11. (C.A.S. #4261-68-1) N,N-Diisopropyl-beta-aminoethyl chloride hydrochloride;</w:t>
      </w:r>
    </w:p>
    <w:p>
      <w:pPr>
        <w:spacing w:after="0" w:line="268" w:lineRule="exact"/>
        <w:rPr>
          <w:sz w:val="20"/>
          <w:szCs w:val="20"/>
          <w:color w:val="auto"/>
        </w:rPr>
      </w:pPr>
    </w:p>
    <w:p>
      <w:pPr>
        <w:ind w:right="720" w:firstLine="270"/>
        <w:spacing w:after="0" w:line="234" w:lineRule="auto"/>
        <w:rPr>
          <w:sz w:val="20"/>
          <w:szCs w:val="20"/>
          <w:color w:val="auto"/>
        </w:rPr>
      </w:pPr>
      <w:r>
        <w:rPr>
          <w:rFonts w:ascii="Times New Roman" w:cs="Times New Roman" w:eastAsia="Times New Roman" w:hAnsi="Times New Roman"/>
          <w:sz w:val="22"/>
          <w:szCs w:val="22"/>
          <w:color w:val="auto"/>
        </w:rPr>
        <w:t>b.12. (C.A.S. #6163-75-3) Dimethyl ethylphosphonate;</w:t>
      </w:r>
    </w:p>
    <w:p>
      <w:pPr>
        <w:spacing w:after="0" w:line="266" w:lineRule="exact"/>
        <w:rPr>
          <w:sz w:val="20"/>
          <w:szCs w:val="20"/>
          <w:color w:val="auto"/>
        </w:rPr>
      </w:pPr>
    </w:p>
    <w:p>
      <w:pPr>
        <w:ind w:right="840" w:firstLine="270"/>
        <w:spacing w:after="0" w:line="233" w:lineRule="auto"/>
        <w:rPr>
          <w:sz w:val="20"/>
          <w:szCs w:val="20"/>
          <w:color w:val="auto"/>
        </w:rPr>
      </w:pPr>
      <w:r>
        <w:rPr>
          <w:rFonts w:ascii="Times New Roman" w:cs="Times New Roman" w:eastAsia="Times New Roman" w:hAnsi="Times New Roman"/>
          <w:sz w:val="22"/>
          <w:szCs w:val="22"/>
          <w:color w:val="auto"/>
        </w:rPr>
        <w:t>b.13. (C.A.S. #756-79-6) Dimethyl methylphosphonate;</w:t>
      </w:r>
    </w:p>
    <w:p>
      <w:pPr>
        <w:spacing w:after="0" w:line="267" w:lineRule="exact"/>
        <w:rPr>
          <w:sz w:val="20"/>
          <w:szCs w:val="20"/>
          <w:color w:val="auto"/>
        </w:rPr>
      </w:pPr>
    </w:p>
    <w:p>
      <w:pPr>
        <w:ind w:right="920" w:firstLine="270"/>
        <w:spacing w:after="0" w:line="250" w:lineRule="auto"/>
        <w:rPr>
          <w:sz w:val="20"/>
          <w:szCs w:val="20"/>
          <w:color w:val="auto"/>
        </w:rPr>
      </w:pPr>
      <w:r>
        <w:rPr>
          <w:rFonts w:ascii="Times New Roman" w:cs="Times New Roman" w:eastAsia="Times New Roman" w:hAnsi="Times New Roman"/>
          <w:sz w:val="21"/>
          <w:szCs w:val="21"/>
          <w:color w:val="auto"/>
        </w:rPr>
        <w:t>b.14. (C.A.S. #677-43-0) N,N-dimethylamino-phosphoryl dichloride;</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ind w:right="580" w:firstLine="270"/>
        <w:spacing w:after="0" w:line="236" w:lineRule="auto"/>
        <w:rPr>
          <w:sz w:val="20"/>
          <w:szCs w:val="20"/>
          <w:color w:val="auto"/>
        </w:rPr>
      </w:pPr>
      <w:r>
        <w:rPr>
          <w:rFonts w:ascii="Times New Roman" w:cs="Times New Roman" w:eastAsia="Times New Roman" w:hAnsi="Times New Roman"/>
          <w:sz w:val="22"/>
          <w:szCs w:val="22"/>
          <w:color w:val="auto"/>
        </w:rPr>
        <w:t>b.15. (C.A.S. #1498-40-4) Ethyl phosphonous dichloride [Ethyl phosphinyl dichloride];</w:t>
      </w:r>
    </w:p>
    <w:p>
      <w:pPr>
        <w:spacing w:after="0" w:line="267" w:lineRule="exact"/>
        <w:rPr>
          <w:sz w:val="20"/>
          <w:szCs w:val="20"/>
          <w:color w:val="auto"/>
        </w:rPr>
      </w:pPr>
    </w:p>
    <w:p>
      <w:pPr>
        <w:ind w:right="80" w:firstLine="270"/>
        <w:spacing w:after="0" w:line="233" w:lineRule="auto"/>
        <w:rPr>
          <w:sz w:val="20"/>
          <w:szCs w:val="20"/>
          <w:color w:val="auto"/>
        </w:rPr>
      </w:pPr>
      <w:r>
        <w:rPr>
          <w:rFonts w:ascii="Times New Roman" w:cs="Times New Roman" w:eastAsia="Times New Roman" w:hAnsi="Times New Roman"/>
          <w:sz w:val="22"/>
          <w:szCs w:val="22"/>
          <w:color w:val="auto"/>
        </w:rPr>
        <w:t>b.16. (C.A.S. #430-78-4) Ethyl phosphonus difluoride [Ethyl phosphinyl difluoride];</w:t>
      </w:r>
    </w:p>
    <w:p>
      <w:pPr>
        <w:spacing w:after="0" w:line="267" w:lineRule="exact"/>
        <w:rPr>
          <w:sz w:val="20"/>
          <w:szCs w:val="20"/>
          <w:color w:val="auto"/>
        </w:rPr>
      </w:pPr>
    </w:p>
    <w:p>
      <w:pPr>
        <w:ind w:right="1080" w:firstLine="270"/>
        <w:spacing w:after="0" w:line="234" w:lineRule="auto"/>
        <w:rPr>
          <w:sz w:val="20"/>
          <w:szCs w:val="20"/>
          <w:color w:val="auto"/>
        </w:rPr>
      </w:pPr>
      <w:r>
        <w:rPr>
          <w:rFonts w:ascii="Times New Roman" w:cs="Times New Roman" w:eastAsia="Times New Roman" w:hAnsi="Times New Roman"/>
          <w:sz w:val="22"/>
          <w:szCs w:val="22"/>
          <w:color w:val="auto"/>
        </w:rPr>
        <w:t>b.17. (C.A.S. #1066-50-8) Ethyl phosphonyl dichloride;</w:t>
      </w:r>
    </w:p>
    <w:p>
      <w:pPr>
        <w:spacing w:after="0" w:line="265" w:lineRule="exact"/>
        <w:rPr>
          <w:sz w:val="20"/>
          <w:szCs w:val="20"/>
          <w:color w:val="auto"/>
        </w:rPr>
      </w:pPr>
    </w:p>
    <w:p>
      <w:pPr>
        <w:ind w:right="20" w:firstLine="270"/>
        <w:spacing w:after="0" w:line="234" w:lineRule="auto"/>
        <w:rPr>
          <w:sz w:val="20"/>
          <w:szCs w:val="20"/>
          <w:color w:val="auto"/>
        </w:rPr>
      </w:pPr>
      <w:r>
        <w:rPr>
          <w:rFonts w:ascii="Times New Roman" w:cs="Times New Roman" w:eastAsia="Times New Roman" w:hAnsi="Times New Roman"/>
          <w:sz w:val="22"/>
          <w:szCs w:val="22"/>
          <w:color w:val="auto"/>
        </w:rPr>
        <w:t>b.18. (C.A.S. #993-13-5) Methylphosphonic acid;</w:t>
      </w:r>
    </w:p>
    <w:p>
      <w:pPr>
        <w:spacing w:after="0" w:line="266" w:lineRule="exact"/>
        <w:rPr>
          <w:sz w:val="20"/>
          <w:szCs w:val="20"/>
          <w:color w:val="auto"/>
        </w:rPr>
      </w:pPr>
    </w:p>
    <w:p>
      <w:pPr>
        <w:ind w:right="1220" w:firstLine="270"/>
        <w:spacing w:after="0" w:line="250" w:lineRule="auto"/>
        <w:rPr>
          <w:sz w:val="20"/>
          <w:szCs w:val="20"/>
          <w:color w:val="auto"/>
        </w:rPr>
      </w:pPr>
      <w:r>
        <w:rPr>
          <w:rFonts w:ascii="Times New Roman" w:cs="Times New Roman" w:eastAsia="Times New Roman" w:hAnsi="Times New Roman"/>
          <w:sz w:val="21"/>
          <w:szCs w:val="21"/>
          <w:color w:val="auto"/>
        </w:rPr>
        <w:t>b.19. (C.A.S. #676-98-2) Methylphosphonothioic dichloride.</w:t>
      </w:r>
    </w:p>
    <w:p>
      <w:pPr>
        <w:spacing w:after="0" w:line="243"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b.20.</w:t>
      </w:r>
      <w:r>
        <w:rPr>
          <w:sz w:val="20"/>
          <w:szCs w:val="20"/>
          <w:color w:val="auto"/>
        </w:rPr>
        <w:tab/>
      </w:r>
      <w:r>
        <w:rPr>
          <w:rFonts w:ascii="Times New Roman" w:cs="Times New Roman" w:eastAsia="Times New Roman" w:hAnsi="Times New Roman"/>
          <w:sz w:val="21"/>
          <w:szCs w:val="21"/>
          <w:color w:val="auto"/>
        </w:rPr>
        <w:t>(C.A.S. #464-07-3) Pinacolyl alcohol;</w:t>
      </w:r>
    </w:p>
    <w:p>
      <w:pPr>
        <w:spacing w:after="0" w:line="253"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b.21.</w:t>
      </w:r>
      <w:r>
        <w:rPr>
          <w:sz w:val="20"/>
          <w:szCs w:val="20"/>
          <w:color w:val="auto"/>
        </w:rPr>
        <w:tab/>
      </w:r>
      <w:r>
        <w:rPr>
          <w:rFonts w:ascii="Times New Roman" w:cs="Times New Roman" w:eastAsia="Times New Roman" w:hAnsi="Times New Roman"/>
          <w:sz w:val="21"/>
          <w:szCs w:val="21"/>
          <w:color w:val="auto"/>
        </w:rPr>
        <w:t>(C.A.S. #1619-34-7) 3-Quinuclidinol;</w:t>
      </w:r>
    </w:p>
    <w:p>
      <w:pPr>
        <w:spacing w:after="0" w:line="253"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b.22.</w:t>
        <w:tab/>
        <w:t>(C.A.S. #111-48-8) Thiodiglycol.</w:t>
      </w:r>
    </w:p>
    <w:p>
      <w:pPr>
        <w:spacing w:after="0" w:line="265" w:lineRule="exact"/>
        <w:rPr>
          <w:sz w:val="20"/>
          <w:szCs w:val="20"/>
          <w:color w:val="auto"/>
        </w:rPr>
      </w:pPr>
    </w:p>
    <w:p>
      <w:pPr>
        <w:jc w:val="both"/>
        <w:ind w:firstLine="1"/>
        <w:spacing w:after="0" w:line="238" w:lineRule="auto"/>
        <w:tabs>
          <w:tab w:leader="none" w:pos="487" w:val="left"/>
        </w:tabs>
        <w:numPr>
          <w:ilvl w:val="0"/>
          <w:numId w:val="13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Australia Group-controlled precursor chemicals also identified as Schedule 3 chemicals under the CWC, as follows, and mixtures in which at least one of the following chemicals constitutes 30 percent or more of the weight of the mixture:</w:t>
      </w:r>
    </w:p>
    <w:p>
      <w:pPr>
        <w:spacing w:after="0" w:line="254" w:lineRule="exact"/>
        <w:rPr>
          <w:sz w:val="20"/>
          <w:szCs w:val="20"/>
          <w:color w:val="auto"/>
        </w:rPr>
      </w:pPr>
    </w:p>
    <w:p>
      <w:pPr>
        <w:ind w:left="280"/>
        <w:spacing w:after="0"/>
        <w:tabs>
          <w:tab w:leader="none" w:pos="740" w:val="left"/>
        </w:tabs>
        <w:rPr>
          <w:sz w:val="20"/>
          <w:szCs w:val="20"/>
          <w:color w:val="auto"/>
        </w:rPr>
      </w:pPr>
      <w:r>
        <w:rPr>
          <w:rFonts w:ascii="Times New Roman" w:cs="Times New Roman" w:eastAsia="Times New Roman" w:hAnsi="Times New Roman"/>
          <w:sz w:val="22"/>
          <w:szCs w:val="22"/>
          <w:color w:val="auto"/>
        </w:rPr>
        <w:t>c.1.</w:t>
        <w:tab/>
        <w:t>(C.A.S. #762-04-9) Diethyl phosphite;</w:t>
      </w:r>
    </w:p>
    <w:p>
      <w:pPr>
        <w:spacing w:after="0" w:line="266" w:lineRule="exact"/>
        <w:rPr>
          <w:sz w:val="20"/>
          <w:szCs w:val="20"/>
          <w:color w:val="auto"/>
        </w:rPr>
      </w:pPr>
    </w:p>
    <w:p>
      <w:pPr>
        <w:ind w:right="40" w:firstLine="270"/>
        <w:spacing w:after="0" w:line="233" w:lineRule="auto"/>
        <w:rPr>
          <w:sz w:val="20"/>
          <w:szCs w:val="20"/>
          <w:color w:val="auto"/>
        </w:rPr>
      </w:pPr>
      <w:r>
        <w:rPr>
          <w:rFonts w:ascii="Times New Roman" w:cs="Times New Roman" w:eastAsia="Times New Roman" w:hAnsi="Times New Roman"/>
          <w:sz w:val="22"/>
          <w:szCs w:val="22"/>
          <w:color w:val="auto"/>
        </w:rPr>
        <w:t>c.2. (C.A.S. #868-85-9) Dimethyl phosphite (dimethyl hydrogen phosphite);</w:t>
      </w:r>
    </w:p>
    <w:p>
      <w:pPr>
        <w:spacing w:after="0" w:line="255" w:lineRule="exact"/>
        <w:rPr>
          <w:sz w:val="20"/>
          <w:szCs w:val="20"/>
          <w:color w:val="auto"/>
        </w:rPr>
      </w:pPr>
    </w:p>
    <w:p>
      <w:pPr>
        <w:ind w:left="280"/>
        <w:spacing w:after="0"/>
        <w:tabs>
          <w:tab w:leader="none" w:pos="740" w:val="left"/>
        </w:tabs>
        <w:rPr>
          <w:sz w:val="20"/>
          <w:szCs w:val="20"/>
          <w:color w:val="auto"/>
        </w:rPr>
      </w:pPr>
      <w:r>
        <w:rPr>
          <w:rFonts w:ascii="Times New Roman" w:cs="Times New Roman" w:eastAsia="Times New Roman" w:hAnsi="Times New Roman"/>
          <w:sz w:val="22"/>
          <w:szCs w:val="22"/>
          <w:color w:val="auto"/>
        </w:rPr>
        <w:t>c.3.</w:t>
        <w:tab/>
        <w:t>(C.A.S. #139-87-7)</w:t>
      </w:r>
    </w:p>
    <w:p>
      <w:pPr>
        <w:spacing w:after="0"/>
        <w:rPr>
          <w:sz w:val="20"/>
          <w:szCs w:val="20"/>
          <w:color w:val="auto"/>
        </w:rPr>
      </w:pPr>
      <w:r>
        <w:rPr>
          <w:rFonts w:ascii="Times New Roman" w:cs="Times New Roman" w:eastAsia="Times New Roman" w:hAnsi="Times New Roman"/>
          <w:sz w:val="24"/>
          <w:szCs w:val="24"/>
          <w:color w:val="auto"/>
        </w:rPr>
        <w:t>Ethyldiethanolamine</w:t>
      </w:r>
      <w:r>
        <w:rPr>
          <w:rFonts w:ascii="Times New Roman" w:cs="Times New Roman" w:eastAsia="Times New Roman" w:hAnsi="Times New Roman"/>
          <w:sz w:val="21"/>
          <w:szCs w:val="21"/>
          <w:color w:val="auto"/>
        </w:rPr>
        <w:t>;</w:t>
      </w:r>
    </w:p>
    <w:p>
      <w:pPr>
        <w:spacing w:after="0" w:line="266" w:lineRule="exact"/>
        <w:rPr>
          <w:sz w:val="20"/>
          <w:szCs w:val="20"/>
          <w:color w:val="auto"/>
        </w:rPr>
      </w:pPr>
    </w:p>
    <w:p>
      <w:pPr>
        <w:ind w:right="540" w:firstLine="270"/>
        <w:spacing w:after="0" w:line="233" w:lineRule="auto"/>
        <w:rPr>
          <w:sz w:val="20"/>
          <w:szCs w:val="20"/>
          <w:color w:val="auto"/>
        </w:rPr>
      </w:pPr>
      <w:r>
        <w:rPr>
          <w:rFonts w:ascii="Times New Roman" w:cs="Times New Roman" w:eastAsia="Times New Roman" w:hAnsi="Times New Roman"/>
          <w:sz w:val="22"/>
          <w:szCs w:val="22"/>
          <w:color w:val="auto"/>
        </w:rPr>
        <w:t>c.4. (C.A.S. #10025-87-3) Phosphorus oxychloride;</w:t>
      </w:r>
    </w:p>
    <w:p>
      <w:pPr>
        <w:spacing w:after="0" w:line="267" w:lineRule="exact"/>
        <w:rPr>
          <w:sz w:val="20"/>
          <w:szCs w:val="20"/>
          <w:color w:val="auto"/>
        </w:rPr>
      </w:pPr>
    </w:p>
    <w:p>
      <w:pPr>
        <w:ind w:right="540" w:firstLine="270"/>
        <w:spacing w:after="0" w:line="234" w:lineRule="auto"/>
        <w:rPr>
          <w:sz w:val="20"/>
          <w:szCs w:val="20"/>
          <w:color w:val="auto"/>
        </w:rPr>
      </w:pPr>
      <w:r>
        <w:rPr>
          <w:rFonts w:ascii="Times New Roman" w:cs="Times New Roman" w:eastAsia="Times New Roman" w:hAnsi="Times New Roman"/>
          <w:sz w:val="22"/>
          <w:szCs w:val="22"/>
          <w:color w:val="auto"/>
        </w:rPr>
        <w:t>c.5. (C.A.S. #10026-13-8) Phosphorus pentachloride;</w:t>
      </w:r>
    </w:p>
    <w:p>
      <w:pPr>
        <w:spacing w:after="0" w:line="266" w:lineRule="exact"/>
        <w:rPr>
          <w:sz w:val="20"/>
          <w:szCs w:val="20"/>
          <w:color w:val="auto"/>
        </w:rPr>
      </w:pPr>
    </w:p>
    <w:p>
      <w:pPr>
        <w:ind w:right="660" w:firstLine="270"/>
        <w:spacing w:after="0" w:line="233" w:lineRule="auto"/>
        <w:rPr>
          <w:sz w:val="20"/>
          <w:szCs w:val="20"/>
          <w:color w:val="auto"/>
        </w:rPr>
      </w:pPr>
      <w:r>
        <w:rPr>
          <w:rFonts w:ascii="Times New Roman" w:cs="Times New Roman" w:eastAsia="Times New Roman" w:hAnsi="Times New Roman"/>
          <w:sz w:val="22"/>
          <w:szCs w:val="22"/>
          <w:color w:val="auto"/>
        </w:rPr>
        <w:t>c.6. (C.A.S. #7719-12-2) Phosphorus trichloride;</w:t>
      </w:r>
    </w:p>
    <w:p>
      <w:pPr>
        <w:spacing w:after="0" w:line="255" w:lineRule="exact"/>
        <w:rPr>
          <w:sz w:val="20"/>
          <w:szCs w:val="20"/>
          <w:color w:val="auto"/>
        </w:rPr>
      </w:pPr>
    </w:p>
    <w:p>
      <w:pPr>
        <w:ind w:left="280"/>
        <w:spacing w:after="0"/>
        <w:tabs>
          <w:tab w:leader="none" w:pos="740" w:val="left"/>
        </w:tabs>
        <w:rPr>
          <w:sz w:val="20"/>
          <w:szCs w:val="20"/>
          <w:color w:val="auto"/>
        </w:rPr>
      </w:pPr>
      <w:r>
        <w:rPr>
          <w:rFonts w:ascii="Times New Roman" w:cs="Times New Roman" w:eastAsia="Times New Roman" w:hAnsi="Times New Roman"/>
          <w:sz w:val="22"/>
          <w:szCs w:val="22"/>
          <w:color w:val="auto"/>
        </w:rPr>
        <w:t>c.7.</w:t>
        <w:tab/>
        <w:t>(C.A.S. #10545-99-0) Sulfur dichloride;</w:t>
      </w:r>
    </w:p>
    <w:p>
      <w:pPr>
        <w:spacing w:after="0" w:line="266" w:lineRule="exact"/>
        <w:rPr>
          <w:sz w:val="20"/>
          <w:szCs w:val="20"/>
          <w:color w:val="auto"/>
        </w:rPr>
      </w:pPr>
    </w:p>
    <w:p>
      <w:pPr>
        <w:ind w:right="1020" w:firstLine="270"/>
        <w:spacing w:after="0" w:line="233" w:lineRule="auto"/>
        <w:rPr>
          <w:sz w:val="20"/>
          <w:szCs w:val="20"/>
          <w:color w:val="auto"/>
        </w:rPr>
      </w:pPr>
      <w:r>
        <w:rPr>
          <w:rFonts w:ascii="Times New Roman" w:cs="Times New Roman" w:eastAsia="Times New Roman" w:hAnsi="Times New Roman"/>
          <w:sz w:val="22"/>
          <w:szCs w:val="22"/>
          <w:color w:val="auto"/>
        </w:rPr>
        <w:t>c.8. (C.A.S. #10025-67-9) Sulfur monochloride;</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9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4" w:name="page65"/>
    <w:bookmarkEnd w:id="6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65</w:t>
      </w:r>
    </w:p>
    <w:p>
      <w:pPr>
        <w:sectPr>
          <w:pgSz w:w="12240" w:h="15840" w:orient="portrait"/>
          <w:cols w:equalWidth="0" w:num="1">
            <w:col w:w="9400"/>
          </w:cols>
          <w:pgMar w:left="1440" w:top="1293" w:right="140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280"/>
        <w:spacing w:after="0"/>
        <w:tabs>
          <w:tab w:leader="none" w:pos="740" w:val="left"/>
        </w:tabs>
        <w:rPr>
          <w:sz w:val="20"/>
          <w:szCs w:val="20"/>
          <w:color w:val="auto"/>
        </w:rPr>
      </w:pPr>
      <w:r>
        <w:rPr>
          <w:rFonts w:ascii="Times New Roman" w:cs="Times New Roman" w:eastAsia="Times New Roman" w:hAnsi="Times New Roman"/>
          <w:sz w:val="22"/>
          <w:szCs w:val="22"/>
          <w:color w:val="auto"/>
        </w:rPr>
        <w:t>c.9.</w:t>
        <w:tab/>
        <w:t>(C.A.S. #7719-09-7) Thionyl chloride;</w:t>
      </w:r>
    </w:p>
    <w:p>
      <w:pPr>
        <w:spacing w:after="0" w:line="254"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c.10.</w:t>
      </w:r>
      <w:r>
        <w:rPr>
          <w:sz w:val="20"/>
          <w:szCs w:val="20"/>
          <w:color w:val="auto"/>
        </w:rPr>
        <w:tab/>
      </w:r>
      <w:r>
        <w:rPr>
          <w:rFonts w:ascii="Times New Roman" w:cs="Times New Roman" w:eastAsia="Times New Roman" w:hAnsi="Times New Roman"/>
          <w:sz w:val="21"/>
          <w:szCs w:val="21"/>
          <w:color w:val="auto"/>
        </w:rPr>
        <w:t>(C.A.S. #102-71-6) Triethanolamine;</w:t>
      </w:r>
    </w:p>
    <w:p>
      <w:pPr>
        <w:spacing w:after="0" w:line="265" w:lineRule="exact"/>
        <w:rPr>
          <w:sz w:val="20"/>
          <w:szCs w:val="20"/>
          <w:color w:val="auto"/>
        </w:rPr>
      </w:pPr>
    </w:p>
    <w:p>
      <w:pPr>
        <w:ind w:right="960" w:firstLine="270"/>
        <w:spacing w:after="0" w:line="234" w:lineRule="auto"/>
        <w:rPr>
          <w:sz w:val="20"/>
          <w:szCs w:val="20"/>
          <w:color w:val="auto"/>
        </w:rPr>
      </w:pPr>
      <w:r>
        <w:rPr>
          <w:rFonts w:ascii="Times New Roman" w:cs="Times New Roman" w:eastAsia="Times New Roman" w:hAnsi="Times New Roman"/>
          <w:sz w:val="22"/>
          <w:szCs w:val="22"/>
          <w:color w:val="auto"/>
        </w:rPr>
        <w:t>c.11. (C.A.S. #122-52-1) Triethyl phosphite;</w:t>
      </w:r>
    </w:p>
    <w:p>
      <w:pPr>
        <w:spacing w:after="0" w:line="266" w:lineRule="exact"/>
        <w:rPr>
          <w:sz w:val="20"/>
          <w:szCs w:val="20"/>
          <w:color w:val="auto"/>
        </w:rPr>
      </w:pPr>
    </w:p>
    <w:p>
      <w:pPr>
        <w:ind w:right="800" w:firstLine="270"/>
        <w:spacing w:after="0" w:line="234" w:lineRule="auto"/>
        <w:rPr>
          <w:sz w:val="20"/>
          <w:szCs w:val="20"/>
          <w:color w:val="auto"/>
        </w:rPr>
      </w:pPr>
      <w:r>
        <w:rPr>
          <w:rFonts w:ascii="Times New Roman" w:cs="Times New Roman" w:eastAsia="Times New Roman" w:hAnsi="Times New Roman"/>
          <w:sz w:val="22"/>
          <w:szCs w:val="22"/>
          <w:color w:val="auto"/>
        </w:rPr>
        <w:t>c.12. (C.A.S. #121-45-9) Trimethyl phosphite.</w:t>
      </w:r>
    </w:p>
    <w:p>
      <w:pPr>
        <w:spacing w:after="0" w:line="265" w:lineRule="exact"/>
        <w:rPr>
          <w:sz w:val="20"/>
          <w:szCs w:val="20"/>
          <w:color w:val="auto"/>
        </w:rPr>
      </w:pPr>
    </w:p>
    <w:p>
      <w:pPr>
        <w:jc w:val="both"/>
        <w:spacing w:after="0" w:line="238" w:lineRule="auto"/>
        <w:tabs>
          <w:tab w:leader="none" w:pos="287" w:val="left"/>
        </w:tabs>
        <w:numPr>
          <w:ilvl w:val="0"/>
          <w:numId w:val="13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Australia Group-controlled precursor chemicals not also identified as Schedule 1, 2, or 3 chemicals under the CWC, as follows, and mixtures in which at least one of the following chemicals constitutes 30 percent or more of the weight of the mixture:</w:t>
      </w:r>
    </w:p>
    <w:p>
      <w:pPr>
        <w:spacing w:after="0" w:line="266" w:lineRule="exact"/>
        <w:rPr>
          <w:sz w:val="20"/>
          <w:szCs w:val="20"/>
          <w:color w:val="auto"/>
        </w:rPr>
      </w:pPr>
    </w:p>
    <w:p>
      <w:pPr>
        <w:ind w:right="600" w:firstLine="270"/>
        <w:spacing w:after="0" w:line="234" w:lineRule="auto"/>
        <w:rPr>
          <w:sz w:val="20"/>
          <w:szCs w:val="20"/>
          <w:color w:val="auto"/>
        </w:rPr>
      </w:pPr>
      <w:r>
        <w:rPr>
          <w:rFonts w:ascii="Times New Roman" w:cs="Times New Roman" w:eastAsia="Times New Roman" w:hAnsi="Times New Roman"/>
          <w:sz w:val="22"/>
          <w:szCs w:val="22"/>
          <w:color w:val="auto"/>
        </w:rPr>
        <w:t>d.1. (C.A.S. #1341-49-7) Ammonium hydrogen fluoride;</w:t>
      </w:r>
    </w:p>
    <w:p>
      <w:pPr>
        <w:spacing w:after="0" w:line="253" w:lineRule="exact"/>
        <w:rPr>
          <w:sz w:val="20"/>
          <w:szCs w:val="20"/>
          <w:color w:val="auto"/>
        </w:rPr>
      </w:pPr>
    </w:p>
    <w:p>
      <w:pPr>
        <w:ind w:left="280"/>
        <w:spacing w:after="0"/>
        <w:tabs>
          <w:tab w:leader="none" w:pos="760" w:val="left"/>
        </w:tabs>
        <w:rPr>
          <w:sz w:val="20"/>
          <w:szCs w:val="20"/>
          <w:color w:val="auto"/>
        </w:rPr>
      </w:pPr>
      <w:r>
        <w:rPr>
          <w:rFonts w:ascii="Times New Roman" w:cs="Times New Roman" w:eastAsia="Times New Roman" w:hAnsi="Times New Roman"/>
          <w:sz w:val="22"/>
          <w:szCs w:val="22"/>
          <w:color w:val="auto"/>
        </w:rPr>
        <w:t>d.2.</w:t>
        <w:tab/>
        <w:t>(C.A.S. #107-07-3) 2-Chloroethanol;</w:t>
      </w:r>
    </w:p>
    <w:p>
      <w:pPr>
        <w:spacing w:after="0" w:line="253" w:lineRule="exact"/>
        <w:rPr>
          <w:sz w:val="20"/>
          <w:szCs w:val="20"/>
          <w:color w:val="auto"/>
        </w:rPr>
      </w:pPr>
    </w:p>
    <w:p>
      <w:pPr>
        <w:ind w:left="280"/>
        <w:spacing w:after="0"/>
        <w:tabs>
          <w:tab w:leader="none" w:pos="760" w:val="left"/>
        </w:tabs>
        <w:rPr>
          <w:sz w:val="20"/>
          <w:szCs w:val="20"/>
          <w:color w:val="auto"/>
        </w:rPr>
      </w:pPr>
      <w:r>
        <w:rPr>
          <w:rFonts w:ascii="Times New Roman" w:cs="Times New Roman" w:eastAsia="Times New Roman" w:hAnsi="Times New Roman"/>
          <w:sz w:val="22"/>
          <w:szCs w:val="22"/>
          <w:color w:val="auto"/>
        </w:rPr>
        <w:t>d.3.</w:t>
      </w:r>
      <w:r>
        <w:rPr>
          <w:sz w:val="20"/>
          <w:szCs w:val="20"/>
          <w:color w:val="auto"/>
        </w:rPr>
        <w:tab/>
      </w:r>
      <w:r>
        <w:rPr>
          <w:rFonts w:ascii="Times New Roman" w:cs="Times New Roman" w:eastAsia="Times New Roman" w:hAnsi="Times New Roman"/>
          <w:sz w:val="21"/>
          <w:szCs w:val="21"/>
          <w:color w:val="auto"/>
        </w:rPr>
        <w:t>(C.A.S. #109-89-7) Diethylamine;</w:t>
      </w:r>
    </w:p>
    <w:p>
      <w:pPr>
        <w:spacing w:after="0" w:line="254" w:lineRule="exact"/>
        <w:rPr>
          <w:sz w:val="20"/>
          <w:szCs w:val="20"/>
          <w:color w:val="auto"/>
        </w:rPr>
      </w:pPr>
    </w:p>
    <w:p>
      <w:pPr>
        <w:ind w:left="280"/>
        <w:spacing w:after="0"/>
        <w:tabs>
          <w:tab w:leader="none" w:pos="760" w:val="left"/>
        </w:tabs>
        <w:rPr>
          <w:sz w:val="20"/>
          <w:szCs w:val="20"/>
          <w:color w:val="auto"/>
        </w:rPr>
      </w:pPr>
      <w:r>
        <w:rPr>
          <w:rFonts w:ascii="Times New Roman" w:cs="Times New Roman" w:eastAsia="Times New Roman" w:hAnsi="Times New Roman"/>
          <w:sz w:val="22"/>
          <w:szCs w:val="22"/>
          <w:color w:val="auto"/>
        </w:rPr>
        <w:t>d.4.</w:t>
      </w:r>
      <w:r>
        <w:rPr>
          <w:sz w:val="20"/>
          <w:szCs w:val="20"/>
          <w:color w:val="auto"/>
        </w:rPr>
        <w:tab/>
      </w:r>
      <w:r>
        <w:rPr>
          <w:rFonts w:ascii="Times New Roman" w:cs="Times New Roman" w:eastAsia="Times New Roman" w:hAnsi="Times New Roman"/>
          <w:sz w:val="21"/>
          <w:szCs w:val="21"/>
          <w:color w:val="auto"/>
        </w:rPr>
        <w:t>(C.A.S. #100-37-8)</w:t>
      </w:r>
    </w:p>
    <w:p>
      <w:pPr>
        <w:spacing w:after="0"/>
        <w:rPr>
          <w:sz w:val="20"/>
          <w:szCs w:val="20"/>
          <w:color w:val="auto"/>
        </w:rPr>
      </w:pPr>
      <w:r>
        <w:rPr>
          <w:rFonts w:ascii="Times New Roman" w:cs="Times New Roman" w:eastAsia="Times New Roman" w:hAnsi="Times New Roman"/>
          <w:sz w:val="22"/>
          <w:szCs w:val="22"/>
          <w:color w:val="auto"/>
        </w:rPr>
        <w:t>N,N-Diethylaminoethanol;</w:t>
      </w:r>
    </w:p>
    <w:p>
      <w:pPr>
        <w:spacing w:after="0" w:line="265" w:lineRule="exact"/>
        <w:rPr>
          <w:sz w:val="20"/>
          <w:szCs w:val="20"/>
          <w:color w:val="auto"/>
        </w:rPr>
      </w:pPr>
    </w:p>
    <w:p>
      <w:pPr>
        <w:ind w:right="720" w:firstLine="270"/>
        <w:spacing w:after="0" w:line="234" w:lineRule="auto"/>
        <w:rPr>
          <w:sz w:val="20"/>
          <w:szCs w:val="20"/>
          <w:color w:val="auto"/>
        </w:rPr>
      </w:pPr>
      <w:r>
        <w:rPr>
          <w:rFonts w:ascii="Times New Roman" w:cs="Times New Roman" w:eastAsia="Times New Roman" w:hAnsi="Times New Roman"/>
          <w:sz w:val="22"/>
          <w:szCs w:val="22"/>
          <w:color w:val="auto"/>
        </w:rPr>
        <w:t>d.5. (C.A.S. #298-06-6) O,O-diethyl phosphorodithioate;</w:t>
      </w:r>
    </w:p>
    <w:p>
      <w:pPr>
        <w:spacing w:after="0" w:line="266" w:lineRule="exact"/>
        <w:rPr>
          <w:sz w:val="20"/>
          <w:szCs w:val="20"/>
          <w:color w:val="auto"/>
        </w:rPr>
      </w:pPr>
    </w:p>
    <w:p>
      <w:pPr>
        <w:ind w:right="600" w:firstLine="270"/>
        <w:spacing w:after="0" w:line="233" w:lineRule="auto"/>
        <w:rPr>
          <w:sz w:val="20"/>
          <w:szCs w:val="20"/>
          <w:color w:val="auto"/>
        </w:rPr>
      </w:pPr>
      <w:r>
        <w:rPr>
          <w:rFonts w:ascii="Times New Roman" w:cs="Times New Roman" w:eastAsia="Times New Roman" w:hAnsi="Times New Roman"/>
          <w:sz w:val="22"/>
          <w:szCs w:val="22"/>
          <w:color w:val="auto"/>
        </w:rPr>
        <w:t>d.6. (C.A.S. #2465-65-8) O,O-diethyl phosphorothioate;</w:t>
      </w:r>
    </w:p>
    <w:p>
      <w:pPr>
        <w:spacing w:after="0" w:line="267" w:lineRule="exact"/>
        <w:rPr>
          <w:sz w:val="20"/>
          <w:szCs w:val="20"/>
          <w:color w:val="auto"/>
        </w:rPr>
      </w:pPr>
    </w:p>
    <w:p>
      <w:pPr>
        <w:ind w:right="1400" w:firstLine="270"/>
        <w:spacing w:after="0" w:line="234" w:lineRule="auto"/>
        <w:rPr>
          <w:sz w:val="20"/>
          <w:szCs w:val="20"/>
          <w:color w:val="auto"/>
        </w:rPr>
      </w:pPr>
      <w:r>
        <w:rPr>
          <w:rFonts w:ascii="Times New Roman" w:cs="Times New Roman" w:eastAsia="Times New Roman" w:hAnsi="Times New Roman"/>
          <w:sz w:val="22"/>
          <w:szCs w:val="22"/>
          <w:color w:val="auto"/>
        </w:rPr>
        <w:t>d.7. (C.A.S. #108-18-9) Di-isopropylamine;</w:t>
      </w:r>
    </w:p>
    <w:p>
      <w:pPr>
        <w:spacing w:after="0" w:line="253" w:lineRule="exact"/>
        <w:rPr>
          <w:sz w:val="20"/>
          <w:szCs w:val="20"/>
          <w:color w:val="auto"/>
        </w:rPr>
      </w:pPr>
    </w:p>
    <w:p>
      <w:pPr>
        <w:ind w:left="280"/>
        <w:spacing w:after="0"/>
        <w:tabs>
          <w:tab w:leader="none" w:pos="760" w:val="left"/>
        </w:tabs>
        <w:rPr>
          <w:sz w:val="20"/>
          <w:szCs w:val="20"/>
          <w:color w:val="auto"/>
        </w:rPr>
      </w:pPr>
      <w:r>
        <w:rPr>
          <w:rFonts w:ascii="Times New Roman" w:cs="Times New Roman" w:eastAsia="Times New Roman" w:hAnsi="Times New Roman"/>
          <w:sz w:val="22"/>
          <w:szCs w:val="22"/>
          <w:color w:val="auto"/>
        </w:rPr>
        <w:t>d.8.</w:t>
        <w:tab/>
        <w:t>(C.A.S. #124-40-3) Dimethylamine;</w:t>
      </w:r>
    </w:p>
    <w:p>
      <w:pPr>
        <w:spacing w:after="0" w:line="266" w:lineRule="exact"/>
        <w:rPr>
          <w:sz w:val="20"/>
          <w:szCs w:val="20"/>
          <w:color w:val="auto"/>
        </w:rPr>
      </w:pPr>
    </w:p>
    <w:p>
      <w:pPr>
        <w:ind w:right="420" w:firstLine="270"/>
        <w:spacing w:after="0" w:line="234" w:lineRule="auto"/>
        <w:rPr>
          <w:sz w:val="20"/>
          <w:szCs w:val="20"/>
          <w:color w:val="auto"/>
        </w:rPr>
      </w:pPr>
      <w:r>
        <w:rPr>
          <w:rFonts w:ascii="Times New Roman" w:cs="Times New Roman" w:eastAsia="Times New Roman" w:hAnsi="Times New Roman"/>
          <w:sz w:val="22"/>
          <w:szCs w:val="22"/>
          <w:color w:val="auto"/>
        </w:rPr>
        <w:t>d.9. (C.A.S. #506-59-2) Dimethylamine hydrochloride;</w:t>
      </w:r>
    </w:p>
    <w:p>
      <w:pPr>
        <w:spacing w:after="0" w:line="266" w:lineRule="exact"/>
        <w:rPr>
          <w:sz w:val="20"/>
          <w:szCs w:val="20"/>
          <w:color w:val="auto"/>
        </w:rPr>
      </w:pPr>
    </w:p>
    <w:p>
      <w:pPr>
        <w:ind w:right="680" w:firstLine="270"/>
        <w:spacing w:after="0" w:line="233" w:lineRule="auto"/>
        <w:rPr>
          <w:sz w:val="20"/>
          <w:szCs w:val="20"/>
          <w:color w:val="auto"/>
        </w:rPr>
      </w:pPr>
      <w:r>
        <w:rPr>
          <w:rFonts w:ascii="Times New Roman" w:cs="Times New Roman" w:eastAsia="Times New Roman" w:hAnsi="Times New Roman"/>
          <w:sz w:val="22"/>
          <w:szCs w:val="22"/>
          <w:color w:val="auto"/>
        </w:rPr>
        <w:t>d.10. (C.A.S. #7664-39-3) Hydrogen fluoride;</w:t>
      </w:r>
    </w:p>
    <w:p>
      <w:pPr>
        <w:spacing w:after="0" w:line="255" w:lineRule="exact"/>
        <w:rPr>
          <w:sz w:val="20"/>
          <w:szCs w:val="20"/>
          <w:color w:val="auto"/>
        </w:rPr>
      </w:pPr>
    </w:p>
    <w:p>
      <w:pPr>
        <w:jc w:val="center"/>
        <w:ind w:right="1460"/>
        <w:spacing w:after="0"/>
        <w:rPr>
          <w:sz w:val="20"/>
          <w:szCs w:val="20"/>
          <w:color w:val="auto"/>
        </w:rPr>
      </w:pPr>
      <w:r>
        <w:rPr>
          <w:rFonts w:ascii="Times New Roman" w:cs="Times New Roman" w:eastAsia="Times New Roman" w:hAnsi="Times New Roman"/>
          <w:sz w:val="22"/>
          <w:szCs w:val="22"/>
          <w:color w:val="auto"/>
        </w:rPr>
        <w:t>d.11. (C.A.S. #3554-74-3)</w:t>
      </w:r>
    </w:p>
    <w:p>
      <w:pPr>
        <w:spacing w:after="0" w:line="12" w:lineRule="exact"/>
        <w:rPr>
          <w:sz w:val="20"/>
          <w:szCs w:val="20"/>
          <w:color w:val="auto"/>
        </w:rPr>
      </w:pPr>
    </w:p>
    <w:p>
      <w:pPr>
        <w:jc w:val="center"/>
        <w:ind w:right="1480"/>
        <w:spacing w:after="0"/>
        <w:rPr>
          <w:sz w:val="20"/>
          <w:szCs w:val="20"/>
          <w:color w:val="auto"/>
        </w:rPr>
      </w:pPr>
      <w:r>
        <w:rPr>
          <w:rFonts w:ascii="Times New Roman" w:cs="Times New Roman" w:eastAsia="Times New Roman" w:hAnsi="Times New Roman"/>
          <w:sz w:val="21"/>
          <w:szCs w:val="21"/>
          <w:color w:val="auto"/>
        </w:rPr>
        <w:t>3-Hydroxyl-1-methylpiperidine;</w:t>
      </w:r>
    </w:p>
    <w:p>
      <w:pPr>
        <w:spacing w:after="0" w:line="253"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d.12.</w:t>
      </w:r>
      <w:r>
        <w:rPr>
          <w:sz w:val="20"/>
          <w:szCs w:val="20"/>
          <w:color w:val="auto"/>
        </w:rPr>
        <w:tab/>
      </w:r>
      <w:r>
        <w:rPr>
          <w:rFonts w:ascii="Times New Roman" w:cs="Times New Roman" w:eastAsia="Times New Roman" w:hAnsi="Times New Roman"/>
          <w:sz w:val="21"/>
          <w:szCs w:val="21"/>
          <w:color w:val="auto"/>
        </w:rPr>
        <w:t>(C.A.S. #76-89-1) Methyl benzilate;</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ind w:right="580" w:firstLine="270"/>
        <w:spacing w:after="0" w:line="234" w:lineRule="auto"/>
        <w:rPr>
          <w:sz w:val="20"/>
          <w:szCs w:val="20"/>
          <w:color w:val="auto"/>
        </w:rPr>
      </w:pPr>
      <w:r>
        <w:rPr>
          <w:rFonts w:ascii="Times New Roman" w:cs="Times New Roman" w:eastAsia="Times New Roman" w:hAnsi="Times New Roman"/>
          <w:sz w:val="22"/>
          <w:szCs w:val="22"/>
          <w:color w:val="auto"/>
        </w:rPr>
        <w:t>d.13. (C.A.S. #1314-80-3) Phosphorus pentasulfide;</w:t>
      </w:r>
    </w:p>
    <w:p>
      <w:pPr>
        <w:spacing w:after="0" w:line="254"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d.14.</w:t>
        <w:tab/>
        <w:t>(C.A.S. #75-97-8) Pinacolone;</w:t>
      </w:r>
    </w:p>
    <w:p>
      <w:pPr>
        <w:spacing w:after="0" w:line="265" w:lineRule="exact"/>
        <w:rPr>
          <w:sz w:val="20"/>
          <w:szCs w:val="20"/>
          <w:color w:val="auto"/>
        </w:rPr>
      </w:pPr>
    </w:p>
    <w:p>
      <w:pPr>
        <w:ind w:right="700" w:firstLine="270"/>
        <w:spacing w:after="0" w:line="234" w:lineRule="auto"/>
        <w:rPr>
          <w:sz w:val="20"/>
          <w:szCs w:val="20"/>
          <w:color w:val="auto"/>
        </w:rPr>
      </w:pPr>
      <w:r>
        <w:rPr>
          <w:rFonts w:ascii="Times New Roman" w:cs="Times New Roman" w:eastAsia="Times New Roman" w:hAnsi="Times New Roman"/>
          <w:sz w:val="22"/>
          <w:szCs w:val="22"/>
          <w:color w:val="auto"/>
        </w:rPr>
        <w:t>d.15. (C.A.S. #7789-29-9) Potassium bifluoride;</w:t>
      </w:r>
    </w:p>
    <w:p>
      <w:pPr>
        <w:spacing w:after="0" w:line="266" w:lineRule="exact"/>
        <w:rPr>
          <w:sz w:val="20"/>
          <w:szCs w:val="20"/>
          <w:color w:val="auto"/>
        </w:rPr>
      </w:pPr>
    </w:p>
    <w:p>
      <w:pPr>
        <w:ind w:right="800" w:firstLine="270"/>
        <w:spacing w:after="0" w:line="234" w:lineRule="auto"/>
        <w:rPr>
          <w:sz w:val="20"/>
          <w:szCs w:val="20"/>
          <w:color w:val="auto"/>
        </w:rPr>
      </w:pPr>
      <w:r>
        <w:rPr>
          <w:rFonts w:ascii="Times New Roman" w:cs="Times New Roman" w:eastAsia="Times New Roman" w:hAnsi="Times New Roman"/>
          <w:sz w:val="22"/>
          <w:szCs w:val="22"/>
          <w:color w:val="auto"/>
        </w:rPr>
        <w:t>d.16. (C.A.S. #151-50-8) Potassium cyanide;</w:t>
      </w:r>
    </w:p>
    <w:p>
      <w:pPr>
        <w:spacing w:after="0" w:line="265" w:lineRule="exact"/>
        <w:rPr>
          <w:sz w:val="20"/>
          <w:szCs w:val="20"/>
          <w:color w:val="auto"/>
        </w:rPr>
      </w:pPr>
    </w:p>
    <w:p>
      <w:pPr>
        <w:ind w:right="700" w:firstLine="270"/>
        <w:spacing w:after="0" w:line="234" w:lineRule="auto"/>
        <w:rPr>
          <w:sz w:val="20"/>
          <w:szCs w:val="20"/>
          <w:color w:val="auto"/>
        </w:rPr>
      </w:pPr>
      <w:r>
        <w:rPr>
          <w:rFonts w:ascii="Times New Roman" w:cs="Times New Roman" w:eastAsia="Times New Roman" w:hAnsi="Times New Roman"/>
          <w:sz w:val="22"/>
          <w:szCs w:val="22"/>
          <w:color w:val="auto"/>
        </w:rPr>
        <w:t>d.17. (C.A.S. #7789-23-3) Potassium fluoride;</w:t>
      </w:r>
    </w:p>
    <w:p>
      <w:pPr>
        <w:spacing w:after="0" w:line="254"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d.18.</w:t>
        <w:tab/>
        <w:t>(C.A.S. #3731-38-2) 3-Quinuclidone;</w:t>
      </w:r>
    </w:p>
    <w:p>
      <w:pPr>
        <w:spacing w:after="0" w:line="265" w:lineRule="exact"/>
        <w:rPr>
          <w:sz w:val="20"/>
          <w:szCs w:val="20"/>
          <w:color w:val="auto"/>
        </w:rPr>
      </w:pPr>
    </w:p>
    <w:p>
      <w:pPr>
        <w:ind w:right="920" w:firstLine="270"/>
        <w:spacing w:after="0" w:line="234" w:lineRule="auto"/>
        <w:rPr>
          <w:sz w:val="20"/>
          <w:szCs w:val="20"/>
          <w:color w:val="auto"/>
        </w:rPr>
      </w:pPr>
      <w:r>
        <w:rPr>
          <w:rFonts w:ascii="Times New Roman" w:cs="Times New Roman" w:eastAsia="Times New Roman" w:hAnsi="Times New Roman"/>
          <w:sz w:val="22"/>
          <w:szCs w:val="22"/>
          <w:color w:val="auto"/>
        </w:rPr>
        <w:t>d.19. (C.A.S. #1333-83-1) Sodium bifluoride;</w:t>
      </w:r>
    </w:p>
    <w:p>
      <w:pPr>
        <w:spacing w:after="0" w:line="266" w:lineRule="exact"/>
        <w:rPr>
          <w:sz w:val="20"/>
          <w:szCs w:val="20"/>
          <w:color w:val="auto"/>
        </w:rPr>
      </w:pPr>
    </w:p>
    <w:p>
      <w:pPr>
        <w:ind w:left="280" w:right="100"/>
        <w:spacing w:after="0" w:line="467" w:lineRule="auto"/>
        <w:rPr>
          <w:sz w:val="20"/>
          <w:szCs w:val="20"/>
          <w:color w:val="auto"/>
        </w:rPr>
      </w:pPr>
      <w:r>
        <w:rPr>
          <w:rFonts w:ascii="Times New Roman" w:cs="Times New Roman" w:eastAsia="Times New Roman" w:hAnsi="Times New Roman"/>
          <w:sz w:val="22"/>
          <w:szCs w:val="22"/>
          <w:color w:val="auto"/>
        </w:rPr>
        <w:t>d.20. (C.A.S. #143-33-9) Sodium cyanide; d.21. (C.A.S. #7681-49-4) Sodium fluoride;</w:t>
      </w:r>
    </w:p>
    <w:p>
      <w:pPr>
        <w:spacing w:after="0" w:line="27" w:lineRule="exact"/>
        <w:rPr>
          <w:sz w:val="20"/>
          <w:szCs w:val="20"/>
          <w:color w:val="auto"/>
        </w:rPr>
      </w:pPr>
    </w:p>
    <w:p>
      <w:pPr>
        <w:ind w:right="800" w:firstLine="270"/>
        <w:spacing w:after="0" w:line="234" w:lineRule="auto"/>
        <w:rPr>
          <w:sz w:val="20"/>
          <w:szCs w:val="20"/>
          <w:color w:val="auto"/>
        </w:rPr>
      </w:pPr>
      <w:r>
        <w:rPr>
          <w:rFonts w:ascii="Times New Roman" w:cs="Times New Roman" w:eastAsia="Times New Roman" w:hAnsi="Times New Roman"/>
          <w:sz w:val="22"/>
          <w:szCs w:val="22"/>
          <w:color w:val="auto"/>
        </w:rPr>
        <w:t>d.22. (C.A.S. #16893-85-9) Sodium hexafluorosilicate;</w:t>
      </w:r>
    </w:p>
    <w:p>
      <w:pPr>
        <w:spacing w:after="0" w:line="253" w:lineRule="exact"/>
        <w:rPr>
          <w:sz w:val="20"/>
          <w:szCs w:val="20"/>
          <w:color w:val="auto"/>
        </w:rPr>
      </w:pPr>
    </w:p>
    <w:p>
      <w:pPr>
        <w:ind w:left="280"/>
        <w:spacing w:after="0"/>
        <w:tabs>
          <w:tab w:leader="none" w:pos="860" w:val="left"/>
        </w:tabs>
        <w:rPr>
          <w:sz w:val="20"/>
          <w:szCs w:val="20"/>
          <w:color w:val="auto"/>
        </w:rPr>
      </w:pPr>
      <w:r>
        <w:rPr>
          <w:rFonts w:ascii="Times New Roman" w:cs="Times New Roman" w:eastAsia="Times New Roman" w:hAnsi="Times New Roman"/>
          <w:sz w:val="22"/>
          <w:szCs w:val="22"/>
          <w:color w:val="auto"/>
        </w:rPr>
        <w:t>d.23.</w:t>
        <w:tab/>
        <w:t>(C.A.S. #1313-82-2) Sodium sulfide;</w:t>
      </w:r>
    </w:p>
    <w:p>
      <w:pPr>
        <w:spacing w:after="0" w:line="266" w:lineRule="exact"/>
        <w:rPr>
          <w:sz w:val="20"/>
          <w:szCs w:val="20"/>
          <w:color w:val="auto"/>
        </w:rPr>
      </w:pPr>
    </w:p>
    <w:p>
      <w:pPr>
        <w:ind w:right="260" w:firstLine="270"/>
        <w:spacing w:after="0" w:line="234" w:lineRule="auto"/>
        <w:rPr>
          <w:sz w:val="20"/>
          <w:szCs w:val="20"/>
          <w:color w:val="auto"/>
        </w:rPr>
      </w:pPr>
      <w:r>
        <w:rPr>
          <w:rFonts w:ascii="Times New Roman" w:cs="Times New Roman" w:eastAsia="Times New Roman" w:hAnsi="Times New Roman"/>
          <w:sz w:val="22"/>
          <w:szCs w:val="22"/>
          <w:color w:val="auto"/>
        </w:rPr>
        <w:t>d.24. (C.A.S. #637-39-8) Triethanolamine hydrochloride;</w:t>
      </w:r>
    </w:p>
    <w:p>
      <w:pPr>
        <w:spacing w:after="0" w:line="266" w:lineRule="exact"/>
        <w:rPr>
          <w:sz w:val="20"/>
          <w:szCs w:val="20"/>
          <w:color w:val="auto"/>
        </w:rPr>
      </w:pPr>
    </w:p>
    <w:p>
      <w:pPr>
        <w:ind w:right="540" w:firstLine="270"/>
        <w:spacing w:after="0" w:line="233" w:lineRule="auto"/>
        <w:rPr>
          <w:sz w:val="20"/>
          <w:szCs w:val="20"/>
          <w:color w:val="auto"/>
        </w:rPr>
      </w:pPr>
      <w:r>
        <w:rPr>
          <w:rFonts w:ascii="Times New Roman" w:cs="Times New Roman" w:eastAsia="Times New Roman" w:hAnsi="Times New Roman"/>
          <w:sz w:val="22"/>
          <w:szCs w:val="22"/>
          <w:color w:val="auto"/>
        </w:rPr>
        <w:t>d.25. (C.A.S. #116-17-6) Tri-isopropyl phosphite.</w:t>
      </w:r>
    </w:p>
    <w:p>
      <w:pPr>
        <w:spacing w:after="0" w:line="200" w:lineRule="exact"/>
        <w:rPr>
          <w:sz w:val="20"/>
          <w:szCs w:val="20"/>
          <w:color w:val="auto"/>
        </w:rPr>
      </w:pPr>
    </w:p>
    <w:p>
      <w:pPr>
        <w:spacing w:after="0" w:line="322" w:lineRule="exact"/>
        <w:rPr>
          <w:sz w:val="20"/>
          <w:szCs w:val="20"/>
          <w:color w:val="auto"/>
        </w:rPr>
      </w:pPr>
    </w:p>
    <w:p>
      <w:pPr>
        <w:jc w:val="both"/>
        <w:ind w:right="40"/>
        <w:spacing w:after="0" w:line="235" w:lineRule="auto"/>
        <w:rPr>
          <w:sz w:val="20"/>
          <w:szCs w:val="20"/>
          <w:color w:val="auto"/>
        </w:rPr>
      </w:pPr>
      <w:r>
        <w:rPr>
          <w:rFonts w:ascii="Times New Roman" w:cs="Times New Roman" w:eastAsia="Times New Roman" w:hAnsi="Times New Roman"/>
          <w:sz w:val="22"/>
          <w:szCs w:val="22"/>
          <w:b w:val="1"/>
          <w:bCs w:val="1"/>
          <w:color w:val="auto"/>
        </w:rPr>
        <w:t>1C351 Human and animal pathogens and “toxins”,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CB, CW, AT</w:t>
      </w:r>
    </w:p>
    <w:p>
      <w:pPr>
        <w:spacing w:after="0" w:line="236" w:lineRule="exact"/>
        <w:rPr>
          <w:sz w:val="20"/>
          <w:szCs w:val="20"/>
          <w:color w:val="auto"/>
        </w:rPr>
      </w:pPr>
    </w:p>
    <w:tbl>
      <w:tblPr>
        <w:tblLayout w:type="fixed"/>
        <w:tblInd w:w="30" w:type="dxa"/>
        <w:tblCellMar>
          <w:top w:w="0" w:type="dxa"/>
          <w:left w:w="0" w:type="dxa"/>
          <w:bottom w:w="0" w:type="dxa"/>
          <w:right w:w="0" w:type="dxa"/>
        </w:tblCellMar>
      </w:tblPr>
      <w:tr>
        <w:trPr>
          <w:trHeight w:val="256"/>
        </w:trPr>
        <w:tc>
          <w:tcPr>
            <w:tcW w:w="2260" w:type="dxa"/>
            <w:vAlign w:val="bottom"/>
            <w:tcBorders>
              <w:top w:val="single" w:sz="8" w:color="auto"/>
              <w:left w:val="single" w:sz="8" w:color="auto"/>
              <w:right w:val="single" w:sz="8" w:color="auto"/>
            </w:tcBorders>
          </w:tcPr>
          <w:p>
            <w:pPr>
              <w:spacing w:after="0"/>
              <w:rPr>
                <w:sz w:val="22"/>
                <w:szCs w:val="22"/>
                <w:color w:val="auto"/>
              </w:rPr>
            </w:pPr>
          </w:p>
        </w:tc>
        <w:tc>
          <w:tcPr>
            <w:tcW w:w="20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260" w:type="dxa"/>
            <w:vAlign w:val="bottom"/>
            <w:tcBorders>
              <w:left w:val="single" w:sz="8" w:color="auto"/>
              <w:right w:val="single" w:sz="8" w:color="auto"/>
            </w:tcBorders>
          </w:tcPr>
          <w:p>
            <w:pPr>
              <w:ind w:left="6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260" w:type="dxa"/>
            <w:vAlign w:val="bottom"/>
            <w:tcBorders>
              <w:left w:val="single" w:sz="8" w:color="auto"/>
              <w:bottom w:val="single" w:sz="8" w:color="auto"/>
              <w:right w:val="single" w:sz="8" w:color="auto"/>
            </w:tcBorders>
          </w:tcPr>
          <w:p>
            <w:pPr>
              <w:spacing w:after="0"/>
              <w:rPr>
                <w:sz w:val="22"/>
                <w:szCs w:val="22"/>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5"/>
        </w:trPr>
        <w:tc>
          <w:tcPr>
            <w:tcW w:w="2260" w:type="dxa"/>
            <w:vAlign w:val="bottom"/>
            <w:tcBorders>
              <w:left w:val="single" w:sz="8" w:color="auto"/>
              <w:right w:val="single" w:sz="8" w:color="auto"/>
            </w:tcBorders>
          </w:tcPr>
          <w:p>
            <w:pPr>
              <w:ind w:left="20"/>
              <w:spacing w:after="0" w:line="245" w:lineRule="exact"/>
              <w:rPr>
                <w:sz w:val="20"/>
                <w:szCs w:val="20"/>
                <w:color w:val="auto"/>
              </w:rPr>
            </w:pPr>
            <w:r>
              <w:rPr>
                <w:rFonts w:ascii="Times New Roman" w:cs="Times New Roman" w:eastAsia="Times New Roman" w:hAnsi="Times New Roman"/>
                <w:sz w:val="22"/>
                <w:szCs w:val="22"/>
                <w:color w:val="auto"/>
              </w:rPr>
              <w:t>CB applies to entire</w:t>
            </w:r>
          </w:p>
        </w:tc>
        <w:tc>
          <w:tcPr>
            <w:tcW w:w="2080" w:type="dxa"/>
            <w:vAlign w:val="bottom"/>
            <w:tcBorders>
              <w:right w:val="single" w:sz="8" w:color="auto"/>
            </w:tcBorders>
          </w:tcPr>
          <w:p>
            <w:pPr>
              <w:spacing w:after="0" w:line="245" w:lineRule="exact"/>
              <w:rPr>
                <w:sz w:val="20"/>
                <w:szCs w:val="20"/>
                <w:color w:val="auto"/>
              </w:rPr>
            </w:pPr>
            <w:r>
              <w:rPr>
                <w:rFonts w:ascii="Times New Roman" w:cs="Times New Roman" w:eastAsia="Times New Roman" w:hAnsi="Times New Roman"/>
                <w:sz w:val="22"/>
                <w:szCs w:val="22"/>
                <w:color w:val="auto"/>
              </w:rPr>
              <w:t>CB Column 1</w:t>
            </w:r>
          </w:p>
        </w:tc>
      </w:tr>
      <w:tr>
        <w:trPr>
          <w:trHeight w:val="255"/>
        </w:trPr>
        <w:tc>
          <w:tcPr>
            <w:tcW w:w="22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2080" w:type="dxa"/>
            <w:vAlign w:val="bottom"/>
            <w:tcBorders>
              <w:bottom w:val="single" w:sz="8" w:color="auto"/>
              <w:right w:val="single" w:sz="8" w:color="auto"/>
            </w:tcBorders>
          </w:tcPr>
          <w:p>
            <w:pPr>
              <w:spacing w:after="0"/>
              <w:rPr>
                <w:sz w:val="22"/>
                <w:szCs w:val="22"/>
                <w:color w:val="auto"/>
              </w:rPr>
            </w:pPr>
          </w:p>
        </w:tc>
      </w:tr>
    </w:tbl>
    <w:p>
      <w:pPr>
        <w:spacing w:after="0" w:line="424" w:lineRule="exact"/>
        <w:rPr>
          <w:sz w:val="20"/>
          <w:szCs w:val="20"/>
          <w:color w:val="auto"/>
        </w:rPr>
      </w:pPr>
    </w:p>
    <w:p>
      <w:pPr>
        <w:sectPr>
          <w:pgSz w:w="12240" w:h="15840" w:orient="portrait"/>
          <w:cols w:equalWidth="0" w:num="2">
            <w:col w:w="4320" w:space="720"/>
            <w:col w:w="4360"/>
          </w:cols>
          <w:pgMar w:left="1440" w:top="1293" w:right="1400" w:bottom="124" w:gutter="0" w:footer="0" w:header="0"/>
          <w:type w:val="continuous"/>
        </w:sectPr>
      </w:pPr>
    </w:p>
    <w:p>
      <w:pPr>
        <w:spacing w:after="0" w:line="200" w:lineRule="exact"/>
        <w:rPr>
          <w:sz w:val="20"/>
          <w:szCs w:val="20"/>
          <w:color w:val="auto"/>
        </w:rPr>
      </w:pPr>
    </w:p>
    <w:p>
      <w:pPr>
        <w:spacing w:after="0" w:line="37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400"/>
          </w:cols>
          <w:pgMar w:left="1440" w:top="1293" w:right="1400" w:bottom="124" w:gutter="0" w:footer="0" w:header="0"/>
          <w:type w:val="continuous"/>
        </w:sectPr>
      </w:pPr>
    </w:p>
    <w:bookmarkStart w:id="65" w:name="page66"/>
    <w:bookmarkEnd w:id="6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right="20"/>
        <w:spacing w:after="0" w:line="251" w:lineRule="auto"/>
        <w:rPr>
          <w:sz w:val="20"/>
          <w:szCs w:val="20"/>
          <w:color w:val="auto"/>
        </w:rPr>
      </w:pPr>
      <w:r>
        <w:rPr>
          <w:rFonts w:ascii="Times New Roman" w:cs="Times New Roman" w:eastAsia="Times New Roman" w:hAnsi="Times New Roman"/>
          <w:sz w:val="21"/>
          <w:szCs w:val="21"/>
          <w:color w:val="auto"/>
        </w:rPr>
        <w:t>CW applies to 1C351.d.11 and d.12 and a license is required for CW reasons for all destinations, including Canada, as follows: CW applies to 1C351.d.11 for ricin in the form of (1) Ricinus Communis AgglutininII (RCAII), also known as ricin D or Ricinus Communis LectinIII (RCLIII) and (2) Ricinus Communis LectinIV (RCLIV),</w:t>
      </w:r>
    </w:p>
    <w:p>
      <w:pPr>
        <w:spacing w:after="0" w:line="4"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color w:val="auto"/>
        </w:rPr>
        <w:t>also known as ricin E. CW applies to 1C351.d.12 for saxitoxin identified by C.A.S. #35523-89-8. See §742.18 of the EAR for licensing information pertaining to chemicals subject to restriction pursuant to the Chemical Weapons Convention (CWC). The Commerce Country Chart is not designed to determine licensing requirements for items controlled for CW reasons.</w:t>
      </w:r>
    </w:p>
    <w:p>
      <w:pPr>
        <w:spacing w:after="0" w:line="242" w:lineRule="exact"/>
        <w:rPr>
          <w:sz w:val="20"/>
          <w:szCs w:val="20"/>
          <w:color w:val="auto"/>
        </w:rPr>
      </w:pPr>
    </w:p>
    <w:tbl>
      <w:tblPr>
        <w:tblLayout w:type="fixed"/>
        <w:tblInd w:w="30" w:type="dxa"/>
        <w:tblCellMar>
          <w:top w:w="0" w:type="dxa"/>
          <w:left w:w="0" w:type="dxa"/>
          <w:bottom w:w="0" w:type="dxa"/>
          <w:right w:w="0" w:type="dxa"/>
        </w:tblCellMar>
      </w:tblPr>
      <w:tr>
        <w:trPr>
          <w:trHeight w:val="256"/>
        </w:trPr>
        <w:tc>
          <w:tcPr>
            <w:tcW w:w="2260" w:type="dxa"/>
            <w:vAlign w:val="bottom"/>
            <w:tcBorders>
              <w:top w:val="single" w:sz="8" w:color="auto"/>
              <w:left w:val="single" w:sz="8" w:color="auto"/>
              <w:right w:val="single" w:sz="8" w:color="auto"/>
            </w:tcBorders>
          </w:tcPr>
          <w:p>
            <w:pPr>
              <w:spacing w:after="0"/>
              <w:rPr>
                <w:sz w:val="22"/>
                <w:szCs w:val="22"/>
                <w:color w:val="auto"/>
              </w:rPr>
            </w:pPr>
          </w:p>
        </w:tc>
        <w:tc>
          <w:tcPr>
            <w:tcW w:w="20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260" w:type="dxa"/>
            <w:vAlign w:val="bottom"/>
            <w:tcBorders>
              <w:left w:val="single" w:sz="8" w:color="auto"/>
              <w:right w:val="single" w:sz="8" w:color="auto"/>
            </w:tcBorders>
          </w:tcPr>
          <w:p>
            <w:pPr>
              <w:ind w:left="6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260" w:type="dxa"/>
            <w:vAlign w:val="bottom"/>
            <w:tcBorders>
              <w:left w:val="single" w:sz="8" w:color="auto"/>
              <w:bottom w:val="single" w:sz="8" w:color="auto"/>
              <w:right w:val="single" w:sz="8" w:color="auto"/>
            </w:tcBorders>
          </w:tcPr>
          <w:p>
            <w:pPr>
              <w:spacing w:after="0"/>
              <w:rPr>
                <w:sz w:val="22"/>
                <w:szCs w:val="22"/>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5"/>
        </w:trPr>
        <w:tc>
          <w:tcPr>
            <w:tcW w:w="2260" w:type="dxa"/>
            <w:vAlign w:val="bottom"/>
            <w:tcBorders>
              <w:left w:val="single" w:sz="8" w:color="auto"/>
              <w:right w:val="single" w:sz="8" w:color="auto"/>
            </w:tcBorders>
          </w:tcPr>
          <w:p>
            <w:pPr>
              <w:ind w:left="20"/>
              <w:spacing w:after="0" w:line="245" w:lineRule="exact"/>
              <w:rPr>
                <w:sz w:val="20"/>
                <w:szCs w:val="20"/>
                <w:color w:val="auto"/>
              </w:rPr>
            </w:pPr>
            <w:r>
              <w:rPr>
                <w:rFonts w:ascii="Times New Roman" w:cs="Times New Roman" w:eastAsia="Times New Roman" w:hAnsi="Times New Roman"/>
                <w:sz w:val="22"/>
                <w:szCs w:val="22"/>
                <w:color w:val="auto"/>
              </w:rPr>
              <w:t>AT applies to entire</w:t>
            </w:r>
          </w:p>
        </w:tc>
        <w:tc>
          <w:tcPr>
            <w:tcW w:w="2080" w:type="dxa"/>
            <w:vAlign w:val="bottom"/>
            <w:tcBorders>
              <w:right w:val="single" w:sz="8" w:color="auto"/>
            </w:tcBorders>
          </w:tcPr>
          <w:p>
            <w:pPr>
              <w:spacing w:after="0" w:line="245"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2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2080" w:type="dxa"/>
            <w:vAlign w:val="bottom"/>
            <w:tcBorders>
              <w:bottom w:val="single" w:sz="8" w:color="auto"/>
              <w:right w:val="single" w:sz="8" w:color="auto"/>
            </w:tcBorders>
          </w:tcPr>
          <w:p>
            <w:pPr>
              <w:spacing w:after="0"/>
              <w:rPr>
                <w:sz w:val="22"/>
                <w:szCs w:val="22"/>
                <w:color w:val="auto"/>
              </w:rPr>
            </w:pPr>
          </w:p>
        </w:tc>
      </w:tr>
    </w:tbl>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 Notes:</w:t>
      </w:r>
    </w:p>
    <w:p>
      <w:pPr>
        <w:spacing w:after="0" w:line="266" w:lineRule="exact"/>
        <w:rPr>
          <w:sz w:val="20"/>
          <w:szCs w:val="20"/>
          <w:color w:val="auto"/>
        </w:rPr>
      </w:pPr>
    </w:p>
    <w:p>
      <w:pPr>
        <w:jc w:val="both"/>
        <w:ind w:right="20" w:firstLine="178"/>
        <w:spacing w:after="0" w:line="251" w:lineRule="auto"/>
        <w:tabs>
          <w:tab w:leader="none" w:pos="515" w:val="left"/>
        </w:tabs>
        <w:numPr>
          <w:ilvl w:val="0"/>
          <w:numId w:val="138"/>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All vaccines and “immunotoxins” are excluded from the scope of this entry. Certain medical products and diagnostic and food testing kits that contain biological toxins controlled under paragraph (d) of this entry, with the exception of toxins controlled for CW reasons under d.11 and d.12, are excluded from the scope of this entry. Vaccines, “immunotoxins”, certain medical products, and diagnostic and food testing kits excluded from the scope of this entry are controlled under ECCN 1C991.</w:t>
      </w:r>
    </w:p>
    <w:p>
      <w:pPr>
        <w:spacing w:after="0" w:line="256" w:lineRule="exact"/>
        <w:rPr>
          <w:rFonts w:ascii="Times New Roman" w:cs="Times New Roman" w:eastAsia="Times New Roman" w:hAnsi="Times New Roman"/>
          <w:sz w:val="21"/>
          <w:szCs w:val="21"/>
          <w:i w:val="1"/>
          <w:iCs w:val="1"/>
          <w:color w:val="auto"/>
        </w:rPr>
      </w:pPr>
    </w:p>
    <w:p>
      <w:pPr>
        <w:jc w:val="both"/>
        <w:ind w:right="20" w:firstLine="306"/>
        <w:spacing w:after="0" w:line="251" w:lineRule="auto"/>
        <w:tabs>
          <w:tab w:leader="none" w:pos="626" w:val="left"/>
        </w:tabs>
        <w:numPr>
          <w:ilvl w:val="1"/>
          <w:numId w:val="138"/>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For the purposes of this entry, only saxitoxin is controlled under paragraph d.12; other members of the paralytic shellfish poison family (e.g., neosaxitoxin) are designated EAR99.</w:t>
      </w:r>
    </w:p>
    <w:p>
      <w:pPr>
        <w:spacing w:after="0" w:line="254" w:lineRule="exact"/>
        <w:rPr>
          <w:rFonts w:ascii="Times New Roman" w:cs="Times New Roman" w:eastAsia="Times New Roman" w:hAnsi="Times New Roman"/>
          <w:sz w:val="21"/>
          <w:szCs w:val="21"/>
          <w:i w:val="1"/>
          <w:iCs w:val="1"/>
          <w:color w:val="auto"/>
        </w:rPr>
      </w:pPr>
    </w:p>
    <w:p>
      <w:pPr>
        <w:jc w:val="both"/>
        <w:ind w:right="20" w:firstLine="306"/>
        <w:spacing w:after="0" w:line="238" w:lineRule="auto"/>
        <w:tabs>
          <w:tab w:leader="none" w:pos="526" w:val="left"/>
        </w:tabs>
        <w:numPr>
          <w:ilvl w:val="1"/>
          <w:numId w:val="13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Clostridium perfringens strains, other than the epsilon toxin-producing strains of Clostridium perfringens described in c.12, are excluded from the scope of this entry, since they may be used as positive control cultures for food testing and quality control.</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ind w:firstLine="307"/>
        <w:spacing w:after="0" w:line="236" w:lineRule="auto"/>
        <w:tabs>
          <w:tab w:leader="none" w:pos="559" w:val="left"/>
        </w:tabs>
        <w:numPr>
          <w:ilvl w:val="0"/>
          <w:numId w:val="13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Unless specified elsewhere in this ECCN 1C351 (e.g., in License Requirement Notes 1-3), this ECCN controls all biological agents and</w:t>
      </w:r>
    </w:p>
    <w:p>
      <w:pPr>
        <w:spacing w:after="0" w:line="13" w:lineRule="exact"/>
        <w:rPr>
          <w:rFonts w:ascii="Times New Roman" w:cs="Times New Roman" w:eastAsia="Times New Roman" w:hAnsi="Times New Roman"/>
          <w:sz w:val="22"/>
          <w:szCs w:val="22"/>
          <w:i w:val="1"/>
          <w:iCs w:val="1"/>
          <w:color w:val="auto"/>
        </w:rPr>
      </w:pPr>
    </w:p>
    <w:p>
      <w:pPr>
        <w:jc w:val="both"/>
        <w:spacing w:after="0" w:line="236"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“toxins,” regardless of quantity or attenuation, that are identified in the List of Items Controlled for this ECCN, including small quantities or attenuated strains of select biological agents or</w:t>
      </w:r>
    </w:p>
    <w:p>
      <w:pPr>
        <w:spacing w:after="0" w:line="16" w:lineRule="exact"/>
        <w:rPr>
          <w:rFonts w:ascii="Times New Roman" w:cs="Times New Roman" w:eastAsia="Times New Roman" w:hAnsi="Times New Roman"/>
          <w:sz w:val="22"/>
          <w:szCs w:val="22"/>
          <w:i w:val="1"/>
          <w:iCs w:val="1"/>
          <w:color w:val="auto"/>
        </w:rPr>
      </w:pPr>
    </w:p>
    <w:p>
      <w:pPr>
        <w:jc w:val="both"/>
        <w:spacing w:after="0" w:line="250"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1"/>
          <w:szCs w:val="21"/>
          <w:i w:val="1"/>
          <w:iCs w:val="1"/>
          <w:color w:val="auto"/>
        </w:rPr>
        <w:t>“toxins” that are excluded from the lists of select biological agents or “toxins” by the Animal and</w:t>
      </w:r>
    </w:p>
    <w:p>
      <w:pPr>
        <w:spacing w:after="0" w:line="3" w:lineRule="exact"/>
        <w:rPr>
          <w:rFonts w:ascii="Times New Roman" w:cs="Times New Roman" w:eastAsia="Times New Roman" w:hAnsi="Times New Roman"/>
          <w:sz w:val="22"/>
          <w:szCs w:val="22"/>
          <w:i w:val="1"/>
          <w:iCs w:val="1"/>
          <w:color w:val="auto"/>
        </w:rPr>
      </w:pPr>
    </w:p>
    <w:p>
      <w:pPr>
        <w:jc w:val="both"/>
        <w:spacing w:after="0" w:line="237"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Plant Health Inspection Service (APHIS), U.S. Department of Agriculture, or the Centers for Disease Control and Prevention (CDC), U.S. Department of Health and Human Services, in accordance with their regulations in 9 CFR part 121 and 42 CFR part 73, respectively</w:t>
      </w:r>
      <w:r>
        <w:rPr>
          <w:rFonts w:ascii="Times New Roman" w:cs="Times New Roman" w:eastAsia="Times New Roman" w:hAnsi="Times New Roman"/>
          <w:sz w:val="22"/>
          <w:szCs w:val="22"/>
          <w:color w:val="auto"/>
        </w:rPr>
        <w:t>.</w:t>
      </w:r>
    </w:p>
    <w:p>
      <w:pPr>
        <w:spacing w:after="0" w:line="271" w:lineRule="exact"/>
        <w:rPr>
          <w:rFonts w:ascii="Times New Roman" w:cs="Times New Roman" w:eastAsia="Times New Roman" w:hAnsi="Times New Roman"/>
          <w:sz w:val="22"/>
          <w:szCs w:val="22"/>
          <w:i w:val="1"/>
          <w:iCs w:val="1"/>
          <w:color w:val="auto"/>
        </w:rPr>
      </w:pPr>
    </w:p>
    <w:p>
      <w:pPr>
        <w:jc w:val="both"/>
        <w:ind w:firstLine="307"/>
        <w:spacing w:after="0" w:line="238" w:lineRule="auto"/>
        <w:tabs>
          <w:tab w:leader="none" w:pos="638" w:val="left"/>
        </w:tabs>
        <w:numPr>
          <w:ilvl w:val="0"/>
          <w:numId w:val="13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Biological agents and pathogens are controlled under this ECCN 1C351 when they are an isolated live culture of a pathogen agent, or a preparation of a toxin agent that has been isolated or extracted from any source or material, including living material that has been deliberately inoculated or contaminated with the agent. Isolated live cultures of a pathogen agent include live cultures in dormant form or in dried preparations, whether the agent is natural, enhanced or modified.</w:t>
      </w:r>
    </w:p>
    <w:p>
      <w:pPr>
        <w:spacing w:after="0" w:line="27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 N/A</w:t>
      </w:r>
    </w:p>
    <w:p>
      <w:pPr>
        <w:ind w:left="300"/>
        <w:spacing w:after="0"/>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 N/A</w:t>
      </w:r>
    </w:p>
    <w:p>
      <w:pPr>
        <w:ind w:left="30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 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Special Conditions for STA</w:t>
      </w:r>
    </w:p>
    <w:p>
      <w:pPr>
        <w:spacing w:after="0" w:line="264" w:lineRule="exact"/>
        <w:rPr>
          <w:sz w:val="20"/>
          <w:szCs w:val="20"/>
          <w:color w:val="auto"/>
        </w:rPr>
      </w:pPr>
    </w:p>
    <w:p>
      <w:pPr>
        <w:jc w:val="both"/>
        <w:ind w:left="1080" w:hanging="719"/>
        <w:spacing w:after="0" w:line="237"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(1) Paragraph (c)(1) of License Exception STA (§740.20(c)(1)) may be used for items in 1C351.d.1 through 1C351.d.10 and 1C351.d.13</w:t>
      </w:r>
    </w:p>
    <w:p>
      <w:pPr>
        <w:spacing w:after="0" w:line="14" w:lineRule="exact"/>
        <w:rPr>
          <w:sz w:val="20"/>
          <w:szCs w:val="20"/>
          <w:color w:val="auto"/>
        </w:rPr>
      </w:pPr>
    </w:p>
    <w:p>
      <w:pPr>
        <w:jc w:val="both"/>
        <w:ind w:left="1080"/>
        <w:spacing w:after="0" w:line="251" w:lineRule="auto"/>
        <w:rPr>
          <w:sz w:val="20"/>
          <w:szCs w:val="20"/>
          <w:color w:val="auto"/>
        </w:rPr>
      </w:pPr>
      <w:r>
        <w:rPr>
          <w:rFonts w:ascii="Times New Roman" w:cs="Times New Roman" w:eastAsia="Times New Roman" w:hAnsi="Times New Roman"/>
          <w:sz w:val="21"/>
          <w:szCs w:val="21"/>
          <w:color w:val="auto"/>
        </w:rPr>
        <w:t>through 1C351.d.19. See §740.20(b)(2)(vi) for restrictions on the quantity of any one toxin that may be exported in a single shipment and the number of shipments that may be made to any one end user in a single calendar year. Also see the Automated Export System (AES)</w:t>
      </w:r>
    </w:p>
    <w:p>
      <w:pPr>
        <w:spacing w:after="0" w:line="200" w:lineRule="exact"/>
        <w:rPr>
          <w:sz w:val="20"/>
          <w:szCs w:val="20"/>
          <w:color w:val="auto"/>
        </w:rPr>
      </w:pPr>
    </w:p>
    <w:p>
      <w:pPr>
        <w:sectPr>
          <w:pgSz w:w="12240" w:h="15840" w:orient="portrait"/>
          <w:cols w:equalWidth="0" w:num="2">
            <w:col w:w="4340" w:space="700"/>
            <w:col w:w="4320"/>
          </w:cols>
          <w:pgMar w:left="1440" w:top="1293" w:right="1440" w:bottom="124" w:gutter="0" w:footer="0" w:header="0"/>
          <w:type w:val="continuous"/>
        </w:sectPr>
      </w:pPr>
    </w:p>
    <w:p>
      <w:pPr>
        <w:spacing w:after="0" w:line="200" w:lineRule="exact"/>
        <w:rPr>
          <w:sz w:val="20"/>
          <w:szCs w:val="20"/>
          <w:color w:val="auto"/>
        </w:rPr>
      </w:pPr>
    </w:p>
    <w:p>
      <w:pPr>
        <w:spacing w:after="0" w:line="36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6" w:name="page67"/>
    <w:bookmarkEnd w:id="6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67</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left="1080"/>
        <w:spacing w:after="0" w:line="234" w:lineRule="auto"/>
        <w:rPr>
          <w:sz w:val="20"/>
          <w:szCs w:val="20"/>
          <w:color w:val="auto"/>
        </w:rPr>
      </w:pPr>
      <w:r>
        <w:rPr>
          <w:rFonts w:ascii="Times New Roman" w:cs="Times New Roman" w:eastAsia="Times New Roman" w:hAnsi="Times New Roman"/>
          <w:sz w:val="22"/>
          <w:szCs w:val="22"/>
          <w:color w:val="auto"/>
        </w:rPr>
        <w:t>requirements in §758.1(b)(4) of the EAR.</w:t>
      </w:r>
    </w:p>
    <w:p>
      <w:pPr>
        <w:spacing w:after="0" w:line="13" w:lineRule="exact"/>
        <w:rPr>
          <w:sz w:val="20"/>
          <w:szCs w:val="20"/>
          <w:color w:val="auto"/>
        </w:rPr>
      </w:pPr>
    </w:p>
    <w:p>
      <w:pPr>
        <w:jc w:val="both"/>
        <w:ind w:left="1080"/>
        <w:spacing w:after="0" w:line="236" w:lineRule="auto"/>
        <w:tabs>
          <w:tab w:leader="none" w:pos="1518" w:val="left"/>
        </w:tabs>
        <w:numPr>
          <w:ilvl w:val="0"/>
          <w:numId w:val="14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Paragraph (c)(2) of License Exception STA (§740.20(c)(2) of the EAR) may not be used for any items in 1C351</w:t>
      </w:r>
    </w:p>
    <w:p>
      <w:pPr>
        <w:spacing w:after="0" w:line="25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Certain forms of ricin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 saxitoxin in 1C351.d.11. and d.12 are CWC Schedule 1 chemicals (see §742.18 of the EAR). The U.S. Government must provide advance notification and annual reports to the OPCW of all exports of Schedule 1 chemicals. See §745.1 of the EAR for notification procedures. See 22 CFR part 121, Category XIV and §121.7 for CWC Schedule 1 chemicals that are “subject to the ITAR.” (2) The Animal and Plant Health Inspection Service (APHIS), U.S. Department of Agriculture, and the Centers for Disease Control and Prevention (CDC), U.S. Department of Health and Human Services, maintain controls on the possession, use, and transfer within the United States of certain items controlled by this ECCN (for APHIS, see 7 CFR 331.3(b), 9 CFR 121.3(b), and 9 CFR 121.4(b); for CDC, see 42 CFR 73.3(b) and 42 CFR 73.4(b)). (3) See 22 CFR part 121, Category XIV(b), for modified biological agents and biologically derived substances that are “subject to the ITAR.”</w:t>
      </w:r>
    </w:p>
    <w:p>
      <w:pPr>
        <w:spacing w:after="0" w:line="280"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For the purposes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this entry “immunotoxin” is defined as an antibody-toxin conjugate intended to destroy specific target cells (e.g., tumor cells) that bear antigens homologous to the antibody.</w:t>
      </w:r>
    </w:p>
    <w:p>
      <w:pPr>
        <w:spacing w:after="0" w:line="16" w:lineRule="exact"/>
        <w:rPr>
          <w:sz w:val="20"/>
          <w:szCs w:val="20"/>
          <w:color w:val="auto"/>
        </w:rPr>
      </w:pPr>
    </w:p>
    <w:p>
      <w:pPr>
        <w:ind w:left="360"/>
        <w:spacing w:after="0" w:line="234" w:lineRule="auto"/>
        <w:tabs>
          <w:tab w:leader="none" w:pos="667" w:val="left"/>
        </w:tabs>
        <w:numPr>
          <w:ilvl w:val="0"/>
          <w:numId w:val="14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the purposes of this entry “subunit” is defined as a portion of the “toxin”.</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a. Viruses identified on the Australia Group (AG) “List of Human and Animal Pathogens and Toxins for Export Control,” as follows: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 African horse sickness virus;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a.2. African swine fever virus;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a.3. Andes virus;</w:t>
      </w:r>
    </w:p>
    <w:p>
      <w:pPr>
        <w:spacing w:after="0" w:line="265"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a.4. Avian influenza (AI) viruses identified as having high pathogenicity (HP), as follows:</w:t>
      </w:r>
    </w:p>
    <w:p>
      <w:pPr>
        <w:spacing w:after="0" w:line="26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 xml:space="preserve">a.4.a. AI viruses that have an intravenous pathogenicity index (IVPI) in 6-week-old chickens greater than 1.2; </w:t>
      </w:r>
      <w:r>
        <w:rPr>
          <w:rFonts w:ascii="Times New Roman" w:cs="Times New Roman" w:eastAsia="Times New Roman" w:hAnsi="Times New Roman"/>
          <w:sz w:val="22"/>
          <w:szCs w:val="22"/>
          <w:i w:val="1"/>
          <w:iCs w:val="1"/>
          <w:color w:val="auto"/>
        </w:rPr>
        <w:t>or</w:t>
      </w:r>
    </w:p>
    <w:p>
      <w:pPr>
        <w:spacing w:after="0" w:line="268"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a.4.b. AI viruses that cause at least 75% mortality in 4- to 8-week-old chickens infected intravenously.</w:t>
      </w:r>
    </w:p>
    <w:p>
      <w:pPr>
        <w:spacing w:after="0" w:line="26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Avian influenza (AI) viruses of the H5</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or H7 subtype that do not have either of the</w:t>
      </w:r>
    </w:p>
    <w:p>
      <w:pPr>
        <w:spacing w:after="0" w:line="13"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characteristics described in 1C351.a.4 (specifically, 1C351.a.4.a or a.4.b) should be sequenced to determine whether multiple basic amino acids are present at the cleavage site of the haemagglutinin molecule (HA0). If the amino acid motif is similar to that observed for other HPAI isolates, then the isolate being tested should be considered as HPAI and the virus is controlled under </w:t>
      </w:r>
      <w:r>
        <w:rPr>
          <w:rFonts w:ascii="Times New Roman" w:cs="Times New Roman" w:eastAsia="Times New Roman" w:hAnsi="Times New Roman"/>
          <w:sz w:val="22"/>
          <w:szCs w:val="22"/>
          <w:color w:val="auto"/>
        </w:rPr>
        <w:t>1C351.a.4.</w:t>
      </w:r>
    </w:p>
    <w:p>
      <w:pPr>
        <w:spacing w:after="0" w:line="258"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 Bluetongue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a.6. Chapare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a.7. Chikungunya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a.8. Choclo virus;</w:t>
      </w:r>
    </w:p>
    <w:p>
      <w:pPr>
        <w:spacing w:after="0" w:line="266" w:lineRule="exact"/>
        <w:rPr>
          <w:sz w:val="20"/>
          <w:szCs w:val="20"/>
          <w:color w:val="auto"/>
        </w:rPr>
      </w:pPr>
    </w:p>
    <w:p>
      <w:pPr>
        <w:jc w:val="both"/>
        <w:ind w:firstLine="306"/>
        <w:spacing w:after="0" w:line="233" w:lineRule="auto"/>
        <w:rPr>
          <w:sz w:val="20"/>
          <w:szCs w:val="20"/>
          <w:color w:val="auto"/>
        </w:rPr>
      </w:pPr>
      <w:r>
        <w:rPr>
          <w:rFonts w:ascii="Times New Roman" w:cs="Times New Roman" w:eastAsia="Times New Roman" w:hAnsi="Times New Roman"/>
          <w:sz w:val="22"/>
          <w:szCs w:val="22"/>
          <w:color w:val="auto"/>
        </w:rPr>
        <w:t>a.9. Classical swine fever virus (Hog cholera virus);</w:t>
      </w:r>
    </w:p>
    <w:p>
      <w:pPr>
        <w:spacing w:after="0" w:line="26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a.10. Crimean-Congo hemorrhagic fever virus;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a.11. Dobrava-Belgrade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a.12. Eastern equine encephalitis virus;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a.13. Ebolavirus (includes all members of the Ebolavirus genus);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a.14. Foot-and-mouth disease virus;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7" w:name="page68"/>
    <w:bookmarkEnd w:id="6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68</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a.15. Goatpox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a.16. Guanarito virus;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a.17. Hantaan virus;</w:t>
      </w:r>
    </w:p>
    <w:p>
      <w:pPr>
        <w:spacing w:after="0" w:line="265" w:lineRule="exact"/>
        <w:rPr>
          <w:sz w:val="20"/>
          <w:szCs w:val="20"/>
          <w:color w:val="auto"/>
        </w:rPr>
      </w:pPr>
    </w:p>
    <w:p>
      <w:pPr>
        <w:ind w:left="300" w:right="300"/>
        <w:spacing w:after="0" w:line="474" w:lineRule="auto"/>
        <w:rPr>
          <w:sz w:val="20"/>
          <w:szCs w:val="20"/>
          <w:color w:val="auto"/>
        </w:rPr>
      </w:pPr>
      <w:r>
        <w:rPr>
          <w:rFonts w:ascii="Times New Roman" w:cs="Times New Roman" w:eastAsia="Times New Roman" w:hAnsi="Times New Roman"/>
          <w:sz w:val="22"/>
          <w:szCs w:val="22"/>
          <w:color w:val="auto"/>
        </w:rPr>
        <w:t>a.18. Hendra virus (Equine morbillivirus); a.19. Japanese encephalitis virus; a.20. Junin virus;</w:t>
      </w:r>
    </w:p>
    <w:p>
      <w:pPr>
        <w:spacing w:after="0" w:line="19" w:lineRule="exact"/>
        <w:rPr>
          <w:sz w:val="20"/>
          <w:szCs w:val="20"/>
          <w:color w:val="auto"/>
        </w:rPr>
      </w:pPr>
    </w:p>
    <w:p>
      <w:pPr>
        <w:ind w:left="300" w:right="840"/>
        <w:spacing w:after="0" w:line="474" w:lineRule="auto"/>
        <w:rPr>
          <w:sz w:val="20"/>
          <w:szCs w:val="20"/>
          <w:color w:val="auto"/>
        </w:rPr>
      </w:pPr>
      <w:r>
        <w:rPr>
          <w:rFonts w:ascii="Times New Roman" w:cs="Times New Roman" w:eastAsia="Times New Roman" w:hAnsi="Times New Roman"/>
          <w:sz w:val="22"/>
          <w:szCs w:val="22"/>
          <w:color w:val="auto"/>
        </w:rPr>
        <w:t>a.21. Kyasanur Forest disease virus; a.22. Laguna Negra virus; a.23. Lassa virus;</w:t>
      </w:r>
    </w:p>
    <w:p>
      <w:pPr>
        <w:spacing w:after="0" w:line="7"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a.24. Louping ill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a.25. Lujo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a.26. Lumpy skin disease virus;</w:t>
      </w:r>
    </w:p>
    <w:p>
      <w:pPr>
        <w:spacing w:after="0" w:line="266" w:lineRule="exact"/>
        <w:rPr>
          <w:sz w:val="20"/>
          <w:szCs w:val="20"/>
          <w:color w:val="auto"/>
        </w:rPr>
      </w:pPr>
    </w:p>
    <w:p>
      <w:pPr>
        <w:ind w:left="300" w:right="260"/>
        <w:spacing w:after="0" w:line="468" w:lineRule="auto"/>
        <w:rPr>
          <w:sz w:val="20"/>
          <w:szCs w:val="20"/>
          <w:color w:val="auto"/>
        </w:rPr>
      </w:pPr>
      <w:r>
        <w:rPr>
          <w:rFonts w:ascii="Times New Roman" w:cs="Times New Roman" w:eastAsia="Times New Roman" w:hAnsi="Times New Roman"/>
          <w:sz w:val="22"/>
          <w:szCs w:val="22"/>
          <w:color w:val="auto"/>
        </w:rPr>
        <w:t>a.27. Lymphocytic choriomeningitis virus; a.28. Machupo virus;</w:t>
      </w:r>
    </w:p>
    <w:p>
      <w:pPr>
        <w:spacing w:after="0" w:line="25"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color w:val="auto"/>
        </w:rPr>
        <w:t>a.29. Marburgvirus (includes all members of the Marburgvirus genus);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a.30. Monkeypox virus;</w:t>
      </w:r>
    </w:p>
    <w:p>
      <w:pPr>
        <w:spacing w:after="0" w:line="265" w:lineRule="exact"/>
        <w:rPr>
          <w:sz w:val="20"/>
          <w:szCs w:val="20"/>
          <w:color w:val="auto"/>
        </w:rPr>
      </w:pPr>
    </w:p>
    <w:p>
      <w:pPr>
        <w:ind w:left="300" w:right="560"/>
        <w:spacing w:after="0" w:line="474" w:lineRule="auto"/>
        <w:rPr>
          <w:sz w:val="20"/>
          <w:szCs w:val="20"/>
          <w:color w:val="auto"/>
        </w:rPr>
      </w:pPr>
      <w:r>
        <w:rPr>
          <w:rFonts w:ascii="Times New Roman" w:cs="Times New Roman" w:eastAsia="Times New Roman" w:hAnsi="Times New Roman"/>
          <w:sz w:val="22"/>
          <w:szCs w:val="22"/>
          <w:color w:val="auto"/>
        </w:rPr>
        <w:t>a.31. Murray Valley encephalitis virus; a.32. Newcastle disease virus; a.33. Nipah virus;</w:t>
      </w:r>
    </w:p>
    <w:p>
      <w:pPr>
        <w:spacing w:after="0" w:line="19" w:lineRule="exact"/>
        <w:rPr>
          <w:sz w:val="20"/>
          <w:szCs w:val="20"/>
          <w:color w:val="auto"/>
        </w:rPr>
      </w:pPr>
    </w:p>
    <w:p>
      <w:pPr>
        <w:ind w:left="300" w:right="780"/>
        <w:spacing w:after="0" w:line="468" w:lineRule="auto"/>
        <w:rPr>
          <w:sz w:val="20"/>
          <w:szCs w:val="20"/>
          <w:color w:val="auto"/>
        </w:rPr>
      </w:pPr>
      <w:r>
        <w:rPr>
          <w:rFonts w:ascii="Times New Roman" w:cs="Times New Roman" w:eastAsia="Times New Roman" w:hAnsi="Times New Roman"/>
          <w:sz w:val="22"/>
          <w:szCs w:val="22"/>
          <w:color w:val="auto"/>
        </w:rPr>
        <w:t>a.34. Omsk hemorrhagic fever virus; a.35. Oropouche virus;</w:t>
      </w:r>
    </w:p>
    <w:p>
      <w:pPr>
        <w:spacing w:after="0" w:line="26" w:lineRule="exact"/>
        <w:rPr>
          <w:sz w:val="20"/>
          <w:szCs w:val="20"/>
          <w:color w:val="auto"/>
        </w:rPr>
      </w:pPr>
    </w:p>
    <w:p>
      <w:pPr>
        <w:ind w:left="300" w:right="660"/>
        <w:spacing w:after="0" w:line="474" w:lineRule="auto"/>
        <w:rPr>
          <w:sz w:val="20"/>
          <w:szCs w:val="20"/>
          <w:color w:val="auto"/>
        </w:rPr>
      </w:pPr>
      <w:r>
        <w:rPr>
          <w:rFonts w:ascii="Times New Roman" w:cs="Times New Roman" w:eastAsia="Times New Roman" w:hAnsi="Times New Roman"/>
          <w:sz w:val="22"/>
          <w:szCs w:val="22"/>
          <w:color w:val="auto"/>
        </w:rPr>
        <w:t>a.36. Peste-des-petits ruminants virus; a.37. Porcine Teschovirus; a.38. Powassan virus;</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a.39. Rabies virus and all other members of the Lyssavirus genus;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a.40. Reconstructed 1918 influenza virus;</w:t>
      </w:r>
    </w:p>
    <w:p>
      <w:pPr>
        <w:spacing w:after="0" w:line="266" w:lineRule="exact"/>
        <w:rPr>
          <w:sz w:val="20"/>
          <w:szCs w:val="20"/>
          <w:color w:val="auto"/>
        </w:rPr>
      </w:pPr>
    </w:p>
    <w:p>
      <w:pPr>
        <w:jc w:val="both"/>
        <w:ind w:firstLine="306"/>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1C351.a.40 includes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reconstructed replication competent forms of the 1918 pandemic influenza virus containing any portion of the coding regions of all eight gene segments.</w:t>
      </w:r>
    </w:p>
    <w:p>
      <w:pPr>
        <w:spacing w:after="0" w:line="255"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a.41. Rift Valley fever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a.42. Rinderpest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a.43. Rocio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a.44. Sabia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a.45. Seoul virus;</w:t>
      </w:r>
    </w:p>
    <w:p>
      <w:pPr>
        <w:spacing w:after="0" w:line="265"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a.46. Severe acute respiratory syndrome-related coronavirus (SARS-related coronavirus);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a.47. Sheeppox virus;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a.48. Sin Nombre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a.49. St. Louis encephalitis virus;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a.50. Suid herpesvirus 1 (Pseudorabies virus; Aujeszky’s disease);</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a.51. Swine vesicular disease virus;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a.52. Tick-borne encephalitis virus (Far Eastern subtype, formerly known as Russian</w:t>
      </w:r>
    </w:p>
    <w:p>
      <w:pPr>
        <w:spacing w:after="0" w:line="1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Spring-Summer encephalitis virus—see 1C351.b.3 for Siberian subtype);</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a.53. Variola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a.54. Venezuelan equine encephalitis virus;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a.55. Vesicular stomatitis virus;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a.56. Western equine encephalitis virus; or</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a.57. Yellow fever virus.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7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8" w:name="page69"/>
    <w:bookmarkEnd w:id="6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69</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40"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b. Viruses identified on the APHIS/CDC “select agents” lists (see Related Controls paragraph #2 for this ECCN), but not identified on the Australia Group (AG) “List of Human and Animal Pathogens and Toxins for Export Control,” as follows: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b.1. [Reserved];</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 xml:space="preserve">b.2. [Reserved];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b.3. Tick-borne encephalitis virus (Siberian subtype, formerly West Siberian virus—see 1C351.a.52 for Far Eastern subtype).</w:t>
      </w:r>
    </w:p>
    <w:p>
      <w:pPr>
        <w:spacing w:after="0" w:line="26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 Bacteria identified on the Australia Group (AG) “List of Human and Animal Pathogens and Toxins for Export Control,” as follows: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c.1. Bacillus anthracis;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c.2. Brucella abortus;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c.3. Brucella melitensis;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c.4. Brucella suis;</w:t>
      </w:r>
    </w:p>
    <w:p>
      <w:pPr>
        <w:spacing w:after="0" w:line="266"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color w:val="auto"/>
        </w:rPr>
        <w:t>c.5. Burkholderia mallei (Pseudomonas mallei);</w:t>
      </w:r>
    </w:p>
    <w:p>
      <w:pPr>
        <w:spacing w:after="0" w:line="254" w:lineRule="exact"/>
        <w:rPr>
          <w:sz w:val="20"/>
          <w:szCs w:val="20"/>
          <w:color w:val="auto"/>
        </w:rPr>
      </w:pPr>
    </w:p>
    <w:p>
      <w:pPr>
        <w:ind w:left="300"/>
        <w:spacing w:after="0"/>
        <w:tabs>
          <w:tab w:leader="none" w:pos="1280" w:val="left"/>
          <w:tab w:leader="none" w:pos="3120" w:val="left"/>
        </w:tabs>
        <w:rPr>
          <w:sz w:val="20"/>
          <w:szCs w:val="20"/>
          <w:color w:val="auto"/>
        </w:rPr>
      </w:pPr>
      <w:r>
        <w:rPr>
          <w:rFonts w:ascii="Times New Roman" w:cs="Times New Roman" w:eastAsia="Times New Roman" w:hAnsi="Times New Roman"/>
          <w:sz w:val="22"/>
          <w:szCs w:val="22"/>
          <w:color w:val="auto"/>
        </w:rPr>
        <w:t>c.6.</w:t>
      </w:r>
      <w:r>
        <w:rPr>
          <w:sz w:val="20"/>
          <w:szCs w:val="20"/>
          <w:color w:val="auto"/>
        </w:rPr>
        <w:tab/>
      </w:r>
      <w:r>
        <w:rPr>
          <w:rFonts w:ascii="Times New Roman" w:cs="Times New Roman" w:eastAsia="Times New Roman" w:hAnsi="Times New Roman"/>
          <w:sz w:val="22"/>
          <w:szCs w:val="22"/>
          <w:color w:val="auto"/>
        </w:rPr>
        <w:t>Burkholderia</w:t>
      </w:r>
      <w:r>
        <w:rPr>
          <w:sz w:val="20"/>
          <w:szCs w:val="20"/>
          <w:color w:val="auto"/>
        </w:rPr>
        <w:tab/>
      </w:r>
      <w:r>
        <w:rPr>
          <w:rFonts w:ascii="Times New Roman" w:cs="Times New Roman" w:eastAsia="Times New Roman" w:hAnsi="Times New Roman"/>
          <w:sz w:val="22"/>
          <w:szCs w:val="22"/>
          <w:color w:val="auto"/>
        </w:rPr>
        <w:t>pseudomallei</w:t>
      </w:r>
    </w:p>
    <w:p>
      <w:pPr>
        <w:spacing w:after="0"/>
        <w:rPr>
          <w:sz w:val="20"/>
          <w:szCs w:val="20"/>
          <w:color w:val="auto"/>
        </w:rPr>
      </w:pPr>
      <w:r>
        <w:rPr>
          <w:rFonts w:ascii="Times New Roman" w:cs="Times New Roman" w:eastAsia="Times New Roman" w:hAnsi="Times New Roman"/>
          <w:sz w:val="22"/>
          <w:szCs w:val="22"/>
          <w:color w:val="auto"/>
        </w:rPr>
        <w:t>(Pseudomonas pseudomallei);</w:t>
      </w:r>
    </w:p>
    <w:p>
      <w:pPr>
        <w:spacing w:after="0" w:line="265"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color w:val="auto"/>
        </w:rPr>
        <w:t>c.7. Chlamydia psittaci (Chlamydophila psittaci);</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c.12. Clostridium perfringens, epsilon toxin producing types;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c.13. Coxiella burnetii;</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c.14. Francisella tularensis;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c.15. Mycoplasma capricolum subspecies capripneumoniae (“strain F38”);</w:t>
      </w:r>
    </w:p>
    <w:p>
      <w:pPr>
        <w:spacing w:after="0" w:line="265"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c.16. Mycoplasma mycoides subspecies mycoides SC (small colony) (a.k.a. contagious bovine pleuropneumonia);</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c.17. Rickettsia prowazekii;</w:t>
      </w:r>
    </w:p>
    <w:p>
      <w:pPr>
        <w:spacing w:after="0" w:line="265"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c.18. Salmonella enterica subspecies enterica serovar Typhi (Salmonella typhi);</w:t>
      </w:r>
    </w:p>
    <w:p>
      <w:pPr>
        <w:spacing w:after="0" w:line="266"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c.19. Shiga toxin producing Escherichia coli (STEC) of serogroups O26, O45, O103, O104, O111, O121, O145, O157, and other shiga toxin producing serogroups;</w:t>
      </w:r>
    </w:p>
    <w:p>
      <w:pPr>
        <w:spacing w:after="0" w:line="258" w:lineRule="exact"/>
        <w:rPr>
          <w:sz w:val="20"/>
          <w:szCs w:val="20"/>
          <w:color w:val="auto"/>
        </w:rPr>
      </w:pPr>
    </w:p>
    <w:p>
      <w:pPr>
        <w:ind w:left="300"/>
        <w:spacing w:after="0"/>
        <w:tabs>
          <w:tab w:leader="none" w:pos="104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2"/>
          <w:szCs w:val="22"/>
          <w:i w:val="1"/>
          <w:iCs w:val="1"/>
          <w:color w:val="auto"/>
        </w:rPr>
        <w:t>Shiga  toxin  producing  Escherichia</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coli (STEC) includes, inter alia, enterohaemorrhagic E. coli (EHEC), verotoxin producing E. coli (VTEC) or verocytotoxin producing E. coli (VTEC)</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c.20. Shigella dysenteriae;</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 xml:space="preserve">c.21. Vibrio cholerae;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c.22. Yersinia pestis.</w:t>
      </w:r>
    </w:p>
    <w:p>
      <w:pPr>
        <w:spacing w:after="0" w:line="265"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2"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c.8. Clostriduim argentinense (formerly known as Clostridium botulinum Type G), botulinum neurotoxin producing strains;</w:t>
      </w:r>
    </w:p>
    <w:p>
      <w:pPr>
        <w:spacing w:after="0" w:line="26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c.9. Clostridium baratii, botulinum neurotoxin producing strains;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c.10. Clostridium botulinum;</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c.11. Clostridium butyricum, botulinum neurotoxin producing strains;</w:t>
      </w:r>
    </w:p>
    <w:p>
      <w:pPr>
        <w:spacing w:after="0" w:line="20" w:lineRule="exact"/>
        <w:rPr>
          <w:sz w:val="20"/>
          <w:szCs w:val="20"/>
          <w:color w:val="auto"/>
        </w:rPr>
      </w:pPr>
      <w:r>
        <w:rPr>
          <w:sz w:val="20"/>
          <w:szCs w:val="20"/>
          <w:color w:val="auto"/>
        </w:rPr>
        <w:br w:type="column"/>
      </w:r>
    </w:p>
    <w:p>
      <w:pPr>
        <w:jc w:val="both"/>
        <w:spacing w:after="0" w:line="236" w:lineRule="auto"/>
        <w:rPr>
          <w:sz w:val="20"/>
          <w:szCs w:val="20"/>
          <w:color w:val="auto"/>
        </w:rPr>
      </w:pPr>
      <w:r>
        <w:rPr>
          <w:rFonts w:ascii="Times New Roman" w:cs="Times New Roman" w:eastAsia="Times New Roman" w:hAnsi="Times New Roman"/>
          <w:sz w:val="22"/>
          <w:szCs w:val="22"/>
          <w:color w:val="auto"/>
        </w:rPr>
        <w:t>d. “Toxins” identified on the Australia Group (AG) “List of Human and Animal Pathogens and Toxins for Export Control,” as follows, and “subunits” thereof:</w:t>
      </w:r>
    </w:p>
    <w:p>
      <w:pPr>
        <w:spacing w:after="0" w:line="257"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 Abrin;</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d.2. Aflatoxins;</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d.3. Botulinum toxins;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d.4. Cholera toxin;</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69" w:name="page70"/>
    <w:bookmarkEnd w:id="6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70</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d.5. Clostridium perfringens alpha, beta 1, beta 2, epsilon and iota toxins;</w:t>
      </w:r>
    </w:p>
    <w:p>
      <w:pPr>
        <w:spacing w:after="0" w:line="25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d.6. Conotoxins;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d.7. Diacetoxyscirpenol;</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d.8. HT-2 toxin;</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d.9. Microcystins (Cyanginosins);</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d.10. Modeccin;</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d.11. Ricin;</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d.12. Saxitoxin;</w:t>
      </w:r>
    </w:p>
    <w:p>
      <w:pPr>
        <w:spacing w:after="0" w:line="265"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d.13. Shiga toxins (shiga-like toxins, verotoxins, and verocytotoxins);</w:t>
      </w:r>
    </w:p>
    <w:p>
      <w:pPr>
        <w:spacing w:after="0" w:line="266"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d.14. Staphylococcus aureus enterotoxins, hemolysin alpha toxin, and toxic shock syndrome toxin (formerly known as Staphylococcus enterotoxin F);</w:t>
      </w:r>
    </w:p>
    <w:p>
      <w:pPr>
        <w:spacing w:after="0" w:line="258"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d.15. T-2 toxin;</w:t>
      </w:r>
    </w:p>
    <w:p>
      <w:pPr>
        <w:spacing w:after="0" w:line="252"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d.16. Tetrodotoxin;</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 xml:space="preserve">d.17. Viscumin (Viscum album lectin 1);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d.18. Volkensin.</w:t>
      </w:r>
    </w:p>
    <w:p>
      <w:pPr>
        <w:spacing w:after="0" w:line="252"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2"/>
          <w:szCs w:val="22"/>
          <w:color w:val="auto"/>
        </w:rPr>
        <w:t>e.</w:t>
        <w:tab/>
        <w:t>“Fungi”, as follows:</w:t>
      </w:r>
    </w:p>
    <w:p>
      <w:pPr>
        <w:spacing w:after="0" w:line="253"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e.1.</w:t>
        <w:tab/>
        <w:t xml:space="preserve">Coccidioides immitis;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e.2.</w:t>
        <w:tab/>
        <w:t>Coccidioides posadasii.</w:t>
      </w:r>
    </w:p>
    <w:p>
      <w:pPr>
        <w:spacing w:after="0" w:line="200" w:lineRule="exact"/>
        <w:rPr>
          <w:sz w:val="20"/>
          <w:szCs w:val="20"/>
          <w:color w:val="auto"/>
        </w:rPr>
      </w:pPr>
    </w:p>
    <w:p>
      <w:pPr>
        <w:spacing w:after="0" w:line="320" w:lineRule="exact"/>
        <w:rPr>
          <w:sz w:val="20"/>
          <w:szCs w:val="20"/>
          <w:color w:val="auto"/>
        </w:rPr>
      </w:pPr>
    </w:p>
    <w:p>
      <w:pPr>
        <w:spacing w:after="0" w:line="236" w:lineRule="auto"/>
        <w:rPr>
          <w:sz w:val="20"/>
          <w:szCs w:val="20"/>
          <w:color w:val="auto"/>
        </w:rPr>
      </w:pPr>
      <w:r>
        <w:rPr>
          <w:rFonts w:ascii="Times New Roman" w:cs="Times New Roman" w:eastAsia="Times New Roman" w:hAnsi="Times New Roman"/>
          <w:sz w:val="22"/>
          <w:szCs w:val="22"/>
          <w:b w:val="1"/>
          <w:bCs w:val="1"/>
          <w:color w:val="auto"/>
        </w:rPr>
        <w:t>1C353 Genetic elements and genetically-modified organisms,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CB, AT</w:t>
      </w:r>
    </w:p>
    <w:p>
      <w:pPr>
        <w:spacing w:after="0" w:line="237"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500" w:type="dxa"/>
            <w:vAlign w:val="bottom"/>
            <w:tcBorders>
              <w:top w:val="single" w:sz="8" w:color="auto"/>
              <w:left w:val="single" w:sz="8" w:color="auto"/>
              <w:right w:val="single" w:sz="8" w:color="auto"/>
            </w:tcBorders>
            <w:vMerge w:val="restart"/>
          </w:tcPr>
          <w:p>
            <w:pPr>
              <w:ind w:left="7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c>
          <w:tcPr>
            <w:tcW w:w="0" w:type="dxa"/>
            <w:vAlign w:val="bottom"/>
          </w:tcPr>
          <w:p>
            <w:pPr>
              <w:spacing w:after="0"/>
              <w:rPr>
                <w:sz w:val="1"/>
                <w:szCs w:val="1"/>
                <w:color w:val="auto"/>
              </w:rPr>
            </w:pPr>
          </w:p>
        </w:tc>
      </w:tr>
      <w:tr>
        <w:trPr>
          <w:trHeight w:val="126"/>
        </w:trPr>
        <w:tc>
          <w:tcPr>
            <w:tcW w:w="2500" w:type="dxa"/>
            <w:vAlign w:val="bottom"/>
            <w:tcBorders>
              <w:left w:val="single" w:sz="8" w:color="auto"/>
              <w:right w:val="single" w:sz="8" w:color="auto"/>
            </w:tcBorders>
            <w:vMerge w:val="continue"/>
          </w:tcPr>
          <w:p>
            <w:pPr>
              <w:spacing w:after="0"/>
              <w:rPr>
                <w:sz w:val="10"/>
                <w:szCs w:val="10"/>
                <w:color w:val="auto"/>
              </w:rPr>
            </w:pPr>
          </w:p>
        </w:tc>
        <w:tc>
          <w:tcPr>
            <w:tcW w:w="174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c>
          <w:tcPr>
            <w:tcW w:w="0" w:type="dxa"/>
            <w:vAlign w:val="bottom"/>
          </w:tcPr>
          <w:p>
            <w:pPr>
              <w:spacing w:after="0"/>
              <w:rPr>
                <w:sz w:val="1"/>
                <w:szCs w:val="1"/>
                <w:color w:val="auto"/>
              </w:rPr>
            </w:pPr>
          </w:p>
        </w:tc>
      </w:tr>
      <w:tr>
        <w:trPr>
          <w:trHeight w:val="128"/>
        </w:trPr>
        <w:tc>
          <w:tcPr>
            <w:tcW w:w="2500" w:type="dxa"/>
            <w:vAlign w:val="bottom"/>
            <w:tcBorders>
              <w:left w:val="single" w:sz="8" w:color="auto"/>
              <w:bottom w:val="single" w:sz="8" w:color="auto"/>
              <w:right w:val="single" w:sz="8" w:color="auto"/>
            </w:tcBorders>
          </w:tcPr>
          <w:p>
            <w:pPr>
              <w:spacing w:after="0"/>
              <w:rPr>
                <w:sz w:val="11"/>
                <w:szCs w:val="11"/>
                <w:color w:val="auto"/>
              </w:rPr>
            </w:pPr>
          </w:p>
        </w:tc>
        <w:tc>
          <w:tcPr>
            <w:tcW w:w="17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38" w:lineRule="exact"/>
        <w:rPr>
          <w:sz w:val="20"/>
          <w:szCs w:val="20"/>
          <w:color w:val="auto"/>
        </w:rPr>
      </w:pPr>
    </w:p>
    <w:p>
      <w:pPr>
        <w:spacing w:after="0" w:line="1" w:lineRule="exact"/>
        <w:rPr>
          <w:sz w:val="1"/>
          <w:szCs w:val="1"/>
          <w:color w:val="auto"/>
        </w:rPr>
      </w:pPr>
    </w:p>
    <w:tbl>
      <w:tblPr>
        <w:tblLayout w:type="fixed"/>
        <w:tblInd w:w="110" w:type="dxa"/>
        <w:tblCellMar>
          <w:top w:w="0" w:type="dxa"/>
          <w:left w:w="0" w:type="dxa"/>
          <w:bottom w:w="0" w:type="dxa"/>
          <w:right w:w="0" w:type="dxa"/>
        </w:tblCellMar>
      </w:tblPr>
      <w:tr>
        <w:trPr>
          <w:trHeight w:val="263"/>
        </w:trPr>
        <w:tc>
          <w:tcPr>
            <w:tcW w:w="2500" w:type="dxa"/>
            <w:vAlign w:val="bottom"/>
            <w:tcBorders>
              <w:top w:val="single" w:sz="8" w:color="auto"/>
              <w:left w:val="single" w:sz="8" w:color="auto"/>
              <w:bottom w:val="single" w:sz="8" w:color="auto"/>
              <w:right w:val="single" w:sz="8" w:color="auto"/>
            </w:tcBorders>
          </w:tcPr>
          <w:p>
            <w:pPr>
              <w:spacing w:after="0"/>
              <w:rPr>
                <w:sz w:val="22"/>
                <w:szCs w:val="22"/>
                <w:color w:val="auto"/>
              </w:rPr>
            </w:pPr>
          </w:p>
        </w:tc>
        <w:tc>
          <w:tcPr>
            <w:tcW w:w="1740" w:type="dxa"/>
            <w:vAlign w:val="bottom"/>
            <w:tcBorders>
              <w:top w:val="single" w:sz="8" w:color="auto"/>
              <w:bottom w:val="single" w:sz="8" w:color="auto"/>
              <w:right w:val="single" w:sz="8" w:color="auto"/>
            </w:tcBorders>
          </w:tcPr>
          <w:p>
            <w:pPr>
              <w:ind w:left="320"/>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CB applies to entire entry</w:t>
            </w:r>
          </w:p>
        </w:tc>
        <w:tc>
          <w:tcPr>
            <w:tcW w:w="17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CB Column 1</w:t>
            </w:r>
          </w:p>
        </w:tc>
      </w:tr>
      <w:tr>
        <w:trPr>
          <w:trHeight w:val="243"/>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 Notes:</w:t>
      </w:r>
    </w:p>
    <w:p>
      <w:pPr>
        <w:spacing w:after="0" w:line="266" w:lineRule="exact"/>
        <w:rPr>
          <w:sz w:val="20"/>
          <w:szCs w:val="20"/>
          <w:color w:val="auto"/>
        </w:rPr>
      </w:pPr>
    </w:p>
    <w:p>
      <w:pPr>
        <w:jc w:val="both"/>
        <w:ind w:firstLine="307"/>
        <w:spacing w:after="0" w:line="235" w:lineRule="auto"/>
        <w:tabs>
          <w:tab w:leader="none" w:pos="648" w:val="left"/>
        </w:tabs>
        <w:numPr>
          <w:ilvl w:val="0"/>
          <w:numId w:val="1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Vaccines that contain genetic elements or genetically modified organisms identified in this ECCN are controlled by ECCN 1C991.</w:t>
      </w:r>
    </w:p>
    <w:p>
      <w:pPr>
        <w:spacing w:after="0" w:line="255" w:lineRule="exact"/>
        <w:rPr>
          <w:rFonts w:ascii="Times New Roman" w:cs="Times New Roman" w:eastAsia="Times New Roman" w:hAnsi="Times New Roman"/>
          <w:sz w:val="22"/>
          <w:szCs w:val="22"/>
          <w:i w:val="1"/>
          <w:iCs w:val="1"/>
          <w:color w:val="auto"/>
        </w:rPr>
      </w:pPr>
    </w:p>
    <w:p>
      <w:pPr>
        <w:ind w:left="640" w:hanging="333"/>
        <w:spacing w:after="0"/>
        <w:tabs>
          <w:tab w:leader="none" w:pos="640" w:val="left"/>
        </w:tabs>
        <w:numPr>
          <w:ilvl w:val="0"/>
          <w:numId w:val="1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Unless specified elsewhere in this ECCN</w:t>
      </w:r>
    </w:p>
    <w:p>
      <w:pPr>
        <w:spacing w:after="0" w:line="12" w:lineRule="exact"/>
        <w:rPr>
          <w:rFonts w:ascii="Times New Roman" w:cs="Times New Roman" w:eastAsia="Times New Roman" w:hAnsi="Times New Roman"/>
          <w:sz w:val="22"/>
          <w:szCs w:val="22"/>
          <w:i w:val="1"/>
          <w:iCs w:val="1"/>
          <w:color w:val="auto"/>
        </w:rPr>
      </w:pPr>
    </w:p>
    <w:p>
      <w:pPr>
        <w:jc w:val="both"/>
        <w:spacing w:after="0" w:line="250"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1"/>
          <w:szCs w:val="21"/>
          <w:i w:val="1"/>
          <w:iCs w:val="1"/>
          <w:color w:val="auto"/>
        </w:rPr>
        <w:t>1C353 (e.g., in License Requirement Note 1), this ECCN controls genetic elements or genetically modified organisms for all biological agents and</w:t>
      </w:r>
    </w:p>
    <w:p>
      <w:pPr>
        <w:spacing w:after="0" w:line="3" w:lineRule="exact"/>
        <w:rPr>
          <w:rFonts w:ascii="Times New Roman" w:cs="Times New Roman" w:eastAsia="Times New Roman" w:hAnsi="Times New Roman"/>
          <w:sz w:val="22"/>
          <w:szCs w:val="22"/>
          <w:i w:val="1"/>
          <w:iCs w:val="1"/>
          <w:color w:val="auto"/>
        </w:rPr>
      </w:pPr>
    </w:p>
    <w:p>
      <w:pPr>
        <w:jc w:val="both"/>
        <w:spacing w:after="0" w:line="238"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“toxins,” regardless of quantity or attenuation, that are identified in the List of Items Controlled for this ECCN, including genetic elements or genetically modified organisms for attenuated strains of select biological agents or “toxins” that are excluded from the lists of select biological agents or “toxins” by the Animal and</w:t>
      </w:r>
    </w:p>
    <w:p>
      <w:pPr>
        <w:spacing w:after="0" w:line="15" w:lineRule="exact"/>
        <w:rPr>
          <w:rFonts w:ascii="Times New Roman" w:cs="Times New Roman" w:eastAsia="Times New Roman" w:hAnsi="Times New Roman"/>
          <w:sz w:val="22"/>
          <w:szCs w:val="22"/>
          <w:i w:val="1"/>
          <w:iCs w:val="1"/>
          <w:color w:val="auto"/>
        </w:rPr>
      </w:pPr>
    </w:p>
    <w:p>
      <w:pPr>
        <w:jc w:val="both"/>
        <w:spacing w:after="0" w:line="238"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Plant Health Inspection Service (APHIS), U.S. Department of Agriculture, or the Centers for Disease Control and Prevention (CDC), U.S. Department of Health and Human Services, in accordance with the APHIS regulations in 7 CFR part 331 and 9 CFR part 121 and the CDC regulations in 42 CFR part 73.</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28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280"/>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The Animal and Plant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Health Inspection Service (APHIS), U.S. Department of Agriculture, and the Centers for Disease Control and Prevention (CDC), U.S. Department of Health and Human Services, maintain controls on the possession, use, and transfer within the United States of certain items controlled by this ECCN, including (but not limited to) certain genetic elements, recombinant nucleic acids, and recombinant organisms associated with the agents or toxins in ECCN 1C351 or 1C354</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7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0" w:name="page71"/>
    <w:bookmarkEnd w:id="7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71</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280"/>
        <w:spacing w:after="0" w:line="238" w:lineRule="auto"/>
        <w:rPr>
          <w:sz w:val="20"/>
          <w:szCs w:val="20"/>
          <w:color w:val="auto"/>
        </w:rPr>
      </w:pPr>
      <w:r>
        <w:rPr>
          <w:rFonts w:ascii="Times New Roman" w:cs="Times New Roman" w:eastAsia="Times New Roman" w:hAnsi="Times New Roman"/>
          <w:sz w:val="22"/>
          <w:szCs w:val="22"/>
          <w:color w:val="auto"/>
        </w:rPr>
        <w:t>(for APHIS, see 7 CFR 331.3(c), 9 CFR 121.3(c), and 9 CFR 121.4(c); for CDC, see 42 CFR 73.3(c) and 42 CFR 73.4(c)). (2) See 22 CFR part 121, Category XIV(b), for modified biological agents and biologically derived substances that are subject to the export licensing jurisdiction of the U.S. Department of State, Directorate of Defense Trade Controls.</w:t>
      </w:r>
    </w:p>
    <w:p>
      <w:pPr>
        <w:spacing w:after="0" w:line="260" w:lineRule="exact"/>
        <w:rPr>
          <w:sz w:val="20"/>
          <w:szCs w:val="20"/>
          <w:color w:val="auto"/>
        </w:rPr>
      </w:pPr>
    </w:p>
    <w:p>
      <w:pPr>
        <w:ind w:left="280"/>
        <w:spacing w:after="0"/>
        <w:tabs>
          <w:tab w:leader="none" w:pos="2100" w:val="left"/>
        </w:tabs>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2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a. Any genetically modified organism that contains, or any genetic element that codes for, any of the following:</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Any gene or genes specific to any virus controlled by 1C351.a or .b or 1C354.c;</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a.2. Any gene or genes specific to any bacterium controlled by 1C351.c or 1C354.a, or any fungus controlled by 1C351.e or 1C354.b, and which:</w:t>
      </w:r>
    </w:p>
    <w:p>
      <w:pPr>
        <w:spacing w:after="0" w:line="17" w:lineRule="exact"/>
        <w:rPr>
          <w:sz w:val="20"/>
          <w:szCs w:val="20"/>
          <w:color w:val="auto"/>
        </w:rPr>
      </w:pPr>
    </w:p>
    <w:p>
      <w:pPr>
        <w:jc w:val="both"/>
        <w:ind w:left="280" w:firstLine="360"/>
        <w:spacing w:after="0" w:line="235" w:lineRule="auto"/>
        <w:rPr>
          <w:sz w:val="20"/>
          <w:szCs w:val="20"/>
          <w:color w:val="auto"/>
        </w:rPr>
      </w:pPr>
      <w:r>
        <w:rPr>
          <w:rFonts w:ascii="Times New Roman" w:cs="Times New Roman" w:eastAsia="Times New Roman" w:hAnsi="Times New Roman"/>
          <w:sz w:val="22"/>
          <w:szCs w:val="22"/>
          <w:color w:val="auto"/>
        </w:rPr>
        <w:t xml:space="preserve">a.2.a. In itself or through its transcribed or translated products represents a significant hazard to human, animal or plant health; </w:t>
      </w:r>
      <w:r>
        <w:rPr>
          <w:rFonts w:ascii="Times New Roman" w:cs="Times New Roman" w:eastAsia="Times New Roman" w:hAnsi="Times New Roman"/>
          <w:sz w:val="22"/>
          <w:szCs w:val="22"/>
          <w:i w:val="1"/>
          <w:iCs w:val="1"/>
          <w:color w:val="auto"/>
        </w:rPr>
        <w:t>or</w:t>
      </w:r>
    </w:p>
    <w:p>
      <w:pPr>
        <w:spacing w:after="0" w:line="16" w:lineRule="exact"/>
        <w:rPr>
          <w:sz w:val="20"/>
          <w:szCs w:val="20"/>
          <w:color w:val="auto"/>
        </w:rPr>
      </w:pPr>
    </w:p>
    <w:p>
      <w:pPr>
        <w:jc w:val="both"/>
        <w:ind w:left="280" w:firstLine="360"/>
        <w:spacing w:after="0" w:line="234" w:lineRule="auto"/>
        <w:rPr>
          <w:sz w:val="20"/>
          <w:szCs w:val="20"/>
          <w:color w:val="auto"/>
        </w:rPr>
      </w:pPr>
      <w:r>
        <w:rPr>
          <w:rFonts w:ascii="Times New Roman" w:cs="Times New Roman" w:eastAsia="Times New Roman" w:hAnsi="Times New Roman"/>
          <w:sz w:val="22"/>
          <w:szCs w:val="22"/>
          <w:color w:val="auto"/>
        </w:rPr>
        <w:t xml:space="preserve">a.2.b. Could endow or enhance pathogenicity;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a.3. Any toxins, or their subunits, controlled by 1C351.d.</w:t>
      </w:r>
    </w:p>
    <w:p>
      <w:pPr>
        <w:spacing w:after="0" w:line="200" w:lineRule="exact"/>
        <w:rPr>
          <w:sz w:val="20"/>
          <w:szCs w:val="20"/>
          <w:color w:val="auto"/>
        </w:rPr>
      </w:pPr>
    </w:p>
    <w:p>
      <w:pPr>
        <w:spacing w:after="0" w:line="3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[Reserved].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Technical Notes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306"/>
        <w:spacing w:after="0" w:line="237" w:lineRule="auto"/>
        <w:tabs>
          <w:tab w:leader="none" w:pos="597" w:val="left"/>
        </w:tabs>
        <w:numPr>
          <w:ilvl w:val="0"/>
          <w:numId w:val="14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Genetically modified organisms include organisms in which the nucleic acid sequences have been created or altered by deliberate molecular manipulation.</w:t>
      </w:r>
    </w:p>
    <w:p>
      <w:pPr>
        <w:spacing w:after="0" w:line="265" w:lineRule="exact"/>
        <w:rPr>
          <w:rFonts w:ascii="Times New Roman" w:cs="Times New Roman" w:eastAsia="Times New Roman" w:hAnsi="Times New Roman"/>
          <w:sz w:val="22"/>
          <w:szCs w:val="22"/>
          <w:i w:val="1"/>
          <w:iCs w:val="1"/>
          <w:color w:val="auto"/>
        </w:rPr>
      </w:pPr>
    </w:p>
    <w:p>
      <w:pPr>
        <w:jc w:val="both"/>
        <w:ind w:firstLine="306"/>
        <w:spacing w:after="0" w:line="238" w:lineRule="auto"/>
        <w:tabs>
          <w:tab w:leader="none" w:pos="599" w:val="left"/>
        </w:tabs>
        <w:numPr>
          <w:ilvl w:val="0"/>
          <w:numId w:val="14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“Genetic elements” include, inter alia, chromosomes, genomes, plasmids, transposons, vectors, and inactivated organisms containing recoverable nucleic acid fragments, whether genetically modified or unmodified, or chemically synthesized in whole or in part. For the purposes of this ECCN 1C353, nucleic acids</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from an inactivated organism, virus, or sample are considered to be ‘recoverable’ if the inactivation and preparation of the material is intended or known to facilitate isolation, purification, amplification, detection, or identification of nucleic acids.</w:t>
      </w:r>
    </w:p>
    <w:p>
      <w:pPr>
        <w:spacing w:after="0" w:line="266" w:lineRule="exact"/>
        <w:rPr>
          <w:sz w:val="20"/>
          <w:szCs w:val="20"/>
          <w:color w:val="auto"/>
        </w:rPr>
      </w:pPr>
    </w:p>
    <w:p>
      <w:pPr>
        <w:jc w:val="both"/>
        <w:ind w:firstLine="307"/>
        <w:spacing w:after="0" w:line="238" w:lineRule="auto"/>
        <w:tabs>
          <w:tab w:leader="none" w:pos="552" w:val="left"/>
        </w:tabs>
        <w:numPr>
          <w:ilvl w:val="0"/>
          <w:numId w:val="14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ECCN does not control nucleic acid sequences of shiga toxin producing Escherichia coli of serogroups O26, O45, O103, O104, O111, O121, O145, O157, and other shiga toxin producing serogroups, other than those genetic elements coding for shiga toxin, or for its subunits</w:t>
      </w:r>
      <w:r>
        <w:rPr>
          <w:rFonts w:ascii="Times New Roman" w:cs="Times New Roman" w:eastAsia="Times New Roman" w:hAnsi="Times New Roman"/>
          <w:sz w:val="22"/>
          <w:szCs w:val="22"/>
          <w:color w:val="auto"/>
        </w:rPr>
        <w:t>.</w:t>
      </w:r>
    </w:p>
    <w:p>
      <w:pPr>
        <w:spacing w:after="0" w:line="268" w:lineRule="exact"/>
        <w:rPr>
          <w:rFonts w:ascii="Times New Roman" w:cs="Times New Roman" w:eastAsia="Times New Roman" w:hAnsi="Times New Roman"/>
          <w:sz w:val="22"/>
          <w:szCs w:val="22"/>
          <w:i w:val="1"/>
          <w:iCs w:val="1"/>
          <w:color w:val="auto"/>
        </w:rPr>
      </w:pPr>
    </w:p>
    <w:p>
      <w:pPr>
        <w:jc w:val="both"/>
        <w:ind w:firstLine="307"/>
        <w:spacing w:after="0" w:line="251" w:lineRule="auto"/>
        <w:tabs>
          <w:tab w:leader="none" w:pos="636" w:val="left"/>
        </w:tabs>
        <w:numPr>
          <w:ilvl w:val="0"/>
          <w:numId w:val="144"/>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‘Endow or enhance pathogenicity’ is defined as when the insertion or integration of the nucleic acid sequence or sequences is/are likely to enable or increase a recipient organism’s ability to be used to deliberately cause disease or death. This might include alterations to, inter alia: virulence, transmissibility, stability, route of infection, host range, reproducibility, ability to evade or suppress host immunity, resistance to medical countermeasures, or detectability.</w:t>
      </w:r>
    </w:p>
    <w:p>
      <w:pPr>
        <w:spacing w:after="0" w:line="200" w:lineRule="exact"/>
        <w:rPr>
          <w:sz w:val="20"/>
          <w:szCs w:val="20"/>
          <w:color w:val="auto"/>
        </w:rPr>
      </w:pPr>
    </w:p>
    <w:p>
      <w:pPr>
        <w:spacing w:after="0" w:line="31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1C354 Plant pathogens,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72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CB,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500" w:type="dxa"/>
            <w:vAlign w:val="bottom"/>
            <w:tcBorders>
              <w:top w:val="single" w:sz="8" w:color="auto"/>
              <w:left w:val="single" w:sz="8" w:color="auto"/>
              <w:right w:val="single" w:sz="8" w:color="auto"/>
            </w:tcBorders>
          </w:tcPr>
          <w:p>
            <w:pPr>
              <w:spacing w:after="0"/>
              <w:rPr>
                <w:sz w:val="22"/>
                <w:szCs w:val="22"/>
                <w:color w:val="auto"/>
              </w:rPr>
            </w:pPr>
          </w:p>
        </w:tc>
        <w:tc>
          <w:tcPr>
            <w:tcW w:w="17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0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4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500" w:type="dxa"/>
            <w:vAlign w:val="bottom"/>
            <w:tcBorders>
              <w:left w:val="single" w:sz="8" w:color="auto"/>
              <w:bottom w:val="single" w:sz="8" w:color="auto"/>
              <w:right w:val="single" w:sz="8" w:color="auto"/>
            </w:tcBorders>
          </w:tcPr>
          <w:p>
            <w:pPr>
              <w:spacing w:after="0"/>
              <w:rPr>
                <w:sz w:val="22"/>
                <w:szCs w:val="22"/>
                <w:color w:val="auto"/>
              </w:rPr>
            </w:pPr>
          </w:p>
        </w:tc>
        <w:tc>
          <w:tcPr>
            <w:tcW w:w="17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0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CB applies to entire entry</w:t>
            </w:r>
          </w:p>
        </w:tc>
        <w:tc>
          <w:tcPr>
            <w:tcW w:w="17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CB Column 1</w:t>
            </w:r>
          </w:p>
        </w:tc>
      </w:tr>
      <w:tr>
        <w:trPr>
          <w:trHeight w:val="243"/>
        </w:trPr>
        <w:tc>
          <w:tcPr>
            <w:tcW w:w="250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7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 Note:</w:t>
      </w:r>
    </w:p>
    <w:p>
      <w:pPr>
        <w:spacing w:after="0" w:line="266" w:lineRule="exact"/>
        <w:rPr>
          <w:sz w:val="20"/>
          <w:szCs w:val="20"/>
          <w:color w:val="auto"/>
        </w:rPr>
      </w:pPr>
    </w:p>
    <w:p>
      <w:pPr>
        <w:ind w:firstLine="307"/>
        <w:spacing w:after="0" w:line="234" w:lineRule="auto"/>
        <w:tabs>
          <w:tab w:leader="none" w:pos="648" w:val="left"/>
        </w:tabs>
        <w:numPr>
          <w:ilvl w:val="0"/>
          <w:numId w:val="14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All vaccines are excluded from the scope of this ECCN. See ECCN 1C991 for vaccines.</w:t>
      </w:r>
    </w:p>
    <w:p>
      <w:pPr>
        <w:ind w:left="640" w:hanging="333"/>
        <w:spacing w:after="0"/>
        <w:tabs>
          <w:tab w:leader="none" w:pos="640" w:val="left"/>
        </w:tabs>
        <w:numPr>
          <w:ilvl w:val="0"/>
          <w:numId w:val="14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Unless specified elsewhere in this ECCN</w:t>
      </w:r>
    </w:p>
    <w:p>
      <w:pPr>
        <w:spacing w:after="0" w:line="11" w:lineRule="exact"/>
        <w:rPr>
          <w:rFonts w:ascii="Times New Roman" w:cs="Times New Roman" w:eastAsia="Times New Roman" w:hAnsi="Times New Roman"/>
          <w:sz w:val="22"/>
          <w:szCs w:val="22"/>
          <w:i w:val="1"/>
          <w:iCs w:val="1"/>
          <w:color w:val="auto"/>
        </w:rPr>
      </w:pPr>
    </w:p>
    <w:p>
      <w:pPr>
        <w:jc w:val="both"/>
        <w:spacing w:after="0" w:line="251"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1"/>
          <w:szCs w:val="21"/>
          <w:i w:val="1"/>
          <w:iCs w:val="1"/>
          <w:color w:val="auto"/>
        </w:rPr>
        <w:t>1C354 (e.g., in License Requirement Note 1), this ECCN controls all biological agents, regardless of quantity or attenuation, that are identified in the List of Items Controlled for this ECCN, including small quantities or attenuated strains of</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6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1" w:name="page72"/>
    <w:bookmarkEnd w:id="7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72</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select biological agents that are excluded from the list of PPQ select agents and “toxins” by the Animal and Plant Health Inspection Service (APHIS), U.S. Department of Agriculture, in accordance with their regulations in 7 CFR part 331.</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The Animal and Plant</w:t>
      </w:r>
    </w:p>
    <w:p>
      <w:pPr>
        <w:ind w:left="360"/>
        <w:spacing w:after="0"/>
        <w:tabs>
          <w:tab w:leader="none" w:pos="1060" w:val="left"/>
          <w:tab w:leader="none" w:pos="2120" w:val="left"/>
          <w:tab w:leader="none" w:pos="2920" w:val="left"/>
          <w:tab w:leader="none" w:pos="3900" w:val="left"/>
        </w:tabs>
        <w:rPr>
          <w:sz w:val="20"/>
          <w:szCs w:val="20"/>
          <w:color w:val="auto"/>
        </w:rPr>
      </w:pPr>
      <w:r>
        <w:rPr>
          <w:rFonts w:ascii="Times New Roman" w:cs="Times New Roman" w:eastAsia="Times New Roman" w:hAnsi="Times New Roman"/>
          <w:sz w:val="22"/>
          <w:szCs w:val="22"/>
          <w:color w:val="auto"/>
        </w:rPr>
        <w:t>Health</w:t>
        <w:tab/>
        <w:t>Inspection</w:t>
        <w:tab/>
        <w:t>Service</w:t>
        <w:tab/>
        <w:t>(APHIS),</w:t>
        <w:tab/>
        <w:t>U.S.</w:t>
      </w:r>
    </w:p>
    <w:p>
      <w:pPr>
        <w:ind w:left="360"/>
        <w:spacing w:after="0"/>
        <w:tabs>
          <w:tab w:leader="none" w:pos="1640" w:val="left"/>
          <w:tab w:leader="none" w:pos="2100" w:val="left"/>
          <w:tab w:leader="none" w:pos="3440" w:val="left"/>
        </w:tabs>
        <w:rPr>
          <w:sz w:val="20"/>
          <w:szCs w:val="20"/>
          <w:color w:val="auto"/>
        </w:rPr>
      </w:pPr>
      <w:r>
        <w:rPr>
          <w:rFonts w:ascii="Times New Roman" w:cs="Times New Roman" w:eastAsia="Times New Roman" w:hAnsi="Times New Roman"/>
          <w:sz w:val="22"/>
          <w:szCs w:val="22"/>
          <w:color w:val="auto"/>
        </w:rPr>
        <w:t>Department</w:t>
        <w:tab/>
        <w:t>of</w:t>
        <w:tab/>
        <w:t>Agriculture,</w:t>
        <w:tab/>
        <w:t>maintains</w:t>
      </w:r>
    </w:p>
    <w:p>
      <w:pPr>
        <w:ind w:left="360"/>
        <w:spacing w:after="0"/>
        <w:rPr>
          <w:sz w:val="20"/>
          <w:szCs w:val="20"/>
          <w:color w:val="auto"/>
        </w:rPr>
      </w:pPr>
      <w:r>
        <w:rPr>
          <w:rFonts w:ascii="Times New Roman" w:cs="Times New Roman" w:eastAsia="Times New Roman" w:hAnsi="Times New Roman"/>
          <w:sz w:val="22"/>
          <w:szCs w:val="22"/>
          <w:color w:val="auto"/>
        </w:rPr>
        <w:t>controls on the possession, use, and transfer</w:t>
      </w:r>
    </w:p>
    <w:p>
      <w:pPr>
        <w:ind w:left="360"/>
        <w:spacing w:after="0"/>
        <w:rPr>
          <w:sz w:val="20"/>
          <w:szCs w:val="20"/>
          <w:color w:val="auto"/>
        </w:rPr>
      </w:pPr>
      <w:r>
        <w:rPr>
          <w:rFonts w:ascii="Times New Roman" w:cs="Times New Roman" w:eastAsia="Times New Roman" w:hAnsi="Times New Roman"/>
          <w:sz w:val="22"/>
          <w:szCs w:val="22"/>
          <w:color w:val="auto"/>
        </w:rPr>
        <w:t>within  the  United  States  of  certain  items</w:t>
      </w:r>
    </w:p>
    <w:p>
      <w:pPr>
        <w:ind w:left="360"/>
        <w:spacing w:after="0"/>
        <w:tabs>
          <w:tab w:leader="none" w:pos="1400" w:val="left"/>
          <w:tab w:leader="none" w:pos="1800" w:val="left"/>
          <w:tab w:leader="none" w:pos="2300" w:val="left"/>
          <w:tab w:leader="none" w:pos="3060" w:val="left"/>
          <w:tab w:leader="none" w:pos="3600" w:val="left"/>
          <w:tab w:leader="none" w:pos="3880" w:val="left"/>
        </w:tabs>
        <w:rPr>
          <w:sz w:val="20"/>
          <w:szCs w:val="20"/>
          <w:color w:val="auto"/>
        </w:rPr>
      </w:pPr>
      <w:r>
        <w:rPr>
          <w:rFonts w:ascii="Times New Roman" w:cs="Times New Roman" w:eastAsia="Times New Roman" w:hAnsi="Times New Roman"/>
          <w:sz w:val="22"/>
          <w:szCs w:val="22"/>
          <w:color w:val="auto"/>
        </w:rPr>
        <w:t>controlled</w:t>
        <w:tab/>
        <w:t>by</w:t>
        <w:tab/>
        <w:t>this</w:t>
        <w:tab/>
        <w:t>ECCN</w:t>
        <w:tab/>
        <w:t>(see</w:t>
        <w:tab/>
        <w:t>7</w:t>
        <w:tab/>
        <w:t>CFR</w:t>
      </w:r>
    </w:p>
    <w:p>
      <w:pPr>
        <w:ind w:left="360"/>
        <w:spacing w:after="0"/>
        <w:tabs>
          <w:tab w:leader="none" w:pos="1300" w:val="left"/>
          <w:tab w:leader="none" w:pos="1580" w:val="left"/>
          <w:tab w:leader="none" w:pos="2160" w:val="left"/>
          <w:tab w:leader="none" w:pos="3120" w:val="left"/>
          <w:tab w:leader="none" w:pos="3600" w:val="left"/>
          <w:tab w:leader="none" w:pos="3880" w:val="left"/>
        </w:tabs>
        <w:rPr>
          <w:sz w:val="20"/>
          <w:szCs w:val="20"/>
          <w:color w:val="auto"/>
        </w:rPr>
      </w:pPr>
      <w:r>
        <w:rPr>
          <w:rFonts w:ascii="Times New Roman" w:cs="Times New Roman" w:eastAsia="Times New Roman" w:hAnsi="Times New Roman"/>
          <w:sz w:val="22"/>
          <w:szCs w:val="22"/>
          <w:color w:val="auto"/>
        </w:rPr>
        <w:t>331.3(c),</w:t>
        <w:tab/>
        <w:t>9</w:t>
        <w:tab/>
        <w:t>CFR</w:t>
        <w:tab/>
        <w:t>121.3(c),</w:t>
        <w:tab/>
        <w:t>and</w:t>
        <w:tab/>
        <w:t>9</w:t>
        <w:tab/>
        <w:t>CFR</w:t>
      </w:r>
    </w:p>
    <w:p>
      <w:pPr>
        <w:ind w:left="360"/>
        <w:spacing w:after="0"/>
        <w:rPr>
          <w:sz w:val="20"/>
          <w:szCs w:val="20"/>
          <w:color w:val="auto"/>
        </w:rPr>
      </w:pPr>
      <w:r>
        <w:rPr>
          <w:rFonts w:ascii="Times New Roman" w:cs="Times New Roman" w:eastAsia="Times New Roman" w:hAnsi="Times New Roman"/>
          <w:sz w:val="22"/>
          <w:szCs w:val="22"/>
          <w:color w:val="auto"/>
        </w:rPr>
        <w:t>121.4(c)).</w:t>
      </w:r>
    </w:p>
    <w:p>
      <w:pPr>
        <w:spacing w:after="0" w:line="12" w:lineRule="exact"/>
        <w:rPr>
          <w:sz w:val="20"/>
          <w:szCs w:val="20"/>
          <w:color w:val="auto"/>
        </w:rPr>
      </w:pPr>
    </w:p>
    <w:p>
      <w:pPr>
        <w:jc w:val="both"/>
        <w:ind w:left="360"/>
        <w:spacing w:after="0" w:line="238" w:lineRule="auto"/>
        <w:tabs>
          <w:tab w:leader="none" w:pos="690" w:val="left"/>
        </w:tabs>
        <w:numPr>
          <w:ilvl w:val="0"/>
          <w:numId w:val="1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22 CFR part 121, Category XIV(b), for modified biological agents and biologically derived substances that are subject to the export licensing jurisdiction of the U.S. Department of State, Directorate of Defense Trade Controls.</w:t>
      </w:r>
    </w:p>
    <w:p>
      <w:pPr>
        <w:spacing w:after="0" w:line="25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2"/>
          <w:szCs w:val="22"/>
          <w:color w:val="auto"/>
        </w:rPr>
        <w:t>a.</w:t>
        <w:tab/>
        <w:t>Bacteria, as follows:</w:t>
      </w:r>
    </w:p>
    <w:p>
      <w:pPr>
        <w:spacing w:after="0" w:line="253"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a.1.</w:t>
      </w:r>
      <w:r>
        <w:rPr>
          <w:sz w:val="20"/>
          <w:szCs w:val="20"/>
          <w:color w:val="auto"/>
        </w:rPr>
        <w:tab/>
      </w:r>
      <w:r>
        <w:rPr>
          <w:rFonts w:ascii="Times New Roman" w:cs="Times New Roman" w:eastAsia="Times New Roman" w:hAnsi="Times New Roman"/>
          <w:sz w:val="22"/>
          <w:szCs w:val="22"/>
          <w:i w:val="1"/>
          <w:iCs w:val="1"/>
          <w:color w:val="auto"/>
        </w:rPr>
        <w:t>Xanthomonas albilineans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 xml:space="preserve">a.2. </w:t>
      </w:r>
      <w:r>
        <w:rPr>
          <w:rFonts w:ascii="Times New Roman" w:cs="Times New Roman" w:eastAsia="Times New Roman" w:hAnsi="Times New Roman"/>
          <w:sz w:val="22"/>
          <w:szCs w:val="22"/>
          <w:i w:val="1"/>
          <w:iCs w:val="1"/>
          <w:color w:val="auto"/>
        </w:rPr>
        <w:t>Xanthomonas axonopodis</w:t>
      </w:r>
      <w:r>
        <w:rPr>
          <w:rFonts w:ascii="Times New Roman" w:cs="Times New Roman" w:eastAsia="Times New Roman" w:hAnsi="Times New Roman"/>
          <w:sz w:val="22"/>
          <w:szCs w:val="22"/>
          <w:color w:val="auto"/>
        </w:rPr>
        <w:t xml:space="preserve"> pv. </w:t>
      </w:r>
      <w:r>
        <w:rPr>
          <w:rFonts w:ascii="Times New Roman" w:cs="Times New Roman" w:eastAsia="Times New Roman" w:hAnsi="Times New Roman"/>
          <w:sz w:val="22"/>
          <w:szCs w:val="22"/>
          <w:i w:val="1"/>
          <w:iCs w:val="1"/>
          <w:color w:val="auto"/>
        </w:rPr>
        <w:t>citri</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Xanthomonas campestris</w:t>
      </w:r>
      <w:r>
        <w:rPr>
          <w:rFonts w:ascii="Times New Roman" w:cs="Times New Roman" w:eastAsia="Times New Roman" w:hAnsi="Times New Roman"/>
          <w:sz w:val="22"/>
          <w:szCs w:val="22"/>
          <w:color w:val="auto"/>
        </w:rPr>
        <w:t xml:space="preserve"> pv. </w:t>
      </w:r>
      <w:r>
        <w:rPr>
          <w:rFonts w:ascii="Times New Roman" w:cs="Times New Roman" w:eastAsia="Times New Roman" w:hAnsi="Times New Roman"/>
          <w:sz w:val="22"/>
          <w:szCs w:val="22"/>
          <w:i w:val="1"/>
          <w:iCs w:val="1"/>
          <w:color w:val="auto"/>
        </w:rPr>
        <w:t>citri</w:t>
      </w:r>
      <w:r>
        <w:rPr>
          <w:rFonts w:ascii="Times New Roman" w:cs="Times New Roman" w:eastAsia="Times New Roman" w:hAnsi="Times New Roman"/>
          <w:sz w:val="22"/>
          <w:szCs w:val="22"/>
          <w:color w:val="auto"/>
        </w:rPr>
        <w:t xml:space="preserve"> A) (</w:t>
      </w:r>
      <w:r>
        <w:rPr>
          <w:rFonts w:ascii="Times New Roman" w:cs="Times New Roman" w:eastAsia="Times New Roman" w:hAnsi="Times New Roman"/>
          <w:sz w:val="22"/>
          <w:szCs w:val="22"/>
          <w:i w:val="1"/>
          <w:iCs w:val="1"/>
          <w:color w:val="auto"/>
        </w:rPr>
        <w:t>Xanthomonas campestris</w:t>
      </w:r>
      <w:r>
        <w:rPr>
          <w:rFonts w:ascii="Times New Roman" w:cs="Times New Roman" w:eastAsia="Times New Roman" w:hAnsi="Times New Roman"/>
          <w:sz w:val="22"/>
          <w:szCs w:val="22"/>
          <w:color w:val="auto"/>
        </w:rPr>
        <w:t xml:space="preserve"> pv</w:t>
      </w:r>
      <w:r>
        <w:rPr>
          <w:rFonts w:ascii="Times New Roman" w:cs="Times New Roman" w:eastAsia="Times New Roman" w:hAnsi="Times New Roman"/>
          <w:sz w:val="22"/>
          <w:szCs w:val="22"/>
          <w:i w:val="1"/>
          <w:iCs w:val="1"/>
          <w:color w:val="auto"/>
        </w:rPr>
        <w:t>. citri</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ind w:firstLine="306"/>
        <w:spacing w:after="0" w:line="238" w:lineRule="auto"/>
        <w:rPr>
          <w:sz w:val="20"/>
          <w:szCs w:val="20"/>
          <w:color w:val="auto"/>
        </w:rPr>
      </w:pPr>
      <w:r>
        <w:rPr>
          <w:rFonts w:ascii="Times New Roman" w:cs="Times New Roman" w:eastAsia="Times New Roman" w:hAnsi="Times New Roman"/>
          <w:sz w:val="22"/>
          <w:szCs w:val="22"/>
          <w:color w:val="auto"/>
        </w:rPr>
        <w:t xml:space="preserve">a.3. </w:t>
      </w:r>
      <w:r>
        <w:rPr>
          <w:rFonts w:ascii="Times New Roman" w:cs="Times New Roman" w:eastAsia="Times New Roman" w:hAnsi="Times New Roman"/>
          <w:sz w:val="22"/>
          <w:szCs w:val="22"/>
          <w:i w:val="1"/>
          <w:iCs w:val="1"/>
          <w:color w:val="auto"/>
        </w:rPr>
        <w:t>Xanthomonas oryzae</w:t>
      </w:r>
      <w:r>
        <w:rPr>
          <w:rFonts w:ascii="Times New Roman" w:cs="Times New Roman" w:eastAsia="Times New Roman" w:hAnsi="Times New Roman"/>
          <w:sz w:val="22"/>
          <w:szCs w:val="22"/>
          <w:color w:val="auto"/>
        </w:rPr>
        <w:t xml:space="preserve"> [this species of proteobacteria is identified on the APHIS “select agents” list (see Related Controls paragraph for this ECCN), but only the </w:t>
      </w:r>
      <w:r>
        <w:rPr>
          <w:rFonts w:ascii="Times New Roman" w:cs="Times New Roman" w:eastAsia="Times New Roman" w:hAnsi="Times New Roman"/>
          <w:sz w:val="22"/>
          <w:szCs w:val="22"/>
          <w:i w:val="1"/>
          <w:iCs w:val="1"/>
          <w:color w:val="auto"/>
        </w:rPr>
        <w:t>pathovar Xanthomonas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 xml:space="preserve">oryzae </w:t>
      </w:r>
      <w:r>
        <w:rPr>
          <w:rFonts w:ascii="Times New Roman" w:cs="Times New Roman" w:eastAsia="Times New Roman" w:hAnsi="Times New Roman"/>
          <w:sz w:val="22"/>
          <w:szCs w:val="22"/>
          <w:color w:val="auto"/>
        </w:rPr>
        <w:t>pv.</w:t>
      </w:r>
      <w:r>
        <w:rPr>
          <w:rFonts w:ascii="Times New Roman" w:cs="Times New Roman" w:eastAsia="Times New Roman" w:hAnsi="Times New Roman"/>
          <w:sz w:val="22"/>
          <w:szCs w:val="22"/>
          <w:i w:val="1"/>
          <w:iCs w:val="1"/>
          <w:color w:val="auto"/>
        </w:rPr>
        <w:t xml:space="preserve"> oryzae </w:t>
      </w:r>
      <w:r>
        <w:rPr>
          <w:rFonts w:ascii="Times New Roman" w:cs="Times New Roman" w:eastAsia="Times New Roman" w:hAnsi="Times New Roman"/>
          <w:sz w:val="22"/>
          <w:szCs w:val="22"/>
          <w:color w:val="auto"/>
        </w:rPr>
        <w:t>(syn.</w:t>
      </w:r>
      <w:r>
        <w:rPr>
          <w:rFonts w:ascii="Times New Roman" w:cs="Times New Roman" w:eastAsia="Times New Roman" w:hAnsi="Times New Roman"/>
          <w:sz w:val="22"/>
          <w:szCs w:val="22"/>
          <w:i w:val="1"/>
          <w:iCs w:val="1"/>
          <w:color w:val="auto"/>
        </w:rPr>
        <w:t xml:space="preserve"> Pseudomonas campestris </w:t>
      </w:r>
      <w:r>
        <w:rPr>
          <w:rFonts w:ascii="Times New Roman" w:cs="Times New Roman" w:eastAsia="Times New Roman" w:hAnsi="Times New Roman"/>
          <w:sz w:val="22"/>
          <w:szCs w:val="22"/>
          <w:color w:val="auto"/>
        </w:rPr>
        <w:t xml:space="preserve">pv. </w:t>
      </w:r>
      <w:r>
        <w:rPr>
          <w:rFonts w:ascii="Times New Roman" w:cs="Times New Roman" w:eastAsia="Times New Roman" w:hAnsi="Times New Roman"/>
          <w:sz w:val="22"/>
          <w:szCs w:val="22"/>
          <w:i w:val="1"/>
          <w:iCs w:val="1"/>
          <w:color w:val="auto"/>
        </w:rPr>
        <w:t>oryzae</w:t>
      </w:r>
      <w:r>
        <w:rPr>
          <w:rFonts w:ascii="Times New Roman" w:cs="Times New Roman" w:eastAsia="Times New Roman" w:hAnsi="Times New Roman"/>
          <w:sz w:val="22"/>
          <w:szCs w:val="22"/>
          <w:color w:val="auto"/>
        </w:rPr>
        <w:t>) is identified on the Australia Group (AG) “List of Plant Pathogens for Export Control”];</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300"/>
        <w:spacing w:after="0"/>
        <w:tabs>
          <w:tab w:leader="none" w:pos="840" w:val="left"/>
        </w:tabs>
        <w:rPr>
          <w:sz w:val="20"/>
          <w:szCs w:val="20"/>
          <w:color w:val="auto"/>
        </w:rPr>
      </w:pPr>
      <w:r>
        <w:rPr>
          <w:rFonts w:ascii="Times New Roman" w:cs="Times New Roman" w:eastAsia="Times New Roman" w:hAnsi="Times New Roman"/>
          <w:sz w:val="22"/>
          <w:szCs w:val="22"/>
          <w:color w:val="auto"/>
        </w:rPr>
        <w:t>a.4.</w:t>
      </w:r>
      <w:r>
        <w:rPr>
          <w:sz w:val="20"/>
          <w:szCs w:val="20"/>
          <w:color w:val="auto"/>
        </w:rPr>
        <w:tab/>
      </w:r>
      <w:r>
        <w:rPr>
          <w:rFonts w:ascii="Times New Roman" w:cs="Times New Roman" w:eastAsia="Times New Roman" w:hAnsi="Times New Roman"/>
          <w:sz w:val="22"/>
          <w:szCs w:val="22"/>
          <w:i w:val="1"/>
          <w:iCs w:val="1"/>
          <w:color w:val="auto"/>
        </w:rPr>
        <w:t xml:space="preserve">Clavibacter  michiganensis  </w:t>
      </w:r>
      <w:r>
        <w:rPr>
          <w:rFonts w:ascii="Times New Roman" w:cs="Times New Roman" w:eastAsia="Times New Roman" w:hAnsi="Times New Roman"/>
          <w:sz w:val="22"/>
          <w:szCs w:val="22"/>
          <w:color w:val="auto"/>
        </w:rPr>
        <w:t>subspecies</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sepedonicus </w:t>
      </w:r>
      <w:r>
        <w:rPr>
          <w:rFonts w:ascii="Times New Roman" w:cs="Times New Roman" w:eastAsia="Times New Roman" w:hAnsi="Times New Roman"/>
          <w:sz w:val="22"/>
          <w:szCs w:val="22"/>
          <w:color w:val="auto"/>
        </w:rPr>
        <w:t>(syn.</w:t>
      </w:r>
      <w:r>
        <w:rPr>
          <w:rFonts w:ascii="Times New Roman" w:cs="Times New Roman" w:eastAsia="Times New Roman" w:hAnsi="Times New Roman"/>
          <w:sz w:val="22"/>
          <w:szCs w:val="22"/>
          <w:i w:val="1"/>
          <w:iCs w:val="1"/>
          <w:color w:val="auto"/>
        </w:rPr>
        <w:t xml:space="preserve"> Corynebacterium michiganensis </w:t>
      </w:r>
      <w:r>
        <w:rPr>
          <w:rFonts w:ascii="Times New Roman" w:cs="Times New Roman" w:eastAsia="Times New Roman" w:hAnsi="Times New Roman"/>
          <w:sz w:val="22"/>
          <w:szCs w:val="22"/>
          <w:color w:val="auto"/>
        </w:rPr>
        <w:t>subspecies</w:t>
      </w:r>
      <w:r>
        <w:rPr>
          <w:rFonts w:ascii="Times New Roman" w:cs="Times New Roman" w:eastAsia="Times New Roman" w:hAnsi="Times New Roman"/>
          <w:sz w:val="22"/>
          <w:szCs w:val="22"/>
          <w:i w:val="1"/>
          <w:iCs w:val="1"/>
          <w:color w:val="auto"/>
        </w:rPr>
        <w:t xml:space="preserve"> sepedonicum </w:t>
      </w:r>
      <w:r>
        <w:rPr>
          <w:rFonts w:ascii="Times New Roman" w:cs="Times New Roman" w:eastAsia="Times New Roman" w:hAnsi="Times New Roman"/>
          <w:sz w:val="22"/>
          <w:szCs w:val="22"/>
          <w:color w:val="auto"/>
        </w:rPr>
        <w:t>or</w:t>
      </w:r>
      <w:r>
        <w:rPr>
          <w:rFonts w:ascii="Times New Roman" w:cs="Times New Roman" w:eastAsia="Times New Roman" w:hAnsi="Times New Roman"/>
          <w:sz w:val="22"/>
          <w:szCs w:val="22"/>
          <w:i w:val="1"/>
          <w:iCs w:val="1"/>
          <w:color w:val="auto"/>
        </w:rPr>
        <w:t xml:space="preserve"> Corynebacterium sepedonicum</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680" w:firstLine="306"/>
        <w:spacing w:after="0" w:line="234" w:lineRule="auto"/>
        <w:rPr>
          <w:sz w:val="20"/>
          <w:szCs w:val="20"/>
          <w:color w:val="auto"/>
        </w:rPr>
      </w:pPr>
      <w:r>
        <w:rPr>
          <w:rFonts w:ascii="Times New Roman" w:cs="Times New Roman" w:eastAsia="Times New Roman" w:hAnsi="Times New Roman"/>
          <w:sz w:val="22"/>
          <w:szCs w:val="22"/>
          <w:color w:val="auto"/>
        </w:rPr>
        <w:t xml:space="preserve">a.5. </w:t>
      </w:r>
      <w:r>
        <w:rPr>
          <w:rFonts w:ascii="Times New Roman" w:cs="Times New Roman" w:eastAsia="Times New Roman" w:hAnsi="Times New Roman"/>
          <w:sz w:val="22"/>
          <w:szCs w:val="22"/>
          <w:i w:val="1"/>
          <w:iCs w:val="1"/>
          <w:color w:val="auto"/>
        </w:rPr>
        <w:t>Ralstonia solanacearum</w:t>
      </w:r>
      <w:r>
        <w:rPr>
          <w:rFonts w:ascii="Times New Roman" w:cs="Times New Roman" w:eastAsia="Times New Roman" w:hAnsi="Times New Roman"/>
          <w:sz w:val="22"/>
          <w:szCs w:val="22"/>
          <w:color w:val="auto"/>
        </w:rPr>
        <w:t>, race 3, biovar 2;</w:t>
      </w:r>
    </w:p>
    <w:p>
      <w:pPr>
        <w:spacing w:after="0" w:line="266" w:lineRule="exact"/>
        <w:rPr>
          <w:sz w:val="20"/>
          <w:szCs w:val="20"/>
          <w:color w:val="auto"/>
        </w:rPr>
      </w:pPr>
    </w:p>
    <w:p>
      <w:pPr>
        <w:jc w:val="both"/>
        <w:ind w:firstLine="306"/>
        <w:spacing w:after="0"/>
        <w:rPr>
          <w:sz w:val="20"/>
          <w:szCs w:val="20"/>
          <w:color w:val="auto"/>
        </w:rPr>
      </w:pPr>
      <w:r>
        <w:rPr>
          <w:rFonts w:ascii="Times New Roman" w:cs="Times New Roman" w:eastAsia="Times New Roman" w:hAnsi="Times New Roman"/>
          <w:sz w:val="22"/>
          <w:szCs w:val="22"/>
          <w:color w:val="auto"/>
        </w:rPr>
        <w:t xml:space="preserve">a.6. </w:t>
      </w:r>
      <w:r>
        <w:rPr>
          <w:rFonts w:ascii="Times New Roman" w:cs="Times New Roman" w:eastAsia="Times New Roman" w:hAnsi="Times New Roman"/>
          <w:sz w:val="22"/>
          <w:szCs w:val="22"/>
          <w:i w:val="1"/>
          <w:iCs w:val="1"/>
          <w:color w:val="auto"/>
        </w:rPr>
        <w:t>Raythayibactor toxicus</w:t>
      </w:r>
      <w:r>
        <w:rPr>
          <w:rFonts w:ascii="Times New Roman" w:cs="Times New Roman" w:eastAsia="Times New Roman" w:hAnsi="Times New Roman"/>
          <w:sz w:val="22"/>
          <w:szCs w:val="22"/>
          <w:color w:val="auto"/>
        </w:rPr>
        <w:t xml:space="preserve"> [this bacterium is identified on the APHIS “select agents” list (see the Related Controls paragraph for this ECCN), but is not identified on the Australia Group (AG) “List of Plant Pathogens for Export Control”].</w:t>
      </w:r>
    </w:p>
    <w:p>
      <w:pPr>
        <w:spacing w:after="0" w:line="200" w:lineRule="exact"/>
        <w:rPr>
          <w:sz w:val="20"/>
          <w:szCs w:val="20"/>
          <w:color w:val="auto"/>
        </w:rPr>
      </w:pPr>
    </w:p>
    <w:p>
      <w:pPr>
        <w:spacing w:after="0" w:line="29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Fungi, as follows: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 xml:space="preserve">b.1. </w:t>
      </w:r>
      <w:r>
        <w:rPr>
          <w:rFonts w:ascii="Times New Roman" w:cs="Times New Roman" w:eastAsia="Times New Roman" w:hAnsi="Times New Roman"/>
          <w:sz w:val="22"/>
          <w:szCs w:val="22"/>
          <w:i w:val="1"/>
          <w:iCs w:val="1"/>
          <w:color w:val="auto"/>
        </w:rPr>
        <w:t>Colletotrichum kahawae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Colletotrichum</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 xml:space="preserve">coffeanum </w:t>
      </w:r>
      <w:r>
        <w:rPr>
          <w:rFonts w:ascii="Times New Roman" w:cs="Times New Roman" w:eastAsia="Times New Roman" w:hAnsi="Times New Roman"/>
          <w:sz w:val="22"/>
          <w:szCs w:val="22"/>
          <w:color w:val="auto"/>
        </w:rPr>
        <w:t>var.</w:t>
      </w:r>
      <w:r>
        <w:rPr>
          <w:rFonts w:ascii="Times New Roman" w:cs="Times New Roman" w:eastAsia="Times New Roman" w:hAnsi="Times New Roman"/>
          <w:sz w:val="22"/>
          <w:szCs w:val="22"/>
          <w:i w:val="1"/>
          <w:iCs w:val="1"/>
          <w:color w:val="auto"/>
        </w:rPr>
        <w:t xml:space="preserve"> virulans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right="1220" w:firstLine="306"/>
        <w:spacing w:after="0" w:line="234" w:lineRule="auto"/>
        <w:rPr>
          <w:sz w:val="20"/>
          <w:szCs w:val="20"/>
          <w:color w:val="auto"/>
        </w:rPr>
      </w:pPr>
      <w:r>
        <w:rPr>
          <w:rFonts w:ascii="Times New Roman" w:cs="Times New Roman" w:eastAsia="Times New Roman" w:hAnsi="Times New Roman"/>
          <w:sz w:val="22"/>
          <w:szCs w:val="22"/>
          <w:color w:val="auto"/>
        </w:rPr>
        <w:t xml:space="preserve">b.2. </w:t>
      </w:r>
      <w:r>
        <w:rPr>
          <w:rFonts w:ascii="Times New Roman" w:cs="Times New Roman" w:eastAsia="Times New Roman" w:hAnsi="Times New Roman"/>
          <w:sz w:val="22"/>
          <w:szCs w:val="22"/>
          <w:i w:val="1"/>
          <w:iCs w:val="1"/>
          <w:color w:val="auto"/>
        </w:rPr>
        <w:t>Cochliobolus miyabeanus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Helminthosporium oryzae</w:t>
      </w:r>
      <w:r>
        <w:rPr>
          <w:rFonts w:ascii="Times New Roman" w:cs="Times New Roman" w:eastAsia="Times New Roman" w:hAnsi="Times New Roman"/>
          <w:sz w:val="22"/>
          <w:szCs w:val="22"/>
          <w:color w:val="auto"/>
        </w:rPr>
        <w:t>);</w:t>
      </w:r>
    </w:p>
    <w:p>
      <w:pPr>
        <w:spacing w:after="0" w:line="254" w:lineRule="exact"/>
        <w:rPr>
          <w:sz w:val="20"/>
          <w:szCs w:val="20"/>
          <w:color w:val="auto"/>
        </w:rPr>
      </w:pPr>
    </w:p>
    <w:p>
      <w:pPr>
        <w:ind w:left="300"/>
        <w:spacing w:after="0"/>
        <w:tabs>
          <w:tab w:leader="none" w:pos="800" w:val="left"/>
        </w:tabs>
        <w:rPr>
          <w:sz w:val="20"/>
          <w:szCs w:val="20"/>
          <w:color w:val="auto"/>
        </w:rPr>
      </w:pPr>
      <w:r>
        <w:rPr>
          <w:rFonts w:ascii="Times New Roman" w:cs="Times New Roman" w:eastAsia="Times New Roman" w:hAnsi="Times New Roman"/>
          <w:sz w:val="22"/>
          <w:szCs w:val="22"/>
          <w:color w:val="auto"/>
        </w:rPr>
        <w:t>b.3.</w:t>
      </w:r>
      <w:r>
        <w:rPr>
          <w:sz w:val="20"/>
          <w:szCs w:val="20"/>
          <w:color w:val="auto"/>
        </w:rPr>
        <w:tab/>
      </w:r>
      <w:r>
        <w:rPr>
          <w:rFonts w:ascii="Times New Roman" w:cs="Times New Roman" w:eastAsia="Times New Roman" w:hAnsi="Times New Roman"/>
          <w:sz w:val="22"/>
          <w:szCs w:val="22"/>
          <w:i w:val="1"/>
          <w:iCs w:val="1"/>
          <w:color w:val="auto"/>
        </w:rPr>
        <w:t xml:space="preserve">Microcyclus ulei </w:t>
      </w:r>
      <w:r>
        <w:rPr>
          <w:rFonts w:ascii="Times New Roman" w:cs="Times New Roman" w:eastAsia="Times New Roman" w:hAnsi="Times New Roman"/>
          <w:sz w:val="22"/>
          <w:szCs w:val="22"/>
          <w:color w:val="auto"/>
        </w:rPr>
        <w:t>(syn.</w:t>
      </w:r>
      <w:r>
        <w:rPr>
          <w:rFonts w:ascii="Times New Roman" w:cs="Times New Roman" w:eastAsia="Times New Roman" w:hAnsi="Times New Roman"/>
          <w:sz w:val="22"/>
          <w:szCs w:val="22"/>
          <w:i w:val="1"/>
          <w:iCs w:val="1"/>
          <w:color w:val="auto"/>
        </w:rPr>
        <w:t xml:space="preserve"> Dothidella ulei</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firstLine="306"/>
        <w:spacing w:after="0" w:line="237" w:lineRule="auto"/>
        <w:rPr>
          <w:sz w:val="20"/>
          <w:szCs w:val="20"/>
          <w:color w:val="auto"/>
        </w:rPr>
      </w:pPr>
      <w:r>
        <w:rPr>
          <w:rFonts w:ascii="Times New Roman" w:cs="Times New Roman" w:eastAsia="Times New Roman" w:hAnsi="Times New Roman"/>
          <w:sz w:val="22"/>
          <w:szCs w:val="22"/>
          <w:color w:val="auto"/>
        </w:rPr>
        <w:t xml:space="preserve">b.4. </w:t>
      </w:r>
      <w:r>
        <w:rPr>
          <w:rFonts w:ascii="Times New Roman" w:cs="Times New Roman" w:eastAsia="Times New Roman" w:hAnsi="Times New Roman"/>
          <w:sz w:val="22"/>
          <w:szCs w:val="22"/>
          <w:i w:val="1"/>
          <w:iCs w:val="1"/>
          <w:color w:val="auto"/>
        </w:rPr>
        <w:t>Puccinnia graminis</w:t>
      </w:r>
      <w:r>
        <w:rPr>
          <w:rFonts w:ascii="Times New Roman" w:cs="Times New Roman" w:eastAsia="Times New Roman" w:hAnsi="Times New Roman"/>
          <w:sz w:val="22"/>
          <w:szCs w:val="22"/>
          <w:color w:val="auto"/>
        </w:rPr>
        <w:t xml:space="preserve"> ssp. </w:t>
      </w:r>
      <w:r>
        <w:rPr>
          <w:rFonts w:ascii="Times New Roman" w:cs="Times New Roman" w:eastAsia="Times New Roman" w:hAnsi="Times New Roman"/>
          <w:sz w:val="22"/>
          <w:szCs w:val="22"/>
          <w:i w:val="1"/>
          <w:iCs w:val="1"/>
          <w:color w:val="auto"/>
        </w:rPr>
        <w:t>graminis</w:t>
      </w:r>
      <w:r>
        <w:rPr>
          <w:rFonts w:ascii="Times New Roman" w:cs="Times New Roman" w:eastAsia="Times New Roman" w:hAnsi="Times New Roman"/>
          <w:sz w:val="22"/>
          <w:szCs w:val="22"/>
          <w:color w:val="auto"/>
        </w:rPr>
        <w:t xml:space="preserve"> var. </w:t>
      </w:r>
      <w:r>
        <w:rPr>
          <w:rFonts w:ascii="Times New Roman" w:cs="Times New Roman" w:eastAsia="Times New Roman" w:hAnsi="Times New Roman"/>
          <w:sz w:val="22"/>
          <w:szCs w:val="22"/>
          <w:i w:val="1"/>
          <w:iCs w:val="1"/>
          <w:color w:val="auto"/>
        </w:rPr>
        <w:t xml:space="preserve">graminis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Puccinia graminis </w:t>
      </w:r>
      <w:r>
        <w:rPr>
          <w:rFonts w:ascii="Times New Roman" w:cs="Times New Roman" w:eastAsia="Times New Roman" w:hAnsi="Times New Roman"/>
          <w:sz w:val="22"/>
          <w:szCs w:val="22"/>
          <w:color w:val="auto"/>
        </w:rPr>
        <w:t>ssp.</w:t>
      </w:r>
      <w:r>
        <w:rPr>
          <w:rFonts w:ascii="Times New Roman" w:cs="Times New Roman" w:eastAsia="Times New Roman" w:hAnsi="Times New Roman"/>
          <w:sz w:val="22"/>
          <w:szCs w:val="22"/>
          <w:i w:val="1"/>
          <w:iCs w:val="1"/>
          <w:color w:val="auto"/>
        </w:rPr>
        <w:t xml:space="preserve"> graminis </w:t>
      </w:r>
      <w:r>
        <w:rPr>
          <w:rFonts w:ascii="Times New Roman" w:cs="Times New Roman" w:eastAsia="Times New Roman" w:hAnsi="Times New Roman"/>
          <w:sz w:val="22"/>
          <w:szCs w:val="22"/>
          <w:color w:val="auto"/>
        </w:rPr>
        <w:t>var.</w:t>
      </w:r>
      <w:r>
        <w:rPr>
          <w:rFonts w:ascii="Times New Roman" w:cs="Times New Roman" w:eastAsia="Times New Roman" w:hAnsi="Times New Roman"/>
          <w:sz w:val="22"/>
          <w:szCs w:val="22"/>
          <w:i w:val="1"/>
          <w:iCs w:val="1"/>
          <w:color w:val="auto"/>
        </w:rPr>
        <w:t xml:space="preserve"> stakmanii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Puccinia graminis </w:t>
      </w:r>
      <w:r>
        <w:rPr>
          <w:rFonts w:ascii="Times New Roman" w:cs="Times New Roman" w:eastAsia="Times New Roman" w:hAnsi="Times New Roman"/>
          <w:sz w:val="22"/>
          <w:szCs w:val="22"/>
          <w:color w:val="auto"/>
        </w:rPr>
        <w:t>[syn.</w:t>
      </w:r>
      <w:r>
        <w:rPr>
          <w:rFonts w:ascii="Times New Roman" w:cs="Times New Roman" w:eastAsia="Times New Roman" w:hAnsi="Times New Roman"/>
          <w:sz w:val="22"/>
          <w:szCs w:val="22"/>
          <w:i w:val="1"/>
          <w:iCs w:val="1"/>
          <w:color w:val="auto"/>
        </w:rPr>
        <w:t xml:space="preserve"> Puccinia graminis </w:t>
      </w:r>
      <w:r>
        <w:rPr>
          <w:rFonts w:ascii="Times New Roman" w:cs="Times New Roman" w:eastAsia="Times New Roman" w:hAnsi="Times New Roman"/>
          <w:sz w:val="22"/>
          <w:szCs w:val="22"/>
          <w:color w:val="auto"/>
        </w:rPr>
        <w:t>f. sp.</w:t>
      </w:r>
      <w:r>
        <w:rPr>
          <w:rFonts w:ascii="Times New Roman" w:cs="Times New Roman" w:eastAsia="Times New Roman" w:hAnsi="Times New Roman"/>
          <w:sz w:val="22"/>
          <w:szCs w:val="22"/>
          <w:i w:val="1"/>
          <w:iCs w:val="1"/>
          <w:color w:val="auto"/>
        </w:rPr>
        <w:t xml:space="preserve"> tritici</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ind w:firstLine="306"/>
        <w:spacing w:after="0" w:line="233" w:lineRule="auto"/>
        <w:rPr>
          <w:sz w:val="20"/>
          <w:szCs w:val="20"/>
          <w:color w:val="auto"/>
        </w:rPr>
      </w:pPr>
      <w:r>
        <w:rPr>
          <w:rFonts w:ascii="Times New Roman" w:cs="Times New Roman" w:eastAsia="Times New Roman" w:hAnsi="Times New Roman"/>
          <w:sz w:val="22"/>
          <w:szCs w:val="22"/>
          <w:color w:val="auto"/>
        </w:rPr>
        <w:t xml:space="preserve">b.5. </w:t>
      </w:r>
      <w:r>
        <w:rPr>
          <w:rFonts w:ascii="Times New Roman" w:cs="Times New Roman" w:eastAsia="Times New Roman" w:hAnsi="Times New Roman"/>
          <w:sz w:val="22"/>
          <w:szCs w:val="22"/>
          <w:i w:val="1"/>
          <w:iCs w:val="1"/>
          <w:color w:val="auto"/>
        </w:rPr>
        <w:t>Puccinia striiformis</w:t>
      </w:r>
      <w:r>
        <w:rPr>
          <w:rFonts w:ascii="Times New Roman" w:cs="Times New Roman" w:eastAsia="Times New Roman" w:hAnsi="Times New Roman"/>
          <w:sz w:val="22"/>
          <w:szCs w:val="22"/>
          <w:color w:val="auto"/>
        </w:rPr>
        <w:t xml:space="preserve"> (syn. </w:t>
      </w:r>
      <w:r>
        <w:rPr>
          <w:rFonts w:ascii="Times New Roman" w:cs="Times New Roman" w:eastAsia="Times New Roman" w:hAnsi="Times New Roman"/>
          <w:sz w:val="22"/>
          <w:szCs w:val="22"/>
          <w:i w:val="1"/>
          <w:iCs w:val="1"/>
          <w:color w:val="auto"/>
        </w:rPr>
        <w:t>Puccinia</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glumarum</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ind w:right="1660" w:firstLine="306"/>
        <w:spacing w:after="0" w:line="234" w:lineRule="auto"/>
        <w:rPr>
          <w:sz w:val="20"/>
          <w:szCs w:val="20"/>
          <w:color w:val="auto"/>
        </w:rPr>
      </w:pPr>
      <w:r>
        <w:rPr>
          <w:rFonts w:ascii="Times New Roman" w:cs="Times New Roman" w:eastAsia="Times New Roman" w:hAnsi="Times New Roman"/>
          <w:sz w:val="22"/>
          <w:szCs w:val="22"/>
          <w:color w:val="auto"/>
        </w:rPr>
        <w:t xml:space="preserve">b.6. </w:t>
      </w:r>
      <w:r>
        <w:rPr>
          <w:rFonts w:ascii="Times New Roman" w:cs="Times New Roman" w:eastAsia="Times New Roman" w:hAnsi="Times New Roman"/>
          <w:sz w:val="22"/>
          <w:szCs w:val="22"/>
          <w:i w:val="1"/>
          <w:iCs w:val="1"/>
          <w:color w:val="auto"/>
        </w:rPr>
        <w:t>Magnaporthe oryzae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Pyricularia oryzae</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right="540" w:firstLine="306"/>
        <w:spacing w:after="0" w:line="234" w:lineRule="auto"/>
        <w:rPr>
          <w:sz w:val="20"/>
          <w:szCs w:val="20"/>
          <w:color w:val="auto"/>
        </w:rPr>
      </w:pPr>
      <w:r>
        <w:rPr>
          <w:rFonts w:ascii="Times New Roman" w:cs="Times New Roman" w:eastAsia="Times New Roman" w:hAnsi="Times New Roman"/>
          <w:sz w:val="22"/>
          <w:szCs w:val="22"/>
          <w:color w:val="auto"/>
        </w:rPr>
        <w:t xml:space="preserve">b.7. </w:t>
      </w:r>
      <w:r>
        <w:rPr>
          <w:rFonts w:ascii="Times New Roman" w:cs="Times New Roman" w:eastAsia="Times New Roman" w:hAnsi="Times New Roman"/>
          <w:sz w:val="22"/>
          <w:szCs w:val="22"/>
          <w:i w:val="1"/>
          <w:iCs w:val="1"/>
          <w:color w:val="auto"/>
        </w:rPr>
        <w:t>Peronosclerospora philippinensis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Peronosclerospora sacchari</w:t>
      </w:r>
      <w:r>
        <w:rPr>
          <w:rFonts w:ascii="Times New Roman" w:cs="Times New Roman" w:eastAsia="Times New Roman" w:hAnsi="Times New Roman"/>
          <w:sz w:val="22"/>
          <w:szCs w:val="22"/>
          <w:color w:val="auto"/>
        </w:rPr>
        <w:t>);</w:t>
      </w:r>
    </w:p>
    <w:p>
      <w:pPr>
        <w:spacing w:after="0" w:line="254" w:lineRule="exact"/>
        <w:rPr>
          <w:sz w:val="20"/>
          <w:szCs w:val="20"/>
          <w:color w:val="auto"/>
        </w:rPr>
      </w:pPr>
    </w:p>
    <w:p>
      <w:pPr>
        <w:ind w:left="300"/>
        <w:spacing w:after="0"/>
        <w:tabs>
          <w:tab w:leader="none" w:pos="800" w:val="left"/>
        </w:tabs>
        <w:rPr>
          <w:sz w:val="20"/>
          <w:szCs w:val="20"/>
          <w:color w:val="auto"/>
        </w:rPr>
      </w:pPr>
      <w:r>
        <w:rPr>
          <w:rFonts w:ascii="Times New Roman" w:cs="Times New Roman" w:eastAsia="Times New Roman" w:hAnsi="Times New Roman"/>
          <w:sz w:val="22"/>
          <w:szCs w:val="22"/>
          <w:color w:val="auto"/>
        </w:rPr>
        <w:t>b.8.</w:t>
      </w:r>
      <w:r>
        <w:rPr>
          <w:sz w:val="20"/>
          <w:szCs w:val="20"/>
          <w:color w:val="auto"/>
        </w:rPr>
        <w:tab/>
      </w:r>
      <w:r>
        <w:rPr>
          <w:rFonts w:ascii="Times New Roman" w:cs="Times New Roman" w:eastAsia="Times New Roman" w:hAnsi="Times New Roman"/>
          <w:sz w:val="22"/>
          <w:szCs w:val="22"/>
          <w:i w:val="1"/>
          <w:iCs w:val="1"/>
          <w:color w:val="auto"/>
        </w:rPr>
        <w:t xml:space="preserve">Sclerophthora rayssiae </w:t>
      </w:r>
      <w:r>
        <w:rPr>
          <w:rFonts w:ascii="Times New Roman" w:cs="Times New Roman" w:eastAsia="Times New Roman" w:hAnsi="Times New Roman"/>
          <w:sz w:val="22"/>
          <w:szCs w:val="22"/>
          <w:color w:val="auto"/>
        </w:rPr>
        <w:t>var.</w:t>
      </w:r>
      <w:r>
        <w:rPr>
          <w:rFonts w:ascii="Times New Roman" w:cs="Times New Roman" w:eastAsia="Times New Roman" w:hAnsi="Times New Roman"/>
          <w:sz w:val="22"/>
          <w:szCs w:val="22"/>
          <w:i w:val="1"/>
          <w:iCs w:val="1"/>
          <w:color w:val="auto"/>
        </w:rPr>
        <w:t xml:space="preserve"> zeae</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300"/>
        <w:spacing w:after="0"/>
        <w:tabs>
          <w:tab w:leader="none" w:pos="800" w:val="left"/>
        </w:tabs>
        <w:rPr>
          <w:sz w:val="20"/>
          <w:szCs w:val="20"/>
          <w:color w:val="auto"/>
        </w:rPr>
      </w:pPr>
      <w:r>
        <w:rPr>
          <w:rFonts w:ascii="Times New Roman" w:cs="Times New Roman" w:eastAsia="Times New Roman" w:hAnsi="Times New Roman"/>
          <w:sz w:val="22"/>
          <w:szCs w:val="22"/>
          <w:color w:val="auto"/>
        </w:rPr>
        <w:t>b.9.</w:t>
      </w:r>
      <w:r>
        <w:rPr>
          <w:sz w:val="20"/>
          <w:szCs w:val="20"/>
          <w:color w:val="auto"/>
        </w:rPr>
        <w:tab/>
      </w:r>
      <w:r>
        <w:rPr>
          <w:rFonts w:ascii="Times New Roman" w:cs="Times New Roman" w:eastAsia="Times New Roman" w:hAnsi="Times New Roman"/>
          <w:sz w:val="22"/>
          <w:szCs w:val="22"/>
          <w:i w:val="1"/>
          <w:iCs w:val="1"/>
          <w:color w:val="auto"/>
        </w:rPr>
        <w:t>Synchytrium endobioticum</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300"/>
        <w:spacing w:after="0"/>
        <w:tabs>
          <w:tab w:leader="none" w:pos="900" w:val="left"/>
        </w:tabs>
        <w:rPr>
          <w:sz w:val="20"/>
          <w:szCs w:val="20"/>
          <w:color w:val="auto"/>
        </w:rPr>
      </w:pPr>
      <w:r>
        <w:rPr>
          <w:rFonts w:ascii="Times New Roman" w:cs="Times New Roman" w:eastAsia="Times New Roman" w:hAnsi="Times New Roman"/>
          <w:sz w:val="22"/>
          <w:szCs w:val="22"/>
          <w:color w:val="auto"/>
        </w:rPr>
        <w:t>b.10.</w:t>
      </w:r>
      <w:r>
        <w:rPr>
          <w:sz w:val="20"/>
          <w:szCs w:val="20"/>
          <w:color w:val="auto"/>
        </w:rPr>
        <w:tab/>
      </w:r>
      <w:r>
        <w:rPr>
          <w:rFonts w:ascii="Times New Roman" w:cs="Times New Roman" w:eastAsia="Times New Roman" w:hAnsi="Times New Roman"/>
          <w:sz w:val="22"/>
          <w:szCs w:val="22"/>
          <w:i w:val="1"/>
          <w:iCs w:val="1"/>
          <w:color w:val="auto"/>
        </w:rPr>
        <w:t>Tilletia indica</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300"/>
        <w:spacing w:after="0"/>
        <w:tabs>
          <w:tab w:leader="none" w:pos="900" w:val="left"/>
        </w:tabs>
        <w:rPr>
          <w:sz w:val="20"/>
          <w:szCs w:val="20"/>
          <w:color w:val="auto"/>
        </w:rPr>
      </w:pPr>
      <w:r>
        <w:rPr>
          <w:rFonts w:ascii="Times New Roman" w:cs="Times New Roman" w:eastAsia="Times New Roman" w:hAnsi="Times New Roman"/>
          <w:sz w:val="22"/>
          <w:szCs w:val="22"/>
          <w:color w:val="auto"/>
        </w:rPr>
        <w:t>b.11.</w:t>
      </w:r>
      <w:r>
        <w:rPr>
          <w:sz w:val="20"/>
          <w:szCs w:val="20"/>
          <w:color w:val="auto"/>
        </w:rPr>
        <w:tab/>
      </w:r>
      <w:r>
        <w:rPr>
          <w:rFonts w:ascii="Times New Roman" w:cs="Times New Roman" w:eastAsia="Times New Roman" w:hAnsi="Times New Roman"/>
          <w:sz w:val="22"/>
          <w:szCs w:val="22"/>
          <w:i w:val="1"/>
          <w:iCs w:val="1"/>
          <w:color w:val="auto"/>
        </w:rPr>
        <w:t>Thecaphora solani</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color w:val="auto"/>
        </w:rPr>
        <w:t xml:space="preserve">b.12. </w:t>
      </w:r>
      <w:r>
        <w:rPr>
          <w:rFonts w:ascii="Times New Roman" w:cs="Times New Roman" w:eastAsia="Times New Roman" w:hAnsi="Times New Roman"/>
          <w:sz w:val="22"/>
          <w:szCs w:val="22"/>
          <w:i w:val="1"/>
          <w:iCs w:val="1"/>
          <w:color w:val="auto"/>
        </w:rPr>
        <w:t>Phoma glycinicola</w:t>
      </w:r>
      <w:r>
        <w:rPr>
          <w:rFonts w:ascii="Times New Roman" w:cs="Times New Roman" w:eastAsia="Times New Roman" w:hAnsi="Times New Roman"/>
          <w:sz w:val="22"/>
          <w:szCs w:val="22"/>
          <w:color w:val="auto"/>
        </w:rPr>
        <w:t xml:space="preserve"> (formerly </w:t>
      </w:r>
      <w:r>
        <w:rPr>
          <w:rFonts w:ascii="Times New Roman" w:cs="Times New Roman" w:eastAsia="Times New Roman" w:hAnsi="Times New Roman"/>
          <w:sz w:val="22"/>
          <w:szCs w:val="22"/>
          <w:i w:val="1"/>
          <w:iCs w:val="1"/>
          <w:color w:val="auto"/>
        </w:rPr>
        <w:t>Pyrenochaeta glycines</w:t>
      </w:r>
      <w:r>
        <w:rPr>
          <w:rFonts w:ascii="Times New Roman" w:cs="Times New Roman" w:eastAsia="Times New Roman" w:hAnsi="Times New Roman"/>
          <w:sz w:val="22"/>
          <w:szCs w:val="22"/>
          <w:color w:val="auto"/>
        </w:rPr>
        <w:t>) [this fungus is identified</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2" w:name="page73"/>
    <w:bookmarkEnd w:id="7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73</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on the APHIS “select agents” list (see the Related Controls paragraph for this ECCN), but is not identified on the Australia Group (AG) “List of Plant Pathogens for Export Control”].</w:t>
      </w:r>
    </w:p>
    <w:p>
      <w:pPr>
        <w:spacing w:after="0" w:line="253"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2"/>
          <w:szCs w:val="22"/>
          <w:color w:val="auto"/>
        </w:rPr>
        <w:t>c.</w:t>
        <w:tab/>
        <w:t>Viruses, as follows:</w:t>
      </w:r>
    </w:p>
    <w:p>
      <w:pPr>
        <w:spacing w:after="0" w:line="26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c.1. Andean potato latent virus (Potato Andean latent tymovirus);</w:t>
      </w:r>
    </w:p>
    <w:p>
      <w:pPr>
        <w:spacing w:after="0" w:line="253"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c.2.</w:t>
        <w:tab/>
        <w:t>Potato spindle tuber viroid.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AT reasons, to export or reexport items controlled by 1C350 to a country in Country Group E:1 of Supplement No. 1 to part 740 of the EAR. (See part 742 of the EAR for additional information on the AT controls that apply to Iran, North Korea, Sudan, and Syria. See part 746 of the EAR for additional information on sanctions that apply to Iran, North Korea, and Syria.)</w:t>
      </w:r>
    </w:p>
    <w:p>
      <w:pPr>
        <w:spacing w:after="0" w:line="24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Requirements Notes:</w:t>
      </w:r>
    </w:p>
    <w:p>
      <w:pPr>
        <w:spacing w:after="0" w:line="25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1. MIXTURES: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66"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1C355 Chemical Weapons Convention (CWC) Schedule 2 and 3 chemicals and families of chemicals not controlled by ECCN 1C350 or “subject to the ITAR” (see 22 CFR parts )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spacing w:after="0"/>
        <w:tabs>
          <w:tab w:leader="none" w:pos="194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CW, AT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5" w:lineRule="exact"/>
        <w:rPr>
          <w:sz w:val="20"/>
          <w:szCs w:val="20"/>
          <w:color w:val="auto"/>
        </w:rPr>
      </w:pPr>
    </w:p>
    <w:p>
      <w:pPr>
        <w:jc w:val="both"/>
        <w:spacing w:after="0" w:line="239" w:lineRule="auto"/>
        <w:rPr>
          <w:sz w:val="20"/>
          <w:szCs w:val="20"/>
          <w:color w:val="auto"/>
        </w:rPr>
      </w:pPr>
      <w:r>
        <w:rPr>
          <w:rFonts w:ascii="Times New Roman" w:cs="Times New Roman" w:eastAsia="Times New Roman" w:hAnsi="Times New Roman"/>
          <w:sz w:val="22"/>
          <w:szCs w:val="22"/>
          <w:color w:val="auto"/>
        </w:rPr>
        <w:t>CW applies to entire entry. The Commerce Country Chart is not designed to determine licensing requirements for items controlled for CW reasons. A license is required to export or reexport CWC Schedule 2 chemicals and mixtures identified in 1C355.a to States not Party to the CWC (destinations not listed in Supplement No. 2 to part 745 of the EAR). A license is required to export CWC Schedule 3 chemicals and mixtures identified in 1C355.b to States not Party to the CWC, unless an End Use Certificate issued by the government of the importing country is obtained by the exporter, prior to export. A license is required to reexport CWC Schedule 3 chemicals and mixtures identified in 1C355.b from a State not Party to the CWC to any other State not Party to the CWC. (See §742.18 of the EAR for license requirements and policies for toxic and precursor chemicals controlled for CW reasons.)</w:t>
      </w:r>
    </w:p>
    <w:p>
      <w:pPr>
        <w:spacing w:after="0" w:line="274"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AT applies to entire entry. The Commerce Country Chart is not designed to determine licensing requirements for items controlled for AT reasons in 1C350. A license is required, for</w:t>
      </w:r>
    </w:p>
    <w:p>
      <w:pPr>
        <w:spacing w:after="0" w:line="20" w:lineRule="exact"/>
        <w:rPr>
          <w:sz w:val="20"/>
          <w:szCs w:val="20"/>
          <w:color w:val="auto"/>
        </w:rPr>
      </w:pPr>
      <w:r>
        <w:rPr>
          <w:sz w:val="20"/>
          <w:szCs w:val="20"/>
          <w:color w:val="auto"/>
        </w:rPr>
        <w:br w:type="column"/>
      </w:r>
    </w:p>
    <w:p>
      <w:pPr>
        <w:spacing w:after="0" w:line="46" w:lineRule="exact"/>
        <w:rPr>
          <w:sz w:val="20"/>
          <w:szCs w:val="20"/>
          <w:color w:val="auto"/>
        </w:rPr>
      </w:pPr>
    </w:p>
    <w:p>
      <w:pPr>
        <w:jc w:val="both"/>
        <w:ind w:firstLine="720"/>
        <w:spacing w:after="0" w:line="238" w:lineRule="auto"/>
        <w:rPr>
          <w:sz w:val="20"/>
          <w:szCs w:val="20"/>
          <w:color w:val="auto"/>
        </w:rPr>
      </w:pPr>
      <w:r>
        <w:rPr>
          <w:rFonts w:ascii="Times New Roman" w:cs="Times New Roman" w:eastAsia="Times New Roman" w:hAnsi="Times New Roman"/>
          <w:sz w:val="22"/>
          <w:szCs w:val="22"/>
          <w:i w:val="1"/>
          <w:iCs w:val="1"/>
          <w:color w:val="auto"/>
        </w:rPr>
        <w:t>a. Mixtures containing toxic and precursor chemicals identified in ECCN 1C355, in concentrations that are below the control levels indicated in 1C355.a and .b, are controlled by ECCN 1C995 and are subject to the license requirements specified in that ECCN.</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i w:val="1"/>
          <w:iCs w:val="1"/>
          <w:color w:val="auto"/>
        </w:rPr>
        <w:t>b. Mixtures containing chemicals identified in this entry are not controlled by ECCN 1C355 when the controlled chemical is a normal ingredient in consumer goods packaged for retail sale for personal use or packaged for individual use. Such consumer goods are classified as EAR99.</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mixtures: </w:t>
      </w:r>
      <w:r>
        <w:rPr>
          <w:rFonts w:ascii="Times New Roman" w:cs="Times New Roman" w:eastAsia="Times New Roman" w:hAnsi="Times New Roman"/>
          <w:sz w:val="22"/>
          <w:szCs w:val="22"/>
          <w:i w:val="1"/>
          <w:iCs w:val="1"/>
          <w:color w:val="auto"/>
        </w:rPr>
        <w:t>Calculation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concentrations of CW-controlled chemicals:</w:t>
      </w:r>
    </w:p>
    <w:p>
      <w:pPr>
        <w:spacing w:after="0" w:line="266" w:lineRule="exact"/>
        <w:rPr>
          <w:sz w:val="20"/>
          <w:szCs w:val="20"/>
          <w:color w:val="auto"/>
        </w:rPr>
      </w:pPr>
    </w:p>
    <w:p>
      <w:pPr>
        <w:jc w:val="both"/>
        <w:ind w:firstLine="721"/>
        <w:spacing w:after="0" w:line="236" w:lineRule="auto"/>
        <w:tabs>
          <w:tab w:leader="none" w:pos="1144" w:val="left"/>
        </w:tabs>
        <w:numPr>
          <w:ilvl w:val="1"/>
          <w:numId w:val="14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Exclusion. No chemical may be added to the mixture (solution) for the sole purpose of circumventing the Export Administration Regulations;</w:t>
      </w:r>
    </w:p>
    <w:p>
      <w:pPr>
        <w:spacing w:after="0" w:line="269" w:lineRule="exact"/>
        <w:rPr>
          <w:rFonts w:ascii="Times New Roman" w:cs="Times New Roman" w:eastAsia="Times New Roman" w:hAnsi="Times New Roman"/>
          <w:sz w:val="22"/>
          <w:szCs w:val="22"/>
          <w:i w:val="1"/>
          <w:iCs w:val="1"/>
          <w:color w:val="auto"/>
        </w:rPr>
      </w:pPr>
    </w:p>
    <w:p>
      <w:pPr>
        <w:jc w:val="both"/>
        <w:ind w:firstLine="721"/>
        <w:spacing w:after="0" w:line="237" w:lineRule="auto"/>
        <w:tabs>
          <w:tab w:leader="none" w:pos="1068" w:val="left"/>
        </w:tabs>
        <w:numPr>
          <w:ilvl w:val="1"/>
          <w:numId w:val="14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Percent Weight Calculation. When calculating the percentage, by weight, of ingredients in a chemical mixture, include all ingredients of the mixture, including those that act as solvents.</w:t>
      </w:r>
    </w:p>
    <w:p>
      <w:pPr>
        <w:spacing w:after="0" w:line="268" w:lineRule="exact"/>
        <w:rPr>
          <w:rFonts w:ascii="Times New Roman" w:cs="Times New Roman" w:eastAsia="Times New Roman" w:hAnsi="Times New Roman"/>
          <w:sz w:val="22"/>
          <w:szCs w:val="22"/>
          <w:i w:val="1"/>
          <w:iCs w:val="1"/>
          <w:color w:val="auto"/>
        </w:rPr>
      </w:pPr>
    </w:p>
    <w:p>
      <w:pPr>
        <w:jc w:val="both"/>
        <w:ind w:firstLine="361"/>
        <w:spacing w:after="0" w:line="238" w:lineRule="auto"/>
        <w:tabs>
          <w:tab w:leader="none" w:pos="789" w:val="left"/>
        </w:tabs>
        <w:numPr>
          <w:ilvl w:val="0"/>
          <w:numId w:val="14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COMPOUNDS: Compounds created with any chemicals identified in this ECCN 1C355 may be shipped NLR (No License Required), without obtaining an End-Use Certificate, unless those compounds are also identified in this entry or require a license for reasons set forth elsewhere in the EAR.</w:t>
      </w:r>
    </w:p>
    <w:p>
      <w:pPr>
        <w:spacing w:after="0" w:line="449"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4"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3" w:name="page74"/>
    <w:bookmarkEnd w:id="7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74</w:t>
      </w:r>
    </w:p>
    <w:p>
      <w:pPr>
        <w:sectPr>
          <w:pgSz w:w="12240" w:h="15840" w:orient="portrait"/>
          <w:cols w:equalWidth="0" w:num="1">
            <w:col w:w="9360"/>
          </w:cols>
          <w:pgMar w:left="1440" w:top="1293" w:right="1440" w:bottom="124" w:gutter="0" w:footer="0" w:header="0"/>
        </w:sectPr>
      </w:pPr>
    </w:p>
    <w:p>
      <w:pPr>
        <w:spacing w:after="0" w:line="288" w:lineRule="exact"/>
        <w:rPr>
          <w:sz w:val="20"/>
          <w:szCs w:val="20"/>
          <w:color w:val="auto"/>
        </w:rPr>
      </w:pPr>
    </w:p>
    <w:p>
      <w:pPr>
        <w:jc w:val="both"/>
        <w:ind w:firstLine="306"/>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Notes: </w:t>
      </w:r>
      <w:r>
        <w:rPr>
          <w:rFonts w:ascii="Times New Roman" w:cs="Times New Roman" w:eastAsia="Times New Roman" w:hAnsi="Times New Roman"/>
          <w:sz w:val="22"/>
          <w:szCs w:val="22"/>
          <w:i w:val="1"/>
          <w:iCs w:val="1"/>
          <w:color w:val="auto"/>
        </w:rPr>
        <w:t>For purposes of this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entry, a “mixture” is defined as a solid, liquid or gaseous product made up of two or more ingredients that do not react together under normal storage conditions.</w:t>
      </w:r>
    </w:p>
    <w:p>
      <w:pPr>
        <w:spacing w:after="0" w:line="26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28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1C351</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1C395</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1C995</w:t>
      </w:r>
      <w:r>
        <w:rPr>
          <w:rFonts w:ascii="Times New Roman" w:cs="Times New Roman" w:eastAsia="Times New Roman" w:hAnsi="Times New Roman"/>
          <w:sz w:val="22"/>
          <w:szCs w:val="22"/>
          <w:color w:val="000000"/>
        </w:rPr>
        <w:t>. See §§742.18</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 745.2 of the EAR for End-Use Certification requirements.</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tabs>
          <w:tab w:leader="none" w:pos="385" w:val="left"/>
        </w:tabs>
        <w:numPr>
          <w:ilvl w:val="0"/>
          <w:numId w:val="14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CWC Schedule 2 chemicals and mixtures containing Schedule 2 chemicals: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Toxic chemicals, as follows, and mixtures containing toxic chemicals:</w:t>
      </w:r>
    </w:p>
    <w:p>
      <w:pPr>
        <w:spacing w:after="0" w:line="26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a.1.a. PFIB: 1,1,3,3,3-Pentafluoro-2-(trifluoromethyl)-1-propene (C.A.S. 382-21-8) and mixtures in which PFIB constitutes more than 1 percent of the weight of the mixture;</w:t>
      </w:r>
    </w:p>
    <w:p>
      <w:pPr>
        <w:spacing w:after="0" w:line="25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a.1.b. [Reserved]</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a.2. Precursor chemicals, as follows, and mixtures in which at least one of the following precursor chemicals constitutes more than 10 percent of the weight of the mixture:</w:t>
      </w:r>
    </w:p>
    <w:p>
      <w:pPr>
        <w:spacing w:after="0" w:line="270"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color w:val="auto"/>
        </w:rPr>
        <w:t>a.2.a. Chemicals, except for those listed in Schedule 1, containing a phosphorus atom to which is bonded one methyl, ethyl, or propyl (normal or iso) group but not further carbon atoms.</w:t>
      </w:r>
    </w:p>
    <w:p>
      <w:pPr>
        <w:spacing w:after="0" w:line="271" w:lineRule="exact"/>
        <w:rPr>
          <w:sz w:val="20"/>
          <w:szCs w:val="20"/>
          <w:color w:val="auto"/>
        </w:rPr>
      </w:pPr>
    </w:p>
    <w:p>
      <w:pPr>
        <w:jc w:val="both"/>
        <w:ind w:firstLine="306"/>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1C355.a.2.a does not control Fonofos: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O-Ethyl S-phenyl ethylphosphonothiolothionate (C.A.S. 944-22-9).</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0"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a.2.b. FAMILY: N,N-Dialkyl (Me, Et, n-Pr or i-Pr) phosphoramidic dihalides;</w:t>
      </w:r>
    </w:p>
    <w:p>
      <w:pPr>
        <w:spacing w:after="0" w:line="267"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a.2.c. FAMILY: Dialkyl (Me, Et, n-Pr or i-Pr) N,N-dialkyl (Me, Et, n-Pr, or i-Pr)-phosphoramidates;</w:t>
      </w:r>
    </w:p>
    <w:p>
      <w:pPr>
        <w:spacing w:after="0" w:line="268"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a.2.d. FAMILY: N,N-Dialkyl (Me, Et, n-Pr or i-Pr) aminoethyl-2-chlorides and corresponding protonated salts;</w:t>
      </w:r>
    </w:p>
    <w:p>
      <w:pPr>
        <w:spacing w:after="0" w:line="256"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a.2.e.</w:t>
        <w:tab/>
        <w:t>FAMILY: N,N-Dialkyl (Me, Et,</w:t>
      </w:r>
    </w:p>
    <w:p>
      <w:pPr>
        <w:spacing w:after="0" w:line="1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n-Pr or i-Pr) aminoethane-2-ols and corresponding protonated salts;</w:t>
      </w:r>
    </w:p>
    <w:p>
      <w:pPr>
        <w:spacing w:after="0" w:line="26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1"/>
          <w:szCs w:val="21"/>
          <w:b w:val="1"/>
          <w:bCs w:val="1"/>
          <w:i w:val="1"/>
          <w:iCs w:val="1"/>
          <w:color w:val="auto"/>
        </w:rPr>
        <w:t>Note</w:t>
      </w:r>
      <w:r>
        <w:rPr>
          <w:rFonts w:ascii="Times New Roman" w:cs="Times New Roman" w:eastAsia="Times New Roman" w:hAnsi="Times New Roman"/>
          <w:sz w:val="21"/>
          <w:szCs w:val="21"/>
          <w:i w:val="1"/>
          <w:iCs w:val="1"/>
          <w:color w:val="auto"/>
        </w:rPr>
        <w:t>: 1C355.a.2.e. does not control N,N-</w:t>
      </w:r>
    </w:p>
    <w:p>
      <w:pPr>
        <w:spacing w:after="0" w:line="1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i w:val="1"/>
          <w:iCs w:val="1"/>
          <w:color w:val="auto"/>
        </w:rPr>
        <w:t>Dimethylaminoethanol and corresponding protonated salts (C.A.S. 108-01-0) or N,N-</w:t>
      </w:r>
    </w:p>
    <w:p>
      <w:pPr>
        <w:spacing w:after="0" w:line="1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i w:val="1"/>
          <w:iCs w:val="1"/>
          <w:color w:val="auto"/>
        </w:rPr>
        <w:t>Diethylaminoethanol and corresponding protonated salts (C.A.S. 100-37-8).</w:t>
      </w:r>
    </w:p>
    <w:p>
      <w:pPr>
        <w:spacing w:after="0" w:line="264"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a.2.f. FAMILY: N,N-Dialkyl (Me, Et, n-Pr or i-Pr) aminoethane-2-thiols and corresponding protonated salts.</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CWC Schedule 3 chemicals and mixtures containing Schedule 3 chemicals:</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b.1. Toxic chemicals, as follows, and mixtures in which at least one of the following toxic chemicals constitutes 30 percent or more of the weight of the mixture:</w:t>
      </w:r>
    </w:p>
    <w:p>
      <w:pPr>
        <w:spacing w:after="0" w:line="270"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b.1.a. Phosgene: Carbonyl dichloride (C.A.S. 75-44-5);</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b.1.b. Cyanogen chloride (C.A.S. 506-</w:t>
      </w:r>
    </w:p>
    <w:p>
      <w:pPr>
        <w:spacing w:after="0"/>
        <w:rPr>
          <w:sz w:val="20"/>
          <w:szCs w:val="20"/>
          <w:color w:val="auto"/>
        </w:rPr>
      </w:pPr>
      <w:r>
        <w:rPr>
          <w:rFonts w:ascii="Times New Roman" w:cs="Times New Roman" w:eastAsia="Times New Roman" w:hAnsi="Times New Roman"/>
          <w:sz w:val="22"/>
          <w:szCs w:val="22"/>
          <w:color w:val="auto"/>
        </w:rPr>
        <w:t>77-4);</w:t>
      </w:r>
    </w:p>
    <w:p>
      <w:pPr>
        <w:spacing w:after="0" w:line="253" w:lineRule="exact"/>
        <w:rPr>
          <w:sz w:val="20"/>
          <w:szCs w:val="20"/>
          <w:color w:val="auto"/>
        </w:rPr>
      </w:pPr>
    </w:p>
    <w:p>
      <w:pPr>
        <w:jc w:val="right"/>
        <w:spacing w:after="0"/>
        <w:tabs>
          <w:tab w:leader="none" w:pos="2920" w:val="left"/>
        </w:tabs>
        <w:rPr>
          <w:sz w:val="20"/>
          <w:szCs w:val="20"/>
          <w:color w:val="auto"/>
        </w:rPr>
      </w:pPr>
      <w:r>
        <w:rPr>
          <w:rFonts w:ascii="Times New Roman" w:cs="Times New Roman" w:eastAsia="Times New Roman" w:hAnsi="Times New Roman"/>
          <w:sz w:val="22"/>
          <w:szCs w:val="22"/>
          <w:color w:val="auto"/>
        </w:rPr>
        <w:t>b.1.c.</w:t>
      </w:r>
      <w:r>
        <w:rPr>
          <w:sz w:val="20"/>
          <w:szCs w:val="20"/>
          <w:color w:val="auto"/>
        </w:rPr>
        <w:tab/>
      </w:r>
      <w:r>
        <w:rPr>
          <w:rFonts w:ascii="Times New Roman" w:cs="Times New Roman" w:eastAsia="Times New Roman" w:hAnsi="Times New Roman"/>
          <w:sz w:val="21"/>
          <w:szCs w:val="21"/>
          <w:color w:val="auto"/>
        </w:rPr>
        <w:t>Hydrogen cyanide (C.A.S. 74-90-</w:t>
      </w:r>
    </w:p>
    <w:p>
      <w:pPr>
        <w:spacing w:after="0"/>
        <w:rPr>
          <w:sz w:val="20"/>
          <w:szCs w:val="20"/>
          <w:color w:val="auto"/>
        </w:rPr>
      </w:pPr>
      <w:r>
        <w:rPr>
          <w:rFonts w:ascii="Times New Roman" w:cs="Times New Roman" w:eastAsia="Times New Roman" w:hAnsi="Times New Roman"/>
          <w:sz w:val="22"/>
          <w:szCs w:val="22"/>
          <w:color w:val="auto"/>
        </w:rPr>
        <w:t>8);</w:t>
      </w:r>
    </w:p>
    <w:p>
      <w:pPr>
        <w:spacing w:after="0" w:line="252" w:lineRule="exact"/>
        <w:rPr>
          <w:sz w:val="20"/>
          <w:szCs w:val="20"/>
          <w:color w:val="auto"/>
        </w:rPr>
      </w:pPr>
    </w:p>
    <w:p>
      <w:pPr>
        <w:ind w:left="720"/>
        <w:spacing w:after="0"/>
        <w:tabs>
          <w:tab w:leader="none" w:pos="1380" w:val="left"/>
        </w:tabs>
        <w:rPr>
          <w:sz w:val="20"/>
          <w:szCs w:val="20"/>
          <w:color w:val="auto"/>
        </w:rPr>
      </w:pPr>
      <w:r>
        <w:rPr>
          <w:rFonts w:ascii="Times New Roman" w:cs="Times New Roman" w:eastAsia="Times New Roman" w:hAnsi="Times New Roman"/>
          <w:sz w:val="22"/>
          <w:szCs w:val="22"/>
          <w:color w:val="auto"/>
        </w:rPr>
        <w:t>b.1.d.</w:t>
      </w:r>
      <w:r>
        <w:rPr>
          <w:sz w:val="20"/>
          <w:szCs w:val="20"/>
          <w:color w:val="auto"/>
        </w:rPr>
        <w:tab/>
      </w:r>
      <w:r>
        <w:rPr>
          <w:rFonts w:ascii="Times New Roman" w:cs="Times New Roman" w:eastAsia="Times New Roman" w:hAnsi="Times New Roman"/>
          <w:sz w:val="21"/>
          <w:szCs w:val="21"/>
          <w:color w:val="auto"/>
        </w:rPr>
        <w:t>Chloropicrin:</w:t>
      </w:r>
    </w:p>
    <w:p>
      <w:pPr>
        <w:spacing w:after="0"/>
        <w:rPr>
          <w:sz w:val="20"/>
          <w:szCs w:val="20"/>
          <w:color w:val="auto"/>
        </w:rPr>
      </w:pPr>
      <w:r>
        <w:rPr>
          <w:rFonts w:ascii="Times New Roman" w:cs="Times New Roman" w:eastAsia="Times New Roman" w:hAnsi="Times New Roman"/>
          <w:sz w:val="22"/>
          <w:szCs w:val="22"/>
          <w:color w:val="auto"/>
        </w:rPr>
        <w:t>Trichloronitromethane (CAS 76-06-2).</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b.2. Precursor chemicals, as follows, and mixtures in which at least one of the following precursor chemicals constitutes 30 percent or more of the weight of the mixture:</w:t>
      </w:r>
    </w:p>
    <w:p>
      <w:pPr>
        <w:spacing w:after="0" w:line="20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4" w:name="page75"/>
    <w:bookmarkEnd w:id="7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75</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28"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b.2.a.</w:t>
        <w:tab/>
        <w:t>[Reserved];</w:t>
      </w:r>
    </w:p>
    <w:p>
      <w:pPr>
        <w:spacing w:after="0" w:line="254" w:lineRule="exact"/>
        <w:rPr>
          <w:sz w:val="20"/>
          <w:szCs w:val="20"/>
          <w:color w:val="auto"/>
        </w:rPr>
      </w:pPr>
    </w:p>
    <w:p>
      <w:pPr>
        <w:ind w:left="720"/>
        <w:spacing w:after="0"/>
        <w:tabs>
          <w:tab w:leader="none" w:pos="1500" w:val="left"/>
          <w:tab w:leader="none" w:pos="3640" w:val="left"/>
        </w:tabs>
        <w:rPr>
          <w:sz w:val="20"/>
          <w:szCs w:val="20"/>
          <w:color w:val="auto"/>
        </w:rPr>
      </w:pPr>
      <w:r>
        <w:rPr>
          <w:rFonts w:ascii="Times New Roman" w:cs="Times New Roman" w:eastAsia="Times New Roman" w:hAnsi="Times New Roman"/>
          <w:sz w:val="22"/>
          <w:szCs w:val="22"/>
          <w:color w:val="auto"/>
        </w:rPr>
        <w:t>b.2.b.</w:t>
      </w:r>
      <w:r>
        <w:rPr>
          <w:sz w:val="20"/>
          <w:szCs w:val="20"/>
          <w:color w:val="auto"/>
        </w:rPr>
        <w:tab/>
      </w:r>
      <w:r>
        <w:rPr>
          <w:rFonts w:ascii="Times New Roman" w:cs="Times New Roman" w:eastAsia="Times New Roman" w:hAnsi="Times New Roman"/>
          <w:sz w:val="22"/>
          <w:szCs w:val="22"/>
          <w:color w:val="auto"/>
        </w:rPr>
        <w:t>Methyldiethanolamine</w:t>
      </w:r>
      <w:r>
        <w:rPr>
          <w:sz w:val="20"/>
          <w:szCs w:val="20"/>
          <w:color w:val="auto"/>
        </w:rPr>
        <w:tab/>
      </w:r>
      <w:r>
        <w:rPr>
          <w:rFonts w:ascii="Times New Roman" w:cs="Times New Roman" w:eastAsia="Times New Roman" w:hAnsi="Times New Roman"/>
          <w:sz w:val="21"/>
          <w:szCs w:val="21"/>
          <w:color w:val="auto"/>
        </w:rPr>
        <w:t>(C.A.S.</w:t>
      </w:r>
    </w:p>
    <w:p>
      <w:pPr>
        <w:spacing w:after="0"/>
        <w:rPr>
          <w:sz w:val="20"/>
          <w:szCs w:val="20"/>
          <w:color w:val="auto"/>
        </w:rPr>
      </w:pPr>
      <w:r>
        <w:rPr>
          <w:rFonts w:ascii="Times New Roman" w:cs="Times New Roman" w:eastAsia="Times New Roman" w:hAnsi="Times New Roman"/>
          <w:sz w:val="22"/>
          <w:szCs w:val="22"/>
          <w:color w:val="auto"/>
        </w:rPr>
        <w:t>105-59-9).</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1C395 Mixtures and medical, analytical, diagnostic, and food testing kits not controlled by ECCN 1C350, as follows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720"/>
        <w:spacing w:after="0"/>
        <w:tabs>
          <w:tab w:leader="none" w:pos="26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CB, CW, AT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policies for toxic and precursor chemicals controlled for CW reasons.)</w:t>
      </w:r>
    </w:p>
    <w:p>
      <w:pPr>
        <w:spacing w:after="0" w:line="267"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AT applies to entire entry. The Commerce Country Chart is not designed to determine licensing requirements for items controlled for AT reasons in 1C395. A license is required, for AT reasons, to export or reexport items controlled by 1C395 to a country in Country Group E:1 of Supplement No. 1 to part 740 of the EAR. (See part 742 of the EAR for additional information on the AT controls that apply to Iran, North Korea, Sudan, and Syria. See part 746 of the EAR for additional information on sanctions that apply to Iran, North Korea, and Syria.)</w:t>
      </w:r>
    </w:p>
    <w:p>
      <w:pPr>
        <w:spacing w:after="0" w:line="24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Requirements Notes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CB applies to entire entry. The Commerce Country Chart is not designed to determine licensing requirements for items controlled for CB reasons in 1C395. A license is required, for CB reasons, to export or reexport mixtures controlled by 1C395.a and test kits controlled by 1C395.b to States not Party to the CWC (destinations not listed in Supplement No. 2 to part 745 of the EAR).</w:t>
      </w:r>
    </w:p>
    <w:p>
      <w:pPr>
        <w:spacing w:after="0" w:line="272"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CW applies to entire entry. The Commerce Country Chart is not designed to determine licensing requirements for items controlled for CW reasons. A license is required for CW reasons, as follows, to States not Party to the CWC (destinations not listed in Supplement No. 2 to part 745 of the EAR): (1) exports and reexports of mixtures controlled by 1C395.a, (2) exports and reexports of test kits controlled by 1C395.b that contain CWC Schedule 2 chemicals controlled by ECCN 1C350, (3) exports of test kits controlled by 1C395.b that contain CWC Schedule 3 chemicals controlled by ECCN 1C350, except that a license is not required, for CW reasons, to export test kits containing CWC Schedule 3 chemicals if an End Use Certificate issued by the government of the importing country is obtained by the exporter prior to export, and (4) reexports from States not Party to the CWC of test kits controlled by 1C395.b that contain CWC Schedule 3 chemicals. (See §742.18 of the EAR for license requirements and</w:t>
      </w:r>
    </w:p>
    <w:p>
      <w:pPr>
        <w:spacing w:after="0" w:line="20" w:lineRule="exact"/>
        <w:rPr>
          <w:sz w:val="20"/>
          <w:szCs w:val="20"/>
          <w:color w:val="auto"/>
        </w:rPr>
      </w:pPr>
      <w:r>
        <w:rPr>
          <w:sz w:val="20"/>
          <w:szCs w:val="20"/>
          <w:color w:val="auto"/>
        </w:rPr>
        <w:br w:type="column"/>
      </w:r>
    </w:p>
    <w:p>
      <w:pPr>
        <w:spacing w:after="0" w:line="46" w:lineRule="exact"/>
        <w:rPr>
          <w:sz w:val="20"/>
          <w:szCs w:val="20"/>
          <w:color w:val="auto"/>
        </w:rPr>
      </w:pPr>
    </w:p>
    <w:p>
      <w:pPr>
        <w:jc w:val="both"/>
        <w:ind w:firstLine="307"/>
        <w:spacing w:after="0" w:line="238" w:lineRule="auto"/>
        <w:tabs>
          <w:tab w:leader="none" w:pos="584" w:val="left"/>
        </w:tabs>
        <w:numPr>
          <w:ilvl w:val="0"/>
          <w:numId w:val="15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1C395.b does not control mixtures that contain precursor chemicals identified in ECCN 1C350.b or .c in concentrations below the control levels for mixtures indicated in 1C350.b or .c. 1C395.a and 1C995.a.1 and a.2.a control such mixtures, unless they are consumer goods, as described in License Requirements Note 2 of this ECCN.</w:t>
      </w:r>
    </w:p>
    <w:p>
      <w:pPr>
        <w:spacing w:after="0" w:line="269" w:lineRule="exact"/>
        <w:rPr>
          <w:rFonts w:ascii="Times New Roman" w:cs="Times New Roman" w:eastAsia="Times New Roman" w:hAnsi="Times New Roman"/>
          <w:sz w:val="22"/>
          <w:szCs w:val="22"/>
          <w:i w:val="1"/>
          <w:iCs w:val="1"/>
          <w:color w:val="auto"/>
        </w:rPr>
      </w:pPr>
    </w:p>
    <w:p>
      <w:pPr>
        <w:jc w:val="both"/>
        <w:ind w:firstLine="307"/>
        <w:spacing w:after="0" w:line="251" w:lineRule="auto"/>
        <w:tabs>
          <w:tab w:leader="none" w:pos="522" w:val="left"/>
        </w:tabs>
        <w:numPr>
          <w:ilvl w:val="0"/>
          <w:numId w:val="150"/>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This ECCN does not control mixtures when the controlled chemicals are normal ingredients in consumer goods packaged for retail sale for</w:t>
      </w:r>
    </w:p>
    <w:p>
      <w:pPr>
        <w:spacing w:after="0" w:line="1" w:lineRule="exact"/>
        <w:rPr>
          <w:rFonts w:ascii="Times New Roman" w:cs="Times New Roman" w:eastAsia="Times New Roman" w:hAnsi="Times New Roman"/>
          <w:sz w:val="21"/>
          <w:szCs w:val="21"/>
          <w:i w:val="1"/>
          <w:iCs w:val="1"/>
          <w:color w:val="auto"/>
        </w:rPr>
      </w:pPr>
    </w:p>
    <w:p>
      <w:pPr>
        <w:spacing w:after="0" w:line="234"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personal use. Such consumer goods are classified as EAR99.</w:t>
      </w:r>
    </w:p>
    <w:p>
      <w:pPr>
        <w:spacing w:after="0" w:line="264"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280"/>
        <w:spacing w:after="0"/>
        <w:tabs>
          <w:tab w:leader="none" w:pos="8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mixtures containing 30 percent or higher concentrations, by weight, of any single CWC Schedule 2 chemical identified in ECCN </w:t>
      </w: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auto"/>
        </w:rPr>
        <w:t xml:space="preserve">; ECCN </w:t>
      </w:r>
      <w:r>
        <w:rPr>
          <w:rFonts w:ascii="Times New Roman" w:cs="Times New Roman" w:eastAsia="Times New Roman" w:hAnsi="Times New Roman"/>
          <w:sz w:val="22"/>
          <w:szCs w:val="22"/>
          <w:u w:val="single" w:color="auto"/>
          <w:color w:val="0000FF"/>
        </w:rPr>
        <w:t>1C995</w:t>
      </w:r>
      <w:r>
        <w:rPr>
          <w:rFonts w:ascii="Times New Roman" w:cs="Times New Roman" w:eastAsia="Times New Roman" w:hAnsi="Times New Roman"/>
          <w:sz w:val="22"/>
          <w:szCs w:val="22"/>
          <w:color w:val="auto"/>
        </w:rPr>
        <w:t xml:space="preserve"> controls such mixtures containing concentrations of 10 percent or less. 2. ECCN </w:t>
      </w:r>
      <w:r>
        <w:rPr>
          <w:rFonts w:ascii="Times New Roman" w:cs="Times New Roman" w:eastAsia="Times New Roman" w:hAnsi="Times New Roman"/>
          <w:sz w:val="22"/>
          <w:szCs w:val="22"/>
          <w:u w:val="single" w:color="auto"/>
          <w:color w:val="0000FF"/>
        </w:rPr>
        <w:t>1C995</w:t>
      </w:r>
      <w:r>
        <w:rPr>
          <w:rFonts w:ascii="Times New Roman" w:cs="Times New Roman" w:eastAsia="Times New Roman" w:hAnsi="Times New Roman"/>
          <w:sz w:val="22"/>
          <w:szCs w:val="22"/>
          <w:color w:val="auto"/>
        </w:rPr>
        <w:t xml:space="preserve"> controls “medical, analytical, diagnostic, and food</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5" w:name="page76"/>
    <w:bookmarkEnd w:id="7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76</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 xml:space="preserve">testing kits” (as defined in the Related Definitions paragraph of this ECCN) that contain precursor chemicals listed in ECCN </w:t>
      </w:r>
      <w:r>
        <w:rPr>
          <w:rFonts w:ascii="Times New Roman" w:cs="Times New Roman" w:eastAsia="Times New Roman" w:hAnsi="Times New Roman"/>
          <w:sz w:val="22"/>
          <w:szCs w:val="22"/>
          <w:u w:val="single" w:color="auto"/>
          <w:color w:val="0000FF"/>
        </w:rPr>
        <w:t>1C350.d</w:t>
      </w:r>
      <w:r>
        <w:rPr>
          <w:rFonts w:ascii="Times New Roman" w:cs="Times New Roman" w:eastAsia="Times New Roman" w:hAnsi="Times New Roman"/>
          <w:sz w:val="22"/>
          <w:szCs w:val="22"/>
          <w:color w:val="000000"/>
        </w:rPr>
        <w:t>. ECCN</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controls any such</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kits in which the amount of any single chemical listed in </w:t>
      </w: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.c</w:t>
      </w:r>
      <w:r>
        <w:rPr>
          <w:rFonts w:ascii="Times New Roman" w:cs="Times New Roman" w:eastAsia="Times New Roman" w:hAnsi="Times New Roman"/>
          <w:sz w:val="22"/>
          <w:szCs w:val="22"/>
          <w:color w:val="000000"/>
        </w:rPr>
        <w:t xml:space="preserve">, or </w:t>
      </w:r>
      <w:r>
        <w:rPr>
          <w:rFonts w:ascii="Times New Roman" w:cs="Times New Roman" w:eastAsia="Times New Roman" w:hAnsi="Times New Roman"/>
          <w:sz w:val="22"/>
          <w:szCs w:val="22"/>
          <w:u w:val="single" w:color="auto"/>
          <w:color w:val="0000FF"/>
        </w:rPr>
        <w:t>.d</w:t>
      </w:r>
      <w:r>
        <w:rPr>
          <w:rFonts w:ascii="Times New Roman" w:cs="Times New Roman" w:eastAsia="Times New Roman" w:hAnsi="Times New Roman"/>
          <w:sz w:val="22"/>
          <w:szCs w:val="22"/>
          <w:color w:val="000000"/>
        </w:rPr>
        <w:t xml:space="preserve"> exceeds 300 grams by weight.</w:t>
      </w:r>
    </w:p>
    <w:p>
      <w:pPr>
        <w:spacing w:after="0" w:line="16"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For the purpose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“medical, analytical, diagnostic, and food testing kits” are pre-packaged materials of defined composition that are specifically developed, packaged and marketed for medical, analytical, diagnostic, or public health purposes. Replacement reagents for medical, analytical, diagnostic, and food testing kits described in 1C395.b are controlled by ECCN 1C350 if the reagents contain at least one of the precursor chemicals identified in that ECCN in concentrations equal to or greater than the control levels for mixtures indicated in 1C350.b or .c.</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 Mixtures containing more than 10 percent, but less than 30 percent, by weight of any single CWC Schedule 2 chemical identified in ECCN 1C350.b. (For controls on other mixtures containing these chemicals, see Note 1 in the Related Controls paragraph of this ECCN.)</w:t>
      </w:r>
    </w:p>
    <w:p>
      <w:pPr>
        <w:spacing w:after="0" w:line="266"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 xml:space="preserve">b. “Medical, analytical, diagnostic, and food testing kits” (as defined in the Related Definitions for this ECCN) that contain CWC Schedule 2 or 3 chemicals controlled by ECCN 1C350.b or .c in an amount </w:t>
      </w:r>
      <w:r>
        <w:rPr>
          <w:rFonts w:ascii="Times New Roman" w:cs="Times New Roman" w:eastAsia="Times New Roman" w:hAnsi="Times New Roman"/>
          <w:sz w:val="22"/>
          <w:szCs w:val="22"/>
          <w:i w:val="1"/>
          <w:iCs w:val="1"/>
          <w:color w:val="auto"/>
        </w:rPr>
        <w:t>not</w:t>
      </w:r>
      <w:r>
        <w:rPr>
          <w:rFonts w:ascii="Times New Roman" w:cs="Times New Roman" w:eastAsia="Times New Roman" w:hAnsi="Times New Roman"/>
          <w:sz w:val="22"/>
          <w:szCs w:val="22"/>
          <w:color w:val="auto"/>
        </w:rPr>
        <w:t xml:space="preserve"> exceeding 300 grams per chemical. (For controls on other such test kits containing these and other controlled chemicals, see Note 2 in the Related Controls paragraph of this ECCN.)</w:t>
      </w:r>
    </w:p>
    <w:p>
      <w:pPr>
        <w:spacing w:after="0" w:line="200" w:lineRule="exact"/>
        <w:rPr>
          <w:sz w:val="20"/>
          <w:szCs w:val="20"/>
          <w:color w:val="auto"/>
        </w:rPr>
      </w:pPr>
    </w:p>
    <w:p>
      <w:pPr>
        <w:spacing w:after="0" w:line="326" w:lineRule="exact"/>
        <w:rPr>
          <w:sz w:val="20"/>
          <w:szCs w:val="20"/>
          <w:color w:val="auto"/>
        </w:rPr>
      </w:pPr>
    </w:p>
    <w:p>
      <w:pPr>
        <w:ind w:right="60"/>
        <w:spacing w:after="0" w:line="236" w:lineRule="auto"/>
        <w:rPr>
          <w:sz w:val="20"/>
          <w:szCs w:val="20"/>
          <w:color w:val="auto"/>
        </w:rPr>
      </w:pPr>
      <w:r>
        <w:rPr>
          <w:rFonts w:ascii="Times New Roman" w:cs="Times New Roman" w:eastAsia="Times New Roman" w:hAnsi="Times New Roman"/>
          <w:sz w:val="22"/>
          <w:szCs w:val="22"/>
          <w:b w:val="1"/>
          <w:bCs w:val="1"/>
          <w:color w:val="auto"/>
        </w:rPr>
        <w:t>1C607 Tear Gases, Riot Control Agents and materials for the detection and decontamination of chemical warfare agents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180"/>
        <w:spacing w:after="0"/>
        <w:tabs>
          <w:tab w:leader="none" w:pos="21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RS, AT, UN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91"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1"/>
        </w:trPr>
        <w:tc>
          <w:tcPr>
            <w:tcW w:w="25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2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5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1"/>
        </w:trPr>
        <w:tc>
          <w:tcPr>
            <w:tcW w:w="25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53"/>
        </w:trPr>
        <w:tc>
          <w:tcPr>
            <w:tcW w:w="25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1C607.a.10, .a.11,</w:t>
            </w:r>
          </w:p>
        </w:tc>
        <w:tc>
          <w:tcPr>
            <w:tcW w:w="1820" w:type="dxa"/>
            <w:vAlign w:val="bottom"/>
            <w:tcBorders>
              <w:right w:val="single" w:sz="8" w:color="auto"/>
            </w:tcBorders>
          </w:tcPr>
          <w:p>
            <w:pPr>
              <w:spacing w:after="0"/>
              <w:rPr>
                <w:sz w:val="22"/>
                <w:szCs w:val="22"/>
                <w:color w:val="auto"/>
              </w:rPr>
            </w:pPr>
          </w:p>
        </w:tc>
      </w:tr>
      <w:tr>
        <w:trPr>
          <w:trHeight w:val="255"/>
        </w:trPr>
        <w:tc>
          <w:tcPr>
            <w:tcW w:w="25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.a.12, and .a.14</w:t>
            </w:r>
          </w:p>
        </w:tc>
        <w:tc>
          <w:tcPr>
            <w:tcW w:w="1820" w:type="dxa"/>
            <w:vAlign w:val="bottom"/>
            <w:tcBorders>
              <w:bottom w:val="single" w:sz="8" w:color="auto"/>
              <w:right w:val="single" w:sz="8" w:color="auto"/>
            </w:tcBorders>
          </w:tcPr>
          <w:p>
            <w:pPr>
              <w:spacing w:after="0"/>
              <w:rPr>
                <w:sz w:val="22"/>
                <w:szCs w:val="22"/>
                <w:color w:val="auto"/>
              </w:rPr>
            </w:pPr>
          </w:p>
        </w:tc>
      </w:tr>
      <w:tr>
        <w:trPr>
          <w:trHeight w:val="243"/>
        </w:trPr>
        <w:tc>
          <w:tcPr>
            <w:tcW w:w="25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 entire entry</w:t>
            </w:r>
          </w:p>
        </w:tc>
        <w:tc>
          <w:tcPr>
            <w:tcW w:w="182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5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41"/>
        </w:trPr>
        <w:tc>
          <w:tcPr>
            <w:tcW w:w="25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See § 746.1(b)</w:t>
            </w:r>
          </w:p>
        </w:tc>
      </w:tr>
      <w:tr>
        <w:trPr>
          <w:trHeight w:val="255"/>
        </w:trPr>
        <w:tc>
          <w:tcPr>
            <w:tcW w:w="25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for UN controls</w:t>
            </w:r>
          </w:p>
        </w:tc>
      </w:tr>
    </w:tbl>
    <w:p>
      <w:pPr>
        <w:spacing w:after="0" w:line="264" w:lineRule="exact"/>
        <w:rPr>
          <w:sz w:val="20"/>
          <w:szCs w:val="20"/>
          <w:color w:val="auto"/>
        </w:rPr>
      </w:pPr>
    </w:p>
    <w:p>
      <w:pPr>
        <w:jc w:val="both"/>
        <w:ind w:right="200"/>
        <w:spacing w:after="0" w:line="250" w:lineRule="auto"/>
        <w:rPr>
          <w:sz w:val="20"/>
          <w:szCs w:val="20"/>
          <w:color w:val="auto"/>
        </w:rPr>
      </w:pPr>
      <w:r>
        <w:rPr>
          <w:rFonts w:ascii="Times New Roman" w:cs="Times New Roman" w:eastAsia="Times New Roman" w:hAnsi="Times New Roman"/>
          <w:sz w:val="21"/>
          <w:szCs w:val="21"/>
          <w:b w:val="1"/>
          <w:bCs w:val="1"/>
          <w:color w:val="auto"/>
        </w:rPr>
        <w:t>List Based License Exceptions (See Part 740 for a description of all license exceptions)</w:t>
      </w:r>
    </w:p>
    <w:p>
      <w:pPr>
        <w:spacing w:after="0" w:line="243" w:lineRule="exact"/>
        <w:rPr>
          <w:sz w:val="20"/>
          <w:szCs w:val="20"/>
          <w:color w:val="auto"/>
        </w:rPr>
      </w:pPr>
    </w:p>
    <w:p>
      <w:pPr>
        <w:ind w:left="180"/>
        <w:spacing w:after="0"/>
        <w:tabs>
          <w:tab w:leader="none" w:pos="7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180"/>
        <w:spacing w:after="0"/>
        <w:tabs>
          <w:tab w:leader="none" w:pos="80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180"/>
        <w:spacing w:after="0"/>
        <w:tabs>
          <w:tab w:leader="none" w:pos="7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Special Conditions for STA</w:t>
      </w:r>
    </w:p>
    <w:p>
      <w:pPr>
        <w:spacing w:after="0" w:line="264" w:lineRule="exact"/>
        <w:rPr>
          <w:sz w:val="20"/>
          <w:szCs w:val="20"/>
          <w:color w:val="auto"/>
        </w:rPr>
      </w:pPr>
    </w:p>
    <w:p>
      <w:pPr>
        <w:jc w:val="both"/>
        <w:ind w:left="720" w:hanging="539"/>
        <w:spacing w:after="0" w:line="236" w:lineRule="auto"/>
        <w:rPr>
          <w:sz w:val="20"/>
          <w:szCs w:val="20"/>
          <w:color w:val="auto"/>
        </w:rPr>
      </w:pPr>
      <w:r>
        <w:rPr>
          <w:rFonts w:ascii="Times New Roman" w:cs="Times New Roman" w:eastAsia="Times New Roman" w:hAnsi="Times New Roman"/>
          <w:sz w:val="22"/>
          <w:szCs w:val="22"/>
          <w:i w:val="1"/>
          <w:iCs w:val="1"/>
          <w:color w:val="auto"/>
        </w:rPr>
        <w:t>STA</w:t>
      </w:r>
      <w:r>
        <w:rPr>
          <w:rFonts w:ascii="Times New Roman" w:cs="Times New Roman" w:eastAsia="Times New Roman" w:hAnsi="Times New Roman"/>
          <w:sz w:val="22"/>
          <w:szCs w:val="22"/>
          <w:color w:val="auto"/>
        </w:rPr>
        <w:t>: Paragraph (c)(2) of License Exception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STA (§ 740.20(c)(2) of the EAR) may not be used for any item in 1C607.</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18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ECCN 1A984 for</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controls on other riot control agents. (2) See 22 CFR § 121.1 (USML), Category XIV(b), for modified biological agents and biologically derived substances that are subject to the ITAR.</w:t>
      </w:r>
    </w:p>
    <w:p>
      <w:pPr>
        <w:spacing w:after="0" w:line="2" w:lineRule="exact"/>
        <w:rPr>
          <w:sz w:val="20"/>
          <w:szCs w:val="20"/>
          <w:color w:val="auto"/>
        </w:rPr>
      </w:pPr>
    </w:p>
    <w:p>
      <w:pPr>
        <w:jc w:val="both"/>
        <w:ind w:left="180" w:firstLine="1"/>
        <w:spacing w:after="0" w:line="234" w:lineRule="auto"/>
        <w:tabs>
          <w:tab w:leader="none" w:pos="621" w:val="left"/>
        </w:tabs>
        <w:numPr>
          <w:ilvl w:val="1"/>
          <w:numId w:val="15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22 CFR § 121.1 (USML), Category XIV(g), for ITAR controls on antibodies,</w:t>
      </w:r>
    </w:p>
    <w:p>
      <w:pPr>
        <w:spacing w:after="0" w:line="13" w:lineRule="exact"/>
        <w:rPr>
          <w:rFonts w:ascii="Times New Roman" w:cs="Times New Roman" w:eastAsia="Times New Roman" w:hAnsi="Times New Roman"/>
          <w:sz w:val="22"/>
          <w:szCs w:val="22"/>
          <w:color w:val="auto"/>
        </w:rPr>
      </w:pPr>
    </w:p>
    <w:p>
      <w:pPr>
        <w:jc w:val="both"/>
        <w:ind w:left="180"/>
        <w:spacing w:after="0" w:line="238"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recombinant protective antigens, polynucleotides, biopolymers or biocatalysts (including the expression vectors, viruses, plasmids, or cultures of specific cells used to produce them) that are “specially designed” for use with articles controlled under USML Category XIV(f). (4) See ECCN 0A919 for</w:t>
      </w:r>
    </w:p>
    <w:p>
      <w:pPr>
        <w:spacing w:after="0" w:line="15" w:lineRule="exact"/>
        <w:rPr>
          <w:rFonts w:ascii="Times New Roman" w:cs="Times New Roman" w:eastAsia="Times New Roman" w:hAnsi="Times New Roman"/>
          <w:sz w:val="22"/>
          <w:szCs w:val="22"/>
          <w:color w:val="auto"/>
        </w:rPr>
      </w:pPr>
    </w:p>
    <w:p>
      <w:pPr>
        <w:jc w:val="both"/>
        <w:ind w:left="18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“military commodities” located and produced outside the United States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US-origin “600 series” controlled content.</w:t>
      </w:r>
    </w:p>
    <w:p>
      <w:pPr>
        <w:spacing w:after="0" w:line="16" w:lineRule="exact"/>
        <w:rPr>
          <w:rFonts w:ascii="Times New Roman" w:cs="Times New Roman" w:eastAsia="Times New Roman" w:hAnsi="Times New Roman"/>
          <w:sz w:val="22"/>
          <w:szCs w:val="22"/>
          <w:color w:val="auto"/>
        </w:rPr>
      </w:pPr>
    </w:p>
    <w:p>
      <w:pPr>
        <w:ind w:left="180" w:right="182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52"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1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Tear gases and riot control agents including:</w:t>
      </w:r>
    </w:p>
    <w:p>
      <w:pPr>
        <w:spacing w:after="0" w:line="393"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6" w:name="page77"/>
    <w:bookmarkEnd w:id="7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77</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right="40" w:firstLine="180"/>
        <w:spacing w:after="0" w:line="234" w:lineRule="auto"/>
        <w:rPr>
          <w:sz w:val="20"/>
          <w:szCs w:val="20"/>
          <w:color w:val="auto"/>
        </w:rPr>
      </w:pPr>
      <w:r>
        <w:rPr>
          <w:rFonts w:ascii="Times New Roman" w:cs="Times New Roman" w:eastAsia="Times New Roman" w:hAnsi="Times New Roman"/>
          <w:sz w:val="22"/>
          <w:szCs w:val="22"/>
          <w:color w:val="auto"/>
        </w:rPr>
        <w:t>a.1. CA (Bromobenzyl cyanide) (CAS 5798– 79–8);</w:t>
      </w:r>
    </w:p>
    <w:p>
      <w:pPr>
        <w:spacing w:after="0" w:line="267" w:lineRule="exact"/>
        <w:rPr>
          <w:sz w:val="20"/>
          <w:szCs w:val="20"/>
          <w:color w:val="auto"/>
        </w:rPr>
      </w:pPr>
    </w:p>
    <w:p>
      <w:pPr>
        <w:jc w:val="both"/>
        <w:ind w:right="200" w:firstLine="180"/>
        <w:spacing w:after="0" w:line="235" w:lineRule="auto"/>
        <w:rPr>
          <w:sz w:val="20"/>
          <w:szCs w:val="20"/>
          <w:color w:val="auto"/>
        </w:rPr>
      </w:pPr>
      <w:r>
        <w:rPr>
          <w:rFonts w:ascii="Times New Roman" w:cs="Times New Roman" w:eastAsia="Times New Roman" w:hAnsi="Times New Roman"/>
          <w:sz w:val="22"/>
          <w:szCs w:val="22"/>
          <w:color w:val="auto"/>
        </w:rPr>
        <w:t>a.2. CS (o-Chlorobenzylidenemalononitrile or o-Chlorobenzalmalononitrile) (CAS 2698– 41–1);</w:t>
      </w:r>
    </w:p>
    <w:p>
      <w:pPr>
        <w:spacing w:after="0" w:line="268" w:lineRule="exact"/>
        <w:rPr>
          <w:sz w:val="20"/>
          <w:szCs w:val="20"/>
          <w:color w:val="auto"/>
        </w:rPr>
      </w:pPr>
    </w:p>
    <w:p>
      <w:pPr>
        <w:ind w:right="840" w:firstLine="180"/>
        <w:spacing w:after="0" w:line="250" w:lineRule="auto"/>
        <w:rPr>
          <w:sz w:val="20"/>
          <w:szCs w:val="20"/>
          <w:color w:val="auto"/>
        </w:rPr>
      </w:pPr>
      <w:r>
        <w:rPr>
          <w:rFonts w:ascii="Times New Roman" w:cs="Times New Roman" w:eastAsia="Times New Roman" w:hAnsi="Times New Roman"/>
          <w:sz w:val="21"/>
          <w:szCs w:val="21"/>
          <w:color w:val="auto"/>
        </w:rPr>
        <w:t>a.3. CN (Phenylacyl chloride or w-Chloroacetophenone) (CAS 532–27-4);</w:t>
      </w:r>
    </w:p>
    <w:p>
      <w:pPr>
        <w:spacing w:after="0" w:line="255" w:lineRule="exact"/>
        <w:rPr>
          <w:sz w:val="20"/>
          <w:szCs w:val="20"/>
          <w:color w:val="auto"/>
        </w:rPr>
      </w:pPr>
    </w:p>
    <w:p>
      <w:pPr>
        <w:ind w:right="80" w:firstLine="180"/>
        <w:spacing w:after="0" w:line="234" w:lineRule="auto"/>
        <w:rPr>
          <w:sz w:val="20"/>
          <w:szCs w:val="20"/>
          <w:color w:val="auto"/>
        </w:rPr>
      </w:pPr>
      <w:r>
        <w:rPr>
          <w:rFonts w:ascii="Times New Roman" w:cs="Times New Roman" w:eastAsia="Times New Roman" w:hAnsi="Times New Roman"/>
          <w:sz w:val="22"/>
          <w:szCs w:val="22"/>
          <w:color w:val="auto"/>
        </w:rPr>
        <w:t>a.4. CR (Dibenz-(b,f)-1,4-oxazephine) (CAS 257–07–8);</w:t>
      </w:r>
    </w:p>
    <w:p>
      <w:pPr>
        <w:spacing w:after="0" w:line="266" w:lineRule="exact"/>
        <w:rPr>
          <w:sz w:val="20"/>
          <w:szCs w:val="20"/>
          <w:color w:val="auto"/>
        </w:rPr>
      </w:pPr>
    </w:p>
    <w:p>
      <w:pPr>
        <w:ind w:right="180" w:firstLine="180"/>
        <w:spacing w:after="0" w:line="234" w:lineRule="auto"/>
        <w:rPr>
          <w:sz w:val="20"/>
          <w:szCs w:val="20"/>
          <w:color w:val="auto"/>
        </w:rPr>
      </w:pPr>
      <w:r>
        <w:rPr>
          <w:rFonts w:ascii="Times New Roman" w:cs="Times New Roman" w:eastAsia="Times New Roman" w:hAnsi="Times New Roman"/>
          <w:sz w:val="22"/>
          <w:szCs w:val="22"/>
          <w:color w:val="auto"/>
        </w:rPr>
        <w:t>a.5. Adamsite (Diphenylamine chloroarsine or DM) (CAS 578–94–9);</w:t>
      </w:r>
    </w:p>
    <w:p>
      <w:pPr>
        <w:spacing w:after="0" w:line="265" w:lineRule="exact"/>
        <w:rPr>
          <w:sz w:val="20"/>
          <w:szCs w:val="20"/>
          <w:color w:val="auto"/>
        </w:rPr>
      </w:pPr>
    </w:p>
    <w:p>
      <w:pPr>
        <w:ind w:right="240" w:firstLine="180"/>
        <w:spacing w:after="0" w:line="234" w:lineRule="auto"/>
        <w:rPr>
          <w:sz w:val="20"/>
          <w:szCs w:val="20"/>
          <w:color w:val="auto"/>
        </w:rPr>
      </w:pPr>
      <w:r>
        <w:rPr>
          <w:rFonts w:ascii="Times New Roman" w:cs="Times New Roman" w:eastAsia="Times New Roman" w:hAnsi="Times New Roman"/>
          <w:sz w:val="22"/>
          <w:szCs w:val="22"/>
          <w:color w:val="auto"/>
        </w:rPr>
        <w:t>a.6. N-Nonanoylmorpholine, (MPA) (CAS 5299-64-9);</w:t>
      </w:r>
    </w:p>
    <w:p>
      <w:pPr>
        <w:spacing w:after="0" w:line="266" w:lineRule="exact"/>
        <w:rPr>
          <w:sz w:val="20"/>
          <w:szCs w:val="20"/>
          <w:color w:val="auto"/>
        </w:rPr>
      </w:pPr>
    </w:p>
    <w:p>
      <w:pPr>
        <w:ind w:right="80" w:firstLine="180"/>
        <w:spacing w:after="0" w:line="234" w:lineRule="auto"/>
        <w:rPr>
          <w:sz w:val="20"/>
          <w:szCs w:val="20"/>
          <w:color w:val="auto"/>
        </w:rPr>
      </w:pPr>
      <w:r>
        <w:rPr>
          <w:rFonts w:ascii="Times New Roman" w:cs="Times New Roman" w:eastAsia="Times New Roman" w:hAnsi="Times New Roman"/>
          <w:sz w:val="22"/>
          <w:szCs w:val="22"/>
          <w:color w:val="auto"/>
        </w:rPr>
        <w:t>a.7. Dibromodimethyl ether (CAS 4497–29– 4);</w:t>
      </w:r>
    </w:p>
    <w:p>
      <w:pPr>
        <w:spacing w:after="0" w:line="265" w:lineRule="exact"/>
        <w:rPr>
          <w:sz w:val="20"/>
          <w:szCs w:val="20"/>
          <w:color w:val="auto"/>
        </w:rPr>
      </w:pPr>
    </w:p>
    <w:p>
      <w:pPr>
        <w:ind w:right="420" w:firstLine="180"/>
        <w:spacing w:after="0" w:line="234" w:lineRule="auto"/>
        <w:rPr>
          <w:sz w:val="20"/>
          <w:szCs w:val="20"/>
          <w:color w:val="auto"/>
        </w:rPr>
      </w:pPr>
      <w:r>
        <w:rPr>
          <w:rFonts w:ascii="Times New Roman" w:cs="Times New Roman" w:eastAsia="Times New Roman" w:hAnsi="Times New Roman"/>
          <w:sz w:val="22"/>
          <w:szCs w:val="22"/>
          <w:color w:val="auto"/>
        </w:rPr>
        <w:t>a.8. Dichlorodimethyl ether (ClCi) (CAS 542–88–1);</w:t>
      </w:r>
    </w:p>
    <w:p>
      <w:pPr>
        <w:spacing w:after="0" w:line="254" w:lineRule="exact"/>
        <w:rPr>
          <w:sz w:val="20"/>
          <w:szCs w:val="20"/>
          <w:color w:val="auto"/>
        </w:rPr>
      </w:pPr>
    </w:p>
    <w:p>
      <w:pPr>
        <w:ind w:left="180"/>
        <w:spacing w:after="0"/>
        <w:tabs>
          <w:tab w:leader="none" w:pos="660" w:val="left"/>
        </w:tabs>
        <w:rPr>
          <w:sz w:val="20"/>
          <w:szCs w:val="20"/>
          <w:color w:val="auto"/>
        </w:rPr>
      </w:pPr>
      <w:r>
        <w:rPr>
          <w:rFonts w:ascii="Times New Roman" w:cs="Times New Roman" w:eastAsia="Times New Roman" w:hAnsi="Times New Roman"/>
          <w:sz w:val="22"/>
          <w:szCs w:val="22"/>
          <w:color w:val="auto"/>
        </w:rPr>
        <w:t>a.9.</w:t>
        <w:tab/>
        <w:t>Ethyldibromoarsine (CAS 683–43–2);</w:t>
      </w:r>
    </w:p>
    <w:p>
      <w:pPr>
        <w:spacing w:after="0" w:line="252" w:lineRule="exact"/>
        <w:rPr>
          <w:sz w:val="20"/>
          <w:szCs w:val="20"/>
          <w:color w:val="auto"/>
        </w:rPr>
      </w:pPr>
    </w:p>
    <w:p>
      <w:pPr>
        <w:ind w:left="180"/>
        <w:spacing w:after="0"/>
        <w:tabs>
          <w:tab w:leader="none" w:pos="760" w:val="left"/>
        </w:tabs>
        <w:rPr>
          <w:sz w:val="20"/>
          <w:szCs w:val="20"/>
          <w:color w:val="auto"/>
        </w:rPr>
      </w:pPr>
      <w:r>
        <w:rPr>
          <w:rFonts w:ascii="Times New Roman" w:cs="Times New Roman" w:eastAsia="Times New Roman" w:hAnsi="Times New Roman"/>
          <w:sz w:val="22"/>
          <w:szCs w:val="22"/>
          <w:color w:val="auto"/>
        </w:rPr>
        <w:t>a.10.</w:t>
        <w:tab/>
        <w:t>Bromo acetone (CAS 598-31-2);</w:t>
      </w:r>
    </w:p>
    <w:p>
      <w:pPr>
        <w:spacing w:after="0" w:line="266" w:lineRule="exact"/>
        <w:rPr>
          <w:sz w:val="20"/>
          <w:szCs w:val="20"/>
          <w:color w:val="auto"/>
        </w:rPr>
      </w:pPr>
    </w:p>
    <w:p>
      <w:pPr>
        <w:ind w:right="220" w:firstLine="180"/>
        <w:spacing w:after="0" w:line="234" w:lineRule="auto"/>
        <w:rPr>
          <w:sz w:val="20"/>
          <w:szCs w:val="20"/>
          <w:color w:val="auto"/>
        </w:rPr>
      </w:pPr>
      <w:r>
        <w:rPr>
          <w:rFonts w:ascii="Times New Roman" w:cs="Times New Roman" w:eastAsia="Times New Roman" w:hAnsi="Times New Roman"/>
          <w:sz w:val="22"/>
          <w:szCs w:val="22"/>
          <w:color w:val="auto"/>
        </w:rPr>
        <w:t>a.11. Bromo methylethylketone (CAS 816-40-0);</w:t>
      </w:r>
    </w:p>
    <w:p>
      <w:pPr>
        <w:spacing w:after="0" w:line="253" w:lineRule="exact"/>
        <w:rPr>
          <w:sz w:val="20"/>
          <w:szCs w:val="20"/>
          <w:color w:val="auto"/>
        </w:rPr>
      </w:pPr>
    </w:p>
    <w:p>
      <w:pPr>
        <w:ind w:left="180"/>
        <w:spacing w:after="0"/>
        <w:tabs>
          <w:tab w:leader="none" w:pos="760" w:val="left"/>
        </w:tabs>
        <w:rPr>
          <w:sz w:val="20"/>
          <w:szCs w:val="20"/>
          <w:color w:val="auto"/>
        </w:rPr>
      </w:pPr>
      <w:r>
        <w:rPr>
          <w:rFonts w:ascii="Times New Roman" w:cs="Times New Roman" w:eastAsia="Times New Roman" w:hAnsi="Times New Roman"/>
          <w:sz w:val="22"/>
          <w:szCs w:val="22"/>
          <w:color w:val="auto"/>
        </w:rPr>
        <w:t>a.12.</w:t>
        <w:tab/>
        <w:t>Iodo acetone (CAS 3019-04-3);</w:t>
      </w:r>
    </w:p>
    <w:p>
      <w:pPr>
        <w:spacing w:after="0" w:line="266" w:lineRule="exact"/>
        <w:rPr>
          <w:sz w:val="20"/>
          <w:szCs w:val="20"/>
          <w:color w:val="auto"/>
        </w:rPr>
      </w:pPr>
    </w:p>
    <w:p>
      <w:pPr>
        <w:ind w:right="40" w:firstLine="180"/>
        <w:spacing w:after="0" w:line="234" w:lineRule="auto"/>
        <w:rPr>
          <w:sz w:val="20"/>
          <w:szCs w:val="20"/>
          <w:color w:val="auto"/>
        </w:rPr>
      </w:pPr>
      <w:r>
        <w:rPr>
          <w:rFonts w:ascii="Times New Roman" w:cs="Times New Roman" w:eastAsia="Times New Roman" w:hAnsi="Times New Roman"/>
          <w:sz w:val="22"/>
          <w:szCs w:val="22"/>
          <w:color w:val="auto"/>
        </w:rPr>
        <w:t>a.13. Phenylcarbylamine chloride (CAS 622-44-6);</w:t>
      </w:r>
    </w:p>
    <w:p>
      <w:pPr>
        <w:spacing w:after="0" w:line="253" w:lineRule="exact"/>
        <w:rPr>
          <w:sz w:val="20"/>
          <w:szCs w:val="20"/>
          <w:color w:val="auto"/>
        </w:rPr>
      </w:pPr>
    </w:p>
    <w:p>
      <w:pPr>
        <w:ind w:left="180"/>
        <w:spacing w:after="0"/>
        <w:tabs>
          <w:tab w:leader="none" w:pos="760" w:val="left"/>
        </w:tabs>
        <w:rPr>
          <w:sz w:val="20"/>
          <w:szCs w:val="20"/>
          <w:color w:val="auto"/>
        </w:rPr>
      </w:pPr>
      <w:r>
        <w:rPr>
          <w:rFonts w:ascii="Times New Roman" w:cs="Times New Roman" w:eastAsia="Times New Roman" w:hAnsi="Times New Roman"/>
          <w:sz w:val="22"/>
          <w:szCs w:val="22"/>
          <w:color w:val="auto"/>
        </w:rPr>
        <w:t>a.14.</w:t>
        <w:tab/>
        <w:t>Ethyl iodoacetate (CAS 623-48-3);</w:t>
      </w:r>
    </w:p>
    <w:p>
      <w:pPr>
        <w:spacing w:after="0" w:line="267" w:lineRule="exact"/>
        <w:rPr>
          <w:sz w:val="20"/>
          <w:szCs w:val="20"/>
          <w:color w:val="auto"/>
        </w:rPr>
      </w:pPr>
    </w:p>
    <w:p>
      <w:pPr>
        <w:jc w:val="both"/>
        <w:ind w:firstLine="18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to 1C607.a: </w:t>
      </w:r>
      <w:r>
        <w:rPr>
          <w:rFonts w:ascii="Times New Roman" w:cs="Times New Roman" w:eastAsia="Times New Roman" w:hAnsi="Times New Roman"/>
          <w:sz w:val="21"/>
          <w:szCs w:val="21"/>
          <w:i w:val="1"/>
          <w:iCs w:val="1"/>
          <w:color w:val="auto"/>
        </w:rPr>
        <w:t>ECCN 1C607.a. does not</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control the following: formulations containing 1% or less of CN or CS; individually packaged tear gases or riot control agents for personal self-defense purposes that are controlled by ECCN 1A984; or active constituent chemicals, and combinations thereof, identified and packaged for food production or medical purposes.</w:t>
      </w:r>
    </w:p>
    <w:p>
      <w:pPr>
        <w:spacing w:after="0" w:line="255" w:lineRule="exact"/>
        <w:rPr>
          <w:sz w:val="20"/>
          <w:szCs w:val="20"/>
          <w:color w:val="auto"/>
        </w:rPr>
      </w:pPr>
    </w:p>
    <w:p>
      <w:pPr>
        <w:jc w:val="both"/>
        <w:spacing w:after="0" w:line="234" w:lineRule="auto"/>
        <w:tabs>
          <w:tab w:leader="none" w:pos="427" w:val="left"/>
        </w:tabs>
        <w:numPr>
          <w:ilvl w:val="0"/>
          <w:numId w:val="15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“Biopolymers,” not controlled by USML Category XIV(g) “specially designed” or</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processed for the detection or identification of chemical warfare agents specified by USML Category XIV(a), and the cultures of specific cells used to produce them.</w:t>
      </w:r>
    </w:p>
    <w:p>
      <w:pPr>
        <w:spacing w:after="0" w:line="266" w:lineRule="exact"/>
        <w:rPr>
          <w:sz w:val="20"/>
          <w:szCs w:val="20"/>
          <w:color w:val="auto"/>
        </w:rPr>
      </w:pPr>
    </w:p>
    <w:p>
      <w:pPr>
        <w:jc w:val="both"/>
        <w:ind w:firstLine="1"/>
        <w:spacing w:after="0" w:line="234" w:lineRule="auto"/>
        <w:tabs>
          <w:tab w:leader="none" w:pos="538" w:val="left"/>
        </w:tabs>
        <w:numPr>
          <w:ilvl w:val="0"/>
          <w:numId w:val="15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“Biocatalysts,” and biological systems therefor, not controlled by USML Category</w:t>
      </w:r>
    </w:p>
    <w:p>
      <w:pPr>
        <w:spacing w:after="0" w:line="13" w:lineRule="exact"/>
        <w:rPr>
          <w:rFonts w:ascii="Times New Roman" w:cs="Times New Roman" w:eastAsia="Times New Roman" w:hAnsi="Times New Roman"/>
          <w:sz w:val="22"/>
          <w:szCs w:val="22"/>
          <w:color w:val="auto"/>
        </w:rPr>
      </w:pPr>
    </w:p>
    <w:p>
      <w:pPr>
        <w:jc w:val="both"/>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XIV(g) “specially designed” for the decontamination or degradation of chemical warfare agents controlled in USML Category XIV (a), as follows:</w:t>
      </w:r>
    </w:p>
    <w:p>
      <w:pPr>
        <w:spacing w:after="0" w:line="270"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c.1. “Biocatalysts” “specially designed” for the decontamination or degradation of chemical warfare agents controlled in USML Category XIV(a) resulting from directed laboratory selection or genetic manipulation of biological systems;</w:t>
      </w:r>
    </w:p>
    <w:p>
      <w:pPr>
        <w:spacing w:after="0" w:line="266" w:lineRule="exact"/>
        <w:rPr>
          <w:sz w:val="20"/>
          <w:szCs w:val="20"/>
          <w:color w:val="auto"/>
        </w:rPr>
      </w:pPr>
    </w:p>
    <w:p>
      <w:pPr>
        <w:ind w:right="60" w:firstLine="360"/>
        <w:spacing w:after="0" w:line="236" w:lineRule="auto"/>
        <w:rPr>
          <w:sz w:val="20"/>
          <w:szCs w:val="20"/>
          <w:color w:val="auto"/>
        </w:rPr>
      </w:pPr>
      <w:r>
        <w:rPr>
          <w:rFonts w:ascii="Times New Roman" w:cs="Times New Roman" w:eastAsia="Times New Roman" w:hAnsi="Times New Roman"/>
          <w:sz w:val="22"/>
          <w:szCs w:val="22"/>
          <w:color w:val="auto"/>
        </w:rPr>
        <w:t>c.2. Biological systems containing the genetic information specific to the production of “biocatalysts” specified by 1C607.c.1, as follows:</w:t>
      </w:r>
    </w:p>
    <w:p>
      <w:pPr>
        <w:spacing w:after="0" w:line="4"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c.2.a.</w:t>
        <w:tab/>
        <w:t>“Expression vectors;”</w:t>
      </w:r>
    </w:p>
    <w:p>
      <w:pPr>
        <w:spacing w:after="0" w:line="254"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c.2.b.</w:t>
        <w:tab/>
        <w:t xml:space="preserve">Viruses;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c.2.c.</w:t>
        <w:tab/>
        <w:t>Cultures of cells.</w:t>
      </w:r>
    </w:p>
    <w:p>
      <w:pPr>
        <w:spacing w:after="0" w:line="26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to 1C607.b and .c: </w:t>
      </w:r>
      <w:r>
        <w:rPr>
          <w:rFonts w:ascii="Times New Roman" w:cs="Times New Roman" w:eastAsia="Times New Roman" w:hAnsi="Times New Roman"/>
          <w:sz w:val="21"/>
          <w:szCs w:val="21"/>
          <w:i w:val="1"/>
          <w:iCs w:val="1"/>
          <w:color w:val="auto"/>
        </w:rPr>
        <w:t>The cultures of</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cells and biological systems are exclusive and these sub-items do not apply to cells or biological systems for civil purposes, such as agricultural,</w:t>
      </w:r>
    </w:p>
    <w:p>
      <w:pPr>
        <w:spacing w:after="0" w:line="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i w:val="1"/>
          <w:iCs w:val="1"/>
          <w:color w:val="auto"/>
        </w:rPr>
        <w:t>pharmaceutical, medical, veterinary, environmental, waste management, or in the food industry.</w:t>
      </w:r>
    </w:p>
    <w:p>
      <w:pPr>
        <w:spacing w:after="0" w:line="252"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d.</w:t>
        <w:tab/>
        <w:t>Chemical mixtures not controlled by USML</w:t>
      </w:r>
    </w:p>
    <w:p>
      <w:pPr>
        <w:spacing w:after="0" w:line="1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Category XIV(f) “specially designed” for military use for the decontamination of objects contaminated with materials specified by USML Category XIV(a) or (b).</w:t>
      </w:r>
    </w:p>
    <w:p>
      <w:pPr>
        <w:spacing w:after="0" w:line="200" w:lineRule="exact"/>
        <w:rPr>
          <w:sz w:val="20"/>
          <w:szCs w:val="20"/>
          <w:color w:val="auto"/>
        </w:rPr>
      </w:pPr>
    </w:p>
    <w:p>
      <w:pPr>
        <w:spacing w:after="0" w:line="320"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1C608 “Energetic materials” and related commodities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RS, MT, AT, UN</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7" w:name="page78"/>
    <w:bookmarkEnd w:id="7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78</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11"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00" w:type="dxa"/>
            <w:vAlign w:val="bottom"/>
            <w:tcBorders>
              <w:top w:val="single" w:sz="8" w:color="auto"/>
              <w:left w:val="single" w:sz="8" w:color="auto"/>
              <w:right w:val="single" w:sz="8" w:color="auto"/>
            </w:tcBorders>
          </w:tcPr>
          <w:p>
            <w:pPr>
              <w:spacing w:after="0"/>
              <w:rPr>
                <w:sz w:val="22"/>
                <w:szCs w:val="22"/>
                <w:color w:val="auto"/>
              </w:rPr>
            </w:pPr>
          </w:p>
        </w:tc>
        <w:tc>
          <w:tcPr>
            <w:tcW w:w="18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0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500" w:type="dxa"/>
            <w:vAlign w:val="bottom"/>
            <w:tcBorders>
              <w:left w:val="single" w:sz="8" w:color="auto"/>
              <w:bottom w:val="single" w:sz="8" w:color="auto"/>
              <w:right w:val="single" w:sz="8" w:color="auto"/>
            </w:tcBorders>
          </w:tcPr>
          <w:p>
            <w:pPr>
              <w:spacing w:after="0"/>
              <w:rPr>
                <w:sz w:val="22"/>
                <w:szCs w:val="22"/>
                <w:color w:val="auto"/>
              </w:rPr>
            </w:pPr>
          </w:p>
        </w:tc>
        <w:tc>
          <w:tcPr>
            <w:tcW w:w="18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44"/>
        </w:trPr>
        <w:tc>
          <w:tcPr>
            <w:tcW w:w="2500" w:type="dxa"/>
            <w:vAlign w:val="bottom"/>
            <w:tcBorders>
              <w:left w:val="single" w:sz="8" w:color="auto"/>
              <w:bottom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MT applies to 1C608.m</w:t>
            </w:r>
          </w:p>
        </w:tc>
        <w:tc>
          <w:tcPr>
            <w:tcW w:w="1840" w:type="dxa"/>
            <w:vAlign w:val="bottom"/>
            <w:tcBorders>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0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41"/>
        </w:trPr>
        <w:tc>
          <w:tcPr>
            <w:tcW w:w="250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 applies to entire</w:t>
            </w:r>
          </w:p>
        </w:tc>
        <w:tc>
          <w:tcPr>
            <w:tcW w:w="18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See § 746.1(b) for</w:t>
            </w:r>
          </w:p>
        </w:tc>
      </w:tr>
      <w:tr>
        <w:trPr>
          <w:trHeight w:val="255"/>
        </w:trPr>
        <w:tc>
          <w:tcPr>
            <w:tcW w:w="250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4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6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0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080" w:hanging="799"/>
        <w:spacing w:after="0" w:line="236"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1C608.</w:t>
      </w:r>
    </w:p>
    <w:p>
      <w:pPr>
        <w:spacing w:after="0" w:line="25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280"/>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The EAR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control devices or charges containing materials controlled by USML subparagraphs V(c)(6), V(h), or V(i). The USML controls devices containing such materials. (2) The USML in Categories III, IV, or V controls devices and charges in this entry if they contain materials controlled by Category V (other than slurries) and such materials can be easily extracted without destroying the device or charge. (3) See also explosives and other items enumerated in ECCNs 1A006, 1A007, 1A008, 1C011, 1C111, 1C239, and 1C992. (4) See ECCN 0A919 for foreign-made “military commodities” that incorporate more than a </w:t>
      </w:r>
      <w:r>
        <w:rPr>
          <w:rFonts w:ascii="Times New Roman" w:cs="Times New Roman" w:eastAsia="Times New Roman" w:hAnsi="Times New Roman"/>
          <w:sz w:val="22"/>
          <w:szCs w:val="22"/>
          <w:i w:val="1"/>
          <w:iCs w:val="1"/>
          <w:color w:val="auto"/>
        </w:rPr>
        <w:t>de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 xml:space="preserve">minimis </w:t>
      </w:r>
      <w:r>
        <w:rPr>
          <w:rFonts w:ascii="Times New Roman" w:cs="Times New Roman" w:eastAsia="Times New Roman" w:hAnsi="Times New Roman"/>
          <w:sz w:val="22"/>
          <w:szCs w:val="22"/>
          <w:color w:val="auto"/>
        </w:rPr>
        <w:t>amount of US-origin “600 series”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controlled content.</w:t>
      </w:r>
    </w:p>
    <w:p>
      <w:pPr>
        <w:spacing w:after="0" w:line="269" w:lineRule="exact"/>
        <w:rPr>
          <w:sz w:val="20"/>
          <w:szCs w:val="20"/>
          <w:color w:val="auto"/>
        </w:rPr>
      </w:pPr>
    </w:p>
    <w:p>
      <w:pPr>
        <w:jc w:val="both"/>
        <w:ind w:left="28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4"/>
          <w:szCs w:val="24"/>
          <w:color w:val="auto"/>
        </w:rPr>
        <w:t>(1) For purposes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4"/>
          <w:szCs w:val="24"/>
          <w:color w:val="auto"/>
        </w:rPr>
        <w:t>entry, the term ‘controlled materials’ means controlled energetic materials enumerated in ECCNs 1C011, 1C111, 1C239, 1C608, or USML Category V. (2)</w:t>
      </w:r>
    </w:p>
    <w:p>
      <w:pPr>
        <w:spacing w:after="0" w:line="20" w:lineRule="exact"/>
        <w:rPr>
          <w:sz w:val="20"/>
          <w:szCs w:val="20"/>
          <w:color w:val="auto"/>
        </w:rPr>
      </w:pPr>
      <w:r>
        <w:rPr>
          <w:sz w:val="20"/>
          <w:szCs w:val="20"/>
          <w:color w:val="auto"/>
        </w:rPr>
        <w:br w:type="column"/>
      </w:r>
    </w:p>
    <w:p>
      <w:pPr>
        <w:spacing w:after="0" w:line="266" w:lineRule="exact"/>
        <w:rPr>
          <w:sz w:val="20"/>
          <w:szCs w:val="20"/>
          <w:color w:val="auto"/>
        </w:rPr>
      </w:pPr>
    </w:p>
    <w:p>
      <w:pPr>
        <w:jc w:val="both"/>
        <w:ind w:left="280"/>
        <w:spacing w:after="0" w:line="237" w:lineRule="auto"/>
        <w:rPr>
          <w:sz w:val="20"/>
          <w:szCs w:val="20"/>
          <w:color w:val="auto"/>
        </w:rPr>
      </w:pPr>
      <w:r>
        <w:rPr>
          <w:rFonts w:ascii="Times New Roman" w:cs="Times New Roman" w:eastAsia="Times New Roman" w:hAnsi="Times New Roman"/>
          <w:sz w:val="24"/>
          <w:szCs w:val="24"/>
          <w:color w:val="auto"/>
        </w:rPr>
        <w:t>For the purposes of this entry, the term ‘propellants’ means substances or mixtures that react chemically to produce large volumes of hot gases at controlled rates to perform mechanical work.</w:t>
      </w:r>
    </w:p>
    <w:p>
      <w:pPr>
        <w:spacing w:after="0" w:line="260"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a. ‘Single base,’ ‘double base,’ and ‘triple base’ ‘propellants’ having nitrocellulose with nitrogen content greater than 12.6% in the form of either:</w:t>
      </w:r>
    </w:p>
    <w:p>
      <w:pPr>
        <w:spacing w:after="0" w:line="256"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 xml:space="preserve">a.1. ‘Sheetstock’ or ‘carpet rolls;’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306"/>
        <w:spacing w:after="0" w:line="233" w:lineRule="auto"/>
        <w:rPr>
          <w:sz w:val="20"/>
          <w:szCs w:val="20"/>
          <w:color w:val="auto"/>
        </w:rPr>
      </w:pPr>
      <w:r>
        <w:rPr>
          <w:rFonts w:ascii="Times New Roman" w:cs="Times New Roman" w:eastAsia="Times New Roman" w:hAnsi="Times New Roman"/>
          <w:sz w:val="22"/>
          <w:szCs w:val="22"/>
          <w:color w:val="auto"/>
        </w:rPr>
        <w:t>a.2. Grains with diameter greater than 0.10 inches.</w:t>
      </w:r>
    </w:p>
    <w:p>
      <w:pPr>
        <w:spacing w:after="0" w:line="268"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This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entry does not control ‘propellant’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grains used in shotgun shells, small arms cartridges, or rifle cartridges.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66" w:lineRule="exact"/>
        <w:rPr>
          <w:sz w:val="20"/>
          <w:szCs w:val="20"/>
          <w:color w:val="auto"/>
        </w:rPr>
      </w:pPr>
    </w:p>
    <w:p>
      <w:pPr>
        <w:jc w:val="both"/>
        <w:ind w:firstLine="307"/>
        <w:spacing w:after="0" w:line="236" w:lineRule="auto"/>
        <w:tabs>
          <w:tab w:leader="none" w:pos="555" w:val="left"/>
        </w:tabs>
        <w:numPr>
          <w:ilvl w:val="0"/>
          <w:numId w:val="15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‘Sheetstock’ is ‘propellant’ that has been manufactured in the form of a sheet suitable for further processing.</w:t>
      </w:r>
    </w:p>
    <w:p>
      <w:pPr>
        <w:spacing w:after="0" w:line="132" w:lineRule="exact"/>
        <w:rPr>
          <w:rFonts w:ascii="Times New Roman" w:cs="Times New Roman" w:eastAsia="Times New Roman" w:hAnsi="Times New Roman"/>
          <w:sz w:val="22"/>
          <w:szCs w:val="22"/>
          <w:i w:val="1"/>
          <w:iCs w:val="1"/>
          <w:color w:val="auto"/>
        </w:rPr>
      </w:pPr>
    </w:p>
    <w:p>
      <w:pPr>
        <w:jc w:val="both"/>
        <w:ind w:firstLine="307"/>
        <w:spacing w:after="0" w:line="251" w:lineRule="auto"/>
        <w:tabs>
          <w:tab w:leader="none" w:pos="523" w:val="left"/>
        </w:tabs>
        <w:numPr>
          <w:ilvl w:val="0"/>
          <w:numId w:val="155"/>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A ‘carpet roll’ is ‘propellant’ that has been manufactured as a sheet, often cut to a desired width, and subsequently rolled up (like a carpet).</w:t>
      </w:r>
    </w:p>
    <w:p>
      <w:pPr>
        <w:spacing w:after="0" w:line="121" w:lineRule="exact"/>
        <w:rPr>
          <w:rFonts w:ascii="Times New Roman" w:cs="Times New Roman" w:eastAsia="Times New Roman" w:hAnsi="Times New Roman"/>
          <w:sz w:val="21"/>
          <w:szCs w:val="21"/>
          <w:i w:val="1"/>
          <w:iCs w:val="1"/>
          <w:color w:val="auto"/>
        </w:rPr>
      </w:pPr>
    </w:p>
    <w:p>
      <w:pPr>
        <w:ind w:firstLine="307"/>
        <w:spacing w:after="0" w:line="234" w:lineRule="auto"/>
        <w:tabs>
          <w:tab w:leader="none" w:pos="524" w:val="left"/>
        </w:tabs>
        <w:numPr>
          <w:ilvl w:val="0"/>
          <w:numId w:val="15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‘Single base’ is ‘propellant’ which consists mostly of nitrocellulose.</w:t>
      </w:r>
    </w:p>
    <w:p>
      <w:pPr>
        <w:spacing w:after="0" w:line="132"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i w:val="1"/>
          <w:iCs w:val="1"/>
          <w:color w:val="auto"/>
        </w:rPr>
        <w:t>4.’Double base’ ‘propellant’ consist mostly of nitrocellulose and nitroglycerine.</w:t>
      </w:r>
    </w:p>
    <w:p>
      <w:pPr>
        <w:spacing w:after="0" w:line="121" w:lineRule="exact"/>
        <w:rPr>
          <w:sz w:val="20"/>
          <w:szCs w:val="20"/>
          <w:color w:val="auto"/>
        </w:rPr>
      </w:pPr>
    </w:p>
    <w:p>
      <w:pPr>
        <w:ind w:left="740" w:hanging="433"/>
        <w:spacing w:after="0"/>
        <w:tabs>
          <w:tab w:leader="none" w:pos="740" w:val="left"/>
        </w:tabs>
        <w:numPr>
          <w:ilvl w:val="1"/>
          <w:numId w:val="15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‘Triple   base’   consists   mostly   of</w:t>
      </w:r>
    </w:p>
    <w:p>
      <w:pPr>
        <w:spacing w:after="0" w:line="12" w:lineRule="exact"/>
        <w:rPr>
          <w:rFonts w:ascii="Times New Roman" w:cs="Times New Roman" w:eastAsia="Times New Roman" w:hAnsi="Times New Roman"/>
          <w:sz w:val="22"/>
          <w:szCs w:val="22"/>
          <w:i w:val="1"/>
          <w:iCs w:val="1"/>
          <w:color w:val="auto"/>
        </w:rPr>
      </w:pPr>
    </w:p>
    <w:p>
      <w:pPr>
        <w:jc w:val="both"/>
        <w:spacing w:after="0" w:line="238"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nitrocellulose, nitroglycerine, and nitroguanidine. Such ‘propellants’ contain other materials, such as resins or stabilizers, that could include carbon, salts, burn rate modifiers, nitrodiphenylamine, wax, polyethylene glycol (PEG), polyglycol adipate (PGA).</w:t>
      </w:r>
    </w:p>
    <w:p>
      <w:pPr>
        <w:spacing w:after="0" w:line="384" w:lineRule="exact"/>
        <w:rPr>
          <w:rFonts w:ascii="Times New Roman" w:cs="Times New Roman" w:eastAsia="Times New Roman" w:hAnsi="Times New Roman"/>
          <w:sz w:val="22"/>
          <w:szCs w:val="22"/>
          <w:i w:val="1"/>
          <w:iCs w:val="1"/>
          <w:color w:val="auto"/>
        </w:rPr>
      </w:pPr>
    </w:p>
    <w:p>
      <w:pPr>
        <w:jc w:val="both"/>
        <w:ind w:firstLine="1"/>
        <w:spacing w:after="0" w:line="235" w:lineRule="auto"/>
        <w:tabs>
          <w:tab w:leader="none" w:pos="238" w:val="left"/>
        </w:tabs>
        <w:numPr>
          <w:ilvl w:val="0"/>
          <w:numId w:val="1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Shock tubes containing greater than 0.064 kg per meter (300 grains per foot), but not more than 0.1 kg per meter (470 grains per foot) of</w:t>
      </w:r>
    </w:p>
    <w:p>
      <w:pPr>
        <w:spacing w:after="0" w:line="3" w:lineRule="exact"/>
        <w:rPr>
          <w:rFonts w:ascii="Times New Roman" w:cs="Times New Roman" w:eastAsia="Times New Roman" w:hAnsi="Times New Roman"/>
          <w:sz w:val="22"/>
          <w:szCs w:val="22"/>
          <w:color w:val="auto"/>
        </w:rPr>
      </w:pP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‘controlled materials.’</w:t>
      </w:r>
    </w:p>
    <w:p>
      <w:pPr>
        <w:spacing w:after="0" w:line="928"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141"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8" w:name="page79"/>
    <w:bookmarkEnd w:id="7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79</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 Cartridge power devices containing greater than 0.70 kg, but not more than 1.0 kg of ‘controlled materials.’</w:t>
      </w:r>
    </w:p>
    <w:p>
      <w:pPr>
        <w:spacing w:after="0" w:line="26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d. Detonators (electric or nonelectric) and “specially designed” assemblies therefor containing greater than 0.01 kg, but not more than 0.1 kg of ‘controlled materials.’</w:t>
      </w:r>
    </w:p>
    <w:p>
      <w:pPr>
        <w:spacing w:after="0" w:line="270"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e. Igniters not controlled by USML Categories III or IV that contain greater than 0.01 kg, but not more than 0.1 kg of ‘controlled materials.’</w:t>
      </w:r>
    </w:p>
    <w:p>
      <w:pPr>
        <w:spacing w:after="0" w:line="26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f. Oil well cartridges containing greater than 0.015 kg, but not more than 0.1 kg of ‘controlled materials.’</w:t>
      </w:r>
    </w:p>
    <w:p>
      <w:pPr>
        <w:spacing w:after="0" w:line="26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g. Commercial cast or pressed boosters containing greater than 1.0 kg, but not more than 5.0 kg of ‘controlled materials.’</w:t>
      </w:r>
    </w:p>
    <w:p>
      <w:pPr>
        <w:spacing w:after="0" w:line="265"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h. Commercial prefabricated slurries and emulsions containing greater than 10 kg and less than or equal to thirty-five percent by weight of USML ‘controlled materials.’</w:t>
      </w:r>
    </w:p>
    <w:p>
      <w:pPr>
        <w:spacing w:after="0" w:line="253" w:lineRule="exact"/>
        <w:rPr>
          <w:sz w:val="20"/>
          <w:szCs w:val="20"/>
          <w:color w:val="auto"/>
        </w:rPr>
      </w:pPr>
    </w:p>
    <w:p>
      <w:pPr>
        <w:ind w:left="180" w:hanging="180"/>
        <w:spacing w:after="0"/>
        <w:tabs>
          <w:tab w:leader="none" w:pos="180" w:val="left"/>
        </w:tabs>
        <w:numPr>
          <w:ilvl w:val="0"/>
          <w:numId w:val="1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5" w:lineRule="exact"/>
        <w:rPr>
          <w:rFonts w:ascii="Times New Roman" w:cs="Times New Roman" w:eastAsia="Times New Roman" w:hAnsi="Times New Roman"/>
          <w:sz w:val="22"/>
          <w:szCs w:val="22"/>
          <w:color w:val="auto"/>
        </w:rPr>
      </w:pPr>
    </w:p>
    <w:p>
      <w:pPr>
        <w:jc w:val="both"/>
        <w:spacing w:after="0" w:line="237" w:lineRule="auto"/>
        <w:tabs>
          <w:tab w:leader="none" w:pos="173" w:val="left"/>
        </w:tabs>
        <w:numPr>
          <w:ilvl w:val="0"/>
          <w:numId w:val="1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“Pyrotechnic” devices “specially designed” for commercial purposes (e.g., theatrical stages, motion picture special effects, and fireworks displays), and containing greater than 3.0 kg, but not more than 5.0 kg of ‘controlled materials.’</w:t>
      </w:r>
    </w:p>
    <w:p>
      <w:pPr>
        <w:spacing w:after="0" w:line="267" w:lineRule="exact"/>
        <w:rPr>
          <w:rFonts w:ascii="Times New Roman" w:cs="Times New Roman" w:eastAsia="Times New Roman" w:hAnsi="Times New Roman"/>
          <w:sz w:val="22"/>
          <w:szCs w:val="22"/>
          <w:color w:val="auto"/>
        </w:rPr>
      </w:pPr>
    </w:p>
    <w:p>
      <w:pPr>
        <w:ind w:left="200" w:hanging="200"/>
        <w:spacing w:after="0"/>
        <w:tabs>
          <w:tab w:leader="none" w:pos="200" w:val="left"/>
        </w:tabs>
        <w:numPr>
          <w:ilvl w:val="0"/>
          <w:numId w:val="158"/>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Other commercial explosive devices or charges</w:t>
      </w:r>
    </w:p>
    <w:p>
      <w:pPr>
        <w:spacing w:after="0" w:line="12" w:lineRule="exact"/>
        <w:rPr>
          <w:rFonts w:ascii="Times New Roman" w:cs="Times New Roman" w:eastAsia="Times New Roman" w:hAnsi="Times New Roman"/>
          <w:sz w:val="21"/>
          <w:szCs w:val="21"/>
          <w:color w:val="auto"/>
        </w:rPr>
      </w:pPr>
    </w:p>
    <w:p>
      <w:pPr>
        <w:jc w:val="both"/>
        <w:spacing w:after="0" w:line="234"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“specially designed” for commercial applications, not controlled by 1C608.c through</w:t>
      </w:r>
    </w:p>
    <w:p>
      <w:pPr>
        <w:spacing w:after="0" w:line="11" w:lineRule="exact"/>
        <w:rPr>
          <w:rFonts w:ascii="Times New Roman" w:cs="Times New Roman" w:eastAsia="Times New Roman" w:hAnsi="Times New Roman"/>
          <w:sz w:val="21"/>
          <w:szCs w:val="21"/>
          <w:color w:val="auto"/>
        </w:rPr>
      </w:pPr>
    </w:p>
    <w:p>
      <w:pPr>
        <w:spacing w:after="0" w:line="234"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.g above, containing greater than 1.0 kg, but not more than 5.0 kg of ‘controlled materials.’</w:t>
      </w:r>
    </w:p>
    <w:p>
      <w:pPr>
        <w:spacing w:after="0" w:line="266" w:lineRule="exact"/>
        <w:rPr>
          <w:rFonts w:ascii="Times New Roman" w:cs="Times New Roman" w:eastAsia="Times New Roman" w:hAnsi="Times New Roman"/>
          <w:sz w:val="21"/>
          <w:szCs w:val="21"/>
          <w:color w:val="auto"/>
        </w:rPr>
      </w:pPr>
    </w:p>
    <w:p>
      <w:pPr>
        <w:spacing w:after="0" w:line="234" w:lineRule="auto"/>
        <w:tabs>
          <w:tab w:leader="none" w:pos="243" w:val="left"/>
        </w:tabs>
        <w:numPr>
          <w:ilvl w:val="0"/>
          <w:numId w:val="1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Propyleneimine (2 methylaziridine) (C.A.S. #75-55-8).</w:t>
      </w:r>
    </w:p>
    <w:p>
      <w:pPr>
        <w:spacing w:after="0" w:line="265" w:lineRule="exact"/>
        <w:rPr>
          <w:rFonts w:ascii="Times New Roman" w:cs="Times New Roman" w:eastAsia="Times New Roman" w:hAnsi="Times New Roman"/>
          <w:sz w:val="22"/>
          <w:szCs w:val="22"/>
          <w:color w:val="auto"/>
        </w:rPr>
      </w:pPr>
    </w:p>
    <w:p>
      <w:pPr>
        <w:jc w:val="both"/>
        <w:spacing w:after="0" w:line="236" w:lineRule="auto"/>
        <w:tabs>
          <w:tab w:leader="none" w:pos="322" w:val="left"/>
        </w:tabs>
        <w:numPr>
          <w:ilvl w:val="0"/>
          <w:numId w:val="1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oxidizer or ‘mixture’ thereof that is a compound composed of fluorine and any of the following: other halogens, oxygen, or nitrogen.</w:t>
      </w:r>
    </w:p>
    <w:p>
      <w:pPr>
        <w:spacing w:after="0" w:line="268" w:lineRule="exact"/>
        <w:rPr>
          <w:sz w:val="20"/>
          <w:szCs w:val="20"/>
          <w:color w:val="auto"/>
        </w:rPr>
      </w:pPr>
    </w:p>
    <w:p>
      <w:pPr>
        <w:ind w:firstLine="306"/>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 1 to 1C608.m</w:t>
      </w:r>
      <w:r>
        <w:rPr>
          <w:rFonts w:ascii="Times New Roman" w:cs="Times New Roman" w:eastAsia="Times New Roman" w:hAnsi="Times New Roman"/>
          <w:sz w:val="22"/>
          <w:szCs w:val="22"/>
          <w:i w:val="1"/>
          <w:iCs w:val="1"/>
          <w:color w:val="auto"/>
        </w:rPr>
        <w:t>: Nitrogen trifluoride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(NF3)(CAS 7783-54-2) in a gaseous state is</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i w:val="1"/>
          <w:iCs w:val="1"/>
          <w:color w:val="auto"/>
        </w:rPr>
        <w:t>controlled under ECCN 1C992 and not under ECCN 1C608.m.</w:t>
      </w:r>
    </w:p>
    <w:p>
      <w:pPr>
        <w:spacing w:after="0" w:line="267"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 2 to 1C608.m</w:t>
      </w:r>
      <w:r>
        <w:rPr>
          <w:rFonts w:ascii="Times New Roman" w:cs="Times New Roman" w:eastAsia="Times New Roman" w:hAnsi="Times New Roman"/>
          <w:sz w:val="22"/>
          <w:szCs w:val="22"/>
          <w:i w:val="1"/>
          <w:iCs w:val="1"/>
          <w:color w:val="auto"/>
        </w:rPr>
        <w:t>: Chlorine trifluoride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(ClF3)(CAS 7790-91-2) is controlled under ECCN 1C111.a.3.f and not under ECCN 1C608.m.</w:t>
      </w:r>
    </w:p>
    <w:p>
      <w:pPr>
        <w:spacing w:after="0" w:line="270" w:lineRule="exact"/>
        <w:rPr>
          <w:sz w:val="20"/>
          <w:szCs w:val="20"/>
          <w:color w:val="auto"/>
        </w:rPr>
      </w:pPr>
    </w:p>
    <w:p>
      <w:pPr>
        <w:jc w:val="both"/>
        <w:ind w:firstLine="306"/>
        <w:spacing w:after="0" w:line="250" w:lineRule="auto"/>
        <w:rPr>
          <w:sz w:val="20"/>
          <w:szCs w:val="20"/>
          <w:color w:val="auto"/>
        </w:rPr>
      </w:pPr>
      <w:r>
        <w:rPr>
          <w:rFonts w:ascii="Times New Roman" w:cs="Times New Roman" w:eastAsia="Times New Roman" w:hAnsi="Times New Roman"/>
          <w:sz w:val="21"/>
          <w:szCs w:val="21"/>
          <w:b w:val="1"/>
          <w:bCs w:val="1"/>
          <w:i w:val="1"/>
          <w:iCs w:val="1"/>
          <w:color w:val="auto"/>
        </w:rPr>
        <w:t>Note 3 to 1C608.m</w:t>
      </w:r>
      <w:r>
        <w:rPr>
          <w:rFonts w:ascii="Times New Roman" w:cs="Times New Roman" w:eastAsia="Times New Roman" w:hAnsi="Times New Roman"/>
          <w:sz w:val="21"/>
          <w:szCs w:val="21"/>
          <w:i w:val="1"/>
          <w:iCs w:val="1"/>
          <w:color w:val="auto"/>
        </w:rPr>
        <w:t>: Oxygen difluoride (OF2)</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is controlled under USML Category V.d.10 (see 22 CFR 121.1) and not under ECCN 1C608.m.</w:t>
      </w:r>
    </w:p>
    <w:p>
      <w:pPr>
        <w:spacing w:after="0" w:line="257" w:lineRule="exact"/>
        <w:rPr>
          <w:sz w:val="20"/>
          <w:szCs w:val="20"/>
          <w:color w:val="auto"/>
        </w:rPr>
      </w:pPr>
    </w:p>
    <w:p>
      <w:pPr>
        <w:jc w:val="both"/>
        <w:ind w:firstLine="306"/>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Note to 1C608.l and m</w:t>
      </w:r>
      <w:r>
        <w:rPr>
          <w:rFonts w:ascii="Times New Roman" w:cs="Times New Roman" w:eastAsia="Times New Roman" w:hAnsi="Times New Roman"/>
          <w:sz w:val="22"/>
          <w:szCs w:val="22"/>
          <w:i w:val="1"/>
          <w:iCs w:val="1"/>
          <w:color w:val="auto"/>
        </w:rPr>
        <w:t>: If a chemical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ECCN 1C608.l or .m is incorporated into a commercial charge or device described in ECCN 1C608.c through .k or in ECCN 1C992, the classification of the commercial charge or device applies to the item.</w:t>
      </w:r>
    </w:p>
    <w:p>
      <w:pPr>
        <w:spacing w:after="0" w:line="266" w:lineRule="exact"/>
        <w:rPr>
          <w:sz w:val="20"/>
          <w:szCs w:val="20"/>
          <w:color w:val="auto"/>
        </w:rPr>
      </w:pPr>
    </w:p>
    <w:p>
      <w:pPr>
        <w:jc w:val="both"/>
        <w:ind w:firstLine="306"/>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Technical Note to 1C608.m</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‘Mixture’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a composition of two or more substances with at least one substance being enumerated in 1C011, 1C111, 1C239, 1C608, USML Category V, or elsewhere on the USML.</w:t>
      </w:r>
    </w:p>
    <w:p>
      <w:pPr>
        <w:spacing w:after="0" w:line="268"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n. Any explosives, ‘propellants,’ oxidizers, “pyrotechnics,” fuels, binders, or additives that are “specially designed” for military application and not enumerated or otherwise described in USML Category V or elsewhere on the USML.</w:t>
      </w:r>
    </w:p>
    <w:p>
      <w:pPr>
        <w:spacing w:after="0" w:line="258" w:lineRule="exact"/>
        <w:rPr>
          <w:sz w:val="20"/>
          <w:szCs w:val="20"/>
          <w:color w:val="auto"/>
        </w:rPr>
      </w:pPr>
    </w:p>
    <w:p>
      <w:pPr>
        <w:ind w:left="300"/>
        <w:spacing w:after="0"/>
        <w:tabs>
          <w:tab w:leader="none" w:pos="1300" w:val="left"/>
        </w:tabs>
        <w:rPr>
          <w:sz w:val="20"/>
          <w:szCs w:val="20"/>
          <w:color w:val="auto"/>
        </w:rPr>
      </w:pPr>
      <w:r>
        <w:rPr>
          <w:rFonts w:ascii="Times New Roman" w:cs="Times New Roman" w:eastAsia="Times New Roman" w:hAnsi="Times New Roman"/>
          <w:sz w:val="22"/>
          <w:szCs w:val="22"/>
          <w:b w:val="1"/>
          <w:bCs w:val="1"/>
          <w:i w:val="1"/>
          <w:iCs w:val="1"/>
          <w:color w:val="auto"/>
        </w:rPr>
        <w:t>Note  1:</w:t>
      </w:r>
      <w:r>
        <w:rPr>
          <w:sz w:val="20"/>
          <w:szCs w:val="20"/>
          <w:color w:val="auto"/>
        </w:rPr>
        <w:tab/>
      </w:r>
      <w:r>
        <w:rPr>
          <w:rFonts w:ascii="Times New Roman" w:cs="Times New Roman" w:eastAsia="Times New Roman" w:hAnsi="Times New Roman"/>
          <w:sz w:val="22"/>
          <w:szCs w:val="22"/>
          <w:i w:val="1"/>
          <w:iCs w:val="1"/>
          <w:color w:val="auto"/>
        </w:rPr>
        <w:t>1C608.n  does  not  apply  to  the</w:t>
      </w:r>
    </w:p>
    <w:p>
      <w:pPr>
        <w:spacing w:after="0"/>
        <w:rPr>
          <w:sz w:val="20"/>
          <w:szCs w:val="20"/>
          <w:color w:val="auto"/>
        </w:rPr>
      </w:pPr>
      <w:r>
        <w:rPr>
          <w:rFonts w:ascii="Times New Roman" w:cs="Times New Roman" w:eastAsia="Times New Roman" w:hAnsi="Times New Roman"/>
          <w:sz w:val="22"/>
          <w:szCs w:val="22"/>
          <w:i w:val="1"/>
          <w:iCs w:val="1"/>
          <w:color w:val="auto"/>
        </w:rPr>
        <w:t>following “aircraft” fuels: JP-4, JP-5, and JP-8.</w:t>
      </w:r>
    </w:p>
    <w:p>
      <w:pPr>
        <w:spacing w:after="0" w:line="265"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“Aircraft” fuels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1C608.n, Note 1 are finished products, not their constituents.</w:t>
      </w:r>
    </w:p>
    <w:p>
      <w:pPr>
        <w:spacing w:after="0" w:line="200" w:lineRule="exact"/>
        <w:rPr>
          <w:sz w:val="20"/>
          <w:szCs w:val="20"/>
          <w:color w:val="auto"/>
        </w:rPr>
      </w:pPr>
    </w:p>
    <w:p>
      <w:pPr>
        <w:spacing w:after="0" w:line="319"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1C980 Inorganic chemicals listed in Supplement No. 1 to part 754 of the EAR that were produced or derived from the Naval Petroleum Reserves (NPR) or became available for export as a result of an exchange of any NPR produced or derived commodities.</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00" w:lineRule="exact"/>
        <w:rPr>
          <w:sz w:val="20"/>
          <w:szCs w:val="20"/>
          <w:color w:val="auto"/>
        </w:rPr>
      </w:pPr>
    </w:p>
    <w:p>
      <w:pPr>
        <w:spacing w:after="0" w:line="37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79" w:name="page80"/>
    <w:bookmarkEnd w:id="7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80</w:t>
      </w:r>
    </w:p>
    <w:p>
      <w:pPr>
        <w:sectPr>
          <w:pgSz w:w="12240" w:h="15840" w:orient="portrait"/>
          <w:cols w:equalWidth="0" w:num="1">
            <w:col w:w="9360"/>
          </w:cols>
          <w:pgMar w:left="1440" w:top="1293" w:right="1440" w:bottom="124"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5" w:lineRule="exact"/>
        <w:rPr>
          <w:sz w:val="20"/>
          <w:szCs w:val="20"/>
          <w:color w:val="auto"/>
        </w:rPr>
      </w:pPr>
    </w:p>
    <w:p>
      <w:pPr>
        <w:jc w:val="both"/>
        <w:spacing w:after="0" w:line="238" w:lineRule="auto"/>
        <w:tabs>
          <w:tab w:leader="none" w:pos="410" w:val="left"/>
        </w:tabs>
        <w:numPr>
          <w:ilvl w:val="0"/>
          <w:numId w:val="15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entry. For licensing requirements (and possible License Exceptions) proceed directly to part 754 of the EAR. The Commerce Country Chart is not designed to determine licensing requirements for items controlled for SS reasons.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1C983 Natural gas liquids and other natural gas derivatives listed in Supplement No. 1 to part 754 of the EAR that were produced or derived from the Naval Petroleum Reserves (NPR) or became available for export as a result of an exchange of any NPR produced or derived commodities.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1C982 Other petroleum products listed in Supplement No. 1 to part 754 of the EAR that were produced or derived from the Naval Petroleum Reserves (NPR) or became available for export as a result of an exchange of any NPR produced or derived commodities.</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jc w:val="both"/>
        <w:spacing w:after="0" w:line="238" w:lineRule="auto"/>
        <w:tabs>
          <w:tab w:leader="none" w:pos="410" w:val="left"/>
        </w:tabs>
        <w:numPr>
          <w:ilvl w:val="0"/>
          <w:numId w:val="1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entry. For licensing requirements (and possible License Exceptions) proceed directly to part 754 of the EAR. The Commerce Country Chart is not designed to determine licensing requirements for items controlled for SS reasons.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 w:lineRule="exact"/>
        <w:rPr>
          <w:sz w:val="20"/>
          <w:szCs w:val="20"/>
          <w:color w:val="auto"/>
        </w:rPr>
      </w:pPr>
      <w:r>
        <w:rPr>
          <w:sz w:val="20"/>
          <w:szCs w:val="20"/>
          <w:color w:val="auto"/>
        </w:rPr>
        <w:br w:type="column"/>
      </w:r>
    </w:p>
    <w:p>
      <w:pPr>
        <w:jc w:val="both"/>
        <w:ind w:firstLine="1"/>
        <w:spacing w:after="0" w:line="238" w:lineRule="auto"/>
        <w:tabs>
          <w:tab w:leader="none" w:pos="410" w:val="left"/>
        </w:tabs>
        <w:numPr>
          <w:ilvl w:val="0"/>
          <w:numId w:val="16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entry. For licensing requirements (and possible License Exceptions) proceed directly to part 754 of the EAR. The Commerce Country Chart is not designed to determine licensing requirements for items controlled for SS reasons.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1C984 Manufactured gas and synthetic natural gas (except when commingled with natural gas and thus subject to export authorization from the Department of Energy) listed in Supplement No. 1 to part 754 of the EAR that were produced or derived from the Naval Petroleum Reserves (NPR) or became available for export as a result of an exchange of any NPR produced or derived commodities.</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5" w:lineRule="exact"/>
        <w:rPr>
          <w:sz w:val="20"/>
          <w:szCs w:val="20"/>
          <w:color w:val="auto"/>
        </w:rPr>
      </w:pPr>
    </w:p>
    <w:p>
      <w:pPr>
        <w:jc w:val="both"/>
        <w:ind w:firstLine="1"/>
        <w:spacing w:after="0" w:line="235" w:lineRule="auto"/>
        <w:tabs>
          <w:tab w:leader="none" w:pos="410" w:val="left"/>
        </w:tabs>
        <w:numPr>
          <w:ilvl w:val="0"/>
          <w:numId w:val="16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entry. For licensing requirements (and possible License Exceptions) proceed directly to part 754 of the EAR. The</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2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0" w:name="page81"/>
    <w:bookmarkEnd w:id="8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81</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Commerce Country Chart is not designed to determine licensing requirements for items controlled for SS reasons.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1"/>
          <w:szCs w:val="21"/>
          <w:b w:val="1"/>
          <w:bCs w:val="1"/>
          <w:color w:val="auto"/>
        </w:rPr>
        <w:t xml:space="preserve">1C988 </w:t>
      </w:r>
      <w:r>
        <w:rPr>
          <w:rFonts w:ascii="Times New Roman" w:cs="Times New Roman" w:eastAsia="Times New Roman" w:hAnsi="Times New Roman"/>
          <w:sz w:val="23"/>
          <w:szCs w:val="23"/>
          <w:b w:val="1"/>
          <w:bCs w:val="1"/>
          <w:color w:val="auto"/>
        </w:rPr>
        <w:t>Unprocessed western red cedar</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3"/>
          <w:szCs w:val="23"/>
          <w:b w:val="1"/>
          <w:bCs w:val="1"/>
          <w:color w:val="auto"/>
        </w:rPr>
        <w:t>(thuja plicata) logs and timber, and rough, dressed and worked lumber containing wane, as described in § 754.4 of the EAR.</w:t>
      </w:r>
    </w:p>
    <w:p>
      <w:pPr>
        <w:spacing w:after="0" w:line="24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jc w:val="both"/>
        <w:spacing w:after="0" w:line="238" w:lineRule="auto"/>
        <w:tabs>
          <w:tab w:leader="none" w:pos="410" w:val="left"/>
        </w:tabs>
        <w:numPr>
          <w:ilvl w:val="0"/>
          <w:numId w:val="1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applies to entire entry. For licensing requirements (and possible License Exceptions) proceed directly to part 754 of the EAR. The Commerce Country Chart is not designed to determine licensing requirements for items controlled for SS reasons.</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12"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a non-exhaustive list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of 10-digit Harmonized System-based Schedule B commodity numbers that may apply to unprocessed Western Red Cedar products subject to § 754.4 and related definitions, see Supplement No. 2 to part 754 of the EAR.</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1C990 Fibrous and filamentary materials, not controlled by 1C010 or 1C210, for use in</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08" w:lineRule="auto"/>
        <w:rPr>
          <w:sz w:val="20"/>
          <w:szCs w:val="20"/>
          <w:color w:val="auto"/>
        </w:rPr>
      </w:pPr>
      <w:r>
        <w:rPr>
          <w:rFonts w:ascii="Times New Roman" w:cs="Times New Roman" w:eastAsia="Times New Roman" w:hAnsi="Times New Roman"/>
          <w:sz w:val="22"/>
          <w:szCs w:val="22"/>
          <w:b w:val="1"/>
          <w:bCs w:val="1"/>
          <w:color w:val="auto"/>
        </w:rPr>
        <w:t>“composite” structures and with a specific modulus of 3.18 x 10</w:t>
      </w:r>
      <w:r>
        <w:rPr>
          <w:rFonts w:ascii="Times New Roman" w:cs="Times New Roman" w:eastAsia="Times New Roman" w:hAnsi="Times New Roman"/>
          <w:sz w:val="28"/>
          <w:szCs w:val="28"/>
          <w:b w:val="1"/>
          <w:bCs w:val="1"/>
          <w:color w:val="auto"/>
          <w:vertAlign w:val="superscript"/>
        </w:rPr>
        <w:t>6</w:t>
      </w:r>
      <w:r>
        <w:rPr>
          <w:rFonts w:ascii="Times New Roman" w:cs="Times New Roman" w:eastAsia="Times New Roman" w:hAnsi="Times New Roman"/>
          <w:sz w:val="22"/>
          <w:szCs w:val="22"/>
          <w:b w:val="1"/>
          <w:bCs w:val="1"/>
          <w:color w:val="auto"/>
        </w:rPr>
        <w:t xml:space="preserve"> m or greater and a specific tensile strength of 7.62 x 10</w:t>
      </w:r>
      <w:r>
        <w:rPr>
          <w:rFonts w:ascii="Times New Roman" w:cs="Times New Roman" w:eastAsia="Times New Roman" w:hAnsi="Times New Roman"/>
          <w:sz w:val="28"/>
          <w:szCs w:val="28"/>
          <w:b w:val="1"/>
          <w:bCs w:val="1"/>
          <w:color w:val="auto"/>
          <w:vertAlign w:val="superscript"/>
        </w:rPr>
        <w:t>4</w:t>
      </w:r>
      <w:r>
        <w:rPr>
          <w:rFonts w:ascii="Times New Roman" w:cs="Times New Roman" w:eastAsia="Times New Roman" w:hAnsi="Times New Roman"/>
          <w:sz w:val="22"/>
          <w:szCs w:val="22"/>
          <w:b w:val="1"/>
          <w:bCs w:val="1"/>
          <w:color w:val="auto"/>
        </w:rPr>
        <w:t xml:space="preserve"> m or greater.</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340" w:type="dxa"/>
            <w:vAlign w:val="bottom"/>
            <w:tcBorders>
              <w:top w:val="single" w:sz="8" w:color="auto"/>
              <w:left w:val="single" w:sz="8" w:color="auto"/>
              <w:right w:val="single" w:sz="8" w:color="auto"/>
            </w:tcBorders>
          </w:tcPr>
          <w:p>
            <w:pPr>
              <w:spacing w:after="0"/>
              <w:rPr>
                <w:sz w:val="22"/>
                <w:szCs w:val="22"/>
                <w:color w:val="auto"/>
              </w:rPr>
            </w:pPr>
          </w:p>
        </w:tc>
        <w:tc>
          <w:tcPr>
            <w:tcW w:w="200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340" w:type="dxa"/>
            <w:vAlign w:val="bottom"/>
            <w:tcBorders>
              <w:left w:val="single" w:sz="8" w:color="auto"/>
              <w:right w:val="single" w:sz="8" w:color="auto"/>
            </w:tcBorders>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340" w:type="dxa"/>
            <w:vAlign w:val="bottom"/>
            <w:tcBorders>
              <w:left w:val="single" w:sz="8" w:color="auto"/>
              <w:bottom w:val="single" w:sz="8" w:color="auto"/>
              <w:right w:val="single" w:sz="8" w:color="auto"/>
            </w:tcBorders>
          </w:tcPr>
          <w:p>
            <w:pPr>
              <w:spacing w:after="0"/>
              <w:rPr>
                <w:sz w:val="22"/>
                <w:szCs w:val="22"/>
                <w:color w:val="auto"/>
              </w:rPr>
            </w:pPr>
          </w:p>
        </w:tc>
        <w:tc>
          <w:tcPr>
            <w:tcW w:w="2000" w:type="dxa"/>
            <w:vAlign w:val="bottom"/>
            <w:tcBorders>
              <w:bottom w:val="single" w:sz="8" w:color="auto"/>
              <w:right w:val="single" w:sz="8" w:color="auto"/>
            </w:tcBorders>
          </w:tcPr>
          <w:p>
            <w:pPr>
              <w:jc w:val="right"/>
              <w:ind w:right="7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1"/>
        </w:trPr>
        <w:tc>
          <w:tcPr>
            <w:tcW w:w="23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200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3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200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1C991 Vaccines, immunotoxins, medical products, diagnostic and food testing kits,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CB, AT</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242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420" w:type="dxa"/>
            <w:vAlign w:val="bottom"/>
            <w:tcBorders>
              <w:left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42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4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CB applies to 1C991.d</w:t>
            </w:r>
          </w:p>
        </w:tc>
        <w:tc>
          <w:tcPr>
            <w:tcW w:w="182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CB Column 3</w:t>
            </w:r>
          </w:p>
        </w:tc>
      </w:tr>
      <w:tr>
        <w:trPr>
          <w:trHeight w:val="241"/>
        </w:trPr>
        <w:tc>
          <w:tcPr>
            <w:tcW w:w="24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w:t>
            </w:r>
          </w:p>
        </w:tc>
        <w:tc>
          <w:tcPr>
            <w:tcW w:w="18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r>
        <w:trPr>
          <w:trHeight w:val="255"/>
        </w:trPr>
        <w:tc>
          <w:tcPr>
            <w:tcW w:w="24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1820" w:type="dxa"/>
            <w:vAlign w:val="bottom"/>
            <w:tcBorders>
              <w:bottom w:val="single" w:sz="8" w:color="auto"/>
              <w:right w:val="single" w:sz="8" w:color="auto"/>
            </w:tcBorders>
          </w:tcPr>
          <w:p>
            <w:pPr>
              <w:spacing w:after="0"/>
              <w:rPr>
                <w:sz w:val="22"/>
                <w:szCs w:val="22"/>
                <w:color w:val="auto"/>
              </w:rPr>
            </w:pPr>
          </w:p>
        </w:tc>
      </w:tr>
    </w:tbl>
    <w:p>
      <w:pPr>
        <w:spacing w:after="0" w:line="263"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475"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2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1" w:name="page82"/>
    <w:bookmarkEnd w:id="8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82</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Medical products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containing ricin or saxitoxin, as follows, are controlled for CW reasons under ECCN</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u w:val="single" w:color="auto"/>
          <w:color w:val="0000FF"/>
        </w:rPr>
        <w:t>1C351</w:t>
      </w:r>
      <w:r>
        <w:rPr>
          <w:rFonts w:ascii="Times New Roman" w:cs="Times New Roman" w:eastAsia="Times New Roman" w:hAnsi="Times New Roman"/>
          <w:sz w:val="22"/>
          <w:szCs w:val="22"/>
          <w:color w:val="000000"/>
        </w:rPr>
        <w:t>:</w:t>
      </w:r>
    </w:p>
    <w:p>
      <w:pPr>
        <w:spacing w:after="0" w:line="12" w:lineRule="exact"/>
        <w:rPr>
          <w:sz w:val="20"/>
          <w:szCs w:val="20"/>
          <w:color w:val="auto"/>
        </w:rPr>
      </w:pPr>
    </w:p>
    <w:p>
      <w:pPr>
        <w:jc w:val="both"/>
        <w:ind w:left="360" w:firstLine="360"/>
        <w:spacing w:after="0" w:line="237" w:lineRule="auto"/>
        <w:tabs>
          <w:tab w:leader="none" w:pos="1188" w:val="left"/>
        </w:tabs>
        <w:numPr>
          <w:ilvl w:val="1"/>
          <w:numId w:val="16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Ricinus Communis Agglutinin</w:t>
      </w:r>
      <w:r>
        <w:rPr>
          <w:rFonts w:ascii="Times New Roman" w:cs="Times New Roman" w:eastAsia="Times New Roman" w:hAnsi="Times New Roman"/>
          <w:sz w:val="14"/>
          <w:szCs w:val="14"/>
          <w:color w:val="auto"/>
        </w:rPr>
        <w:t>II</w:t>
      </w:r>
      <w:r>
        <w:rPr>
          <w:rFonts w:ascii="Times New Roman" w:cs="Times New Roman" w:eastAsia="Times New Roman" w:hAnsi="Times New Roman"/>
          <w:sz w:val="22"/>
          <w:szCs w:val="22"/>
          <w:color w:val="auto"/>
        </w:rPr>
        <w:t xml:space="preserve"> (RCA</w:t>
      </w:r>
      <w:r>
        <w:rPr>
          <w:rFonts w:ascii="Times New Roman" w:cs="Times New Roman" w:eastAsia="Times New Roman" w:hAnsi="Times New Roman"/>
          <w:sz w:val="14"/>
          <w:szCs w:val="14"/>
          <w:color w:val="auto"/>
        </w:rPr>
        <w:t>II</w:t>
      </w:r>
      <w:r>
        <w:rPr>
          <w:rFonts w:ascii="Times New Roman" w:cs="Times New Roman" w:eastAsia="Times New Roman" w:hAnsi="Times New Roman"/>
          <w:sz w:val="22"/>
          <w:szCs w:val="22"/>
          <w:color w:val="auto"/>
        </w:rPr>
        <w:t>), also known as ricin D, or Ricinus Communis Lectin</w:t>
      </w:r>
      <w:r>
        <w:rPr>
          <w:rFonts w:ascii="Times New Roman" w:cs="Times New Roman" w:eastAsia="Times New Roman" w:hAnsi="Times New Roman"/>
          <w:sz w:val="14"/>
          <w:szCs w:val="14"/>
          <w:color w:val="auto"/>
        </w:rPr>
        <w:t>III</w:t>
      </w:r>
      <w:r>
        <w:rPr>
          <w:rFonts w:ascii="Times New Roman" w:cs="Times New Roman" w:eastAsia="Times New Roman" w:hAnsi="Times New Roman"/>
          <w:sz w:val="22"/>
          <w:szCs w:val="22"/>
          <w:color w:val="auto"/>
        </w:rPr>
        <w:t xml:space="preserve"> (RCL</w:t>
      </w:r>
      <w:r>
        <w:rPr>
          <w:rFonts w:ascii="Times New Roman" w:cs="Times New Roman" w:eastAsia="Times New Roman" w:hAnsi="Times New Roman"/>
          <w:sz w:val="14"/>
          <w:szCs w:val="14"/>
          <w:color w:val="auto"/>
        </w:rPr>
        <w:t>III</w:t>
      </w:r>
      <w:r>
        <w:rPr>
          <w:rFonts w:ascii="Times New Roman" w:cs="Times New Roman" w:eastAsia="Times New Roman" w:hAnsi="Times New Roman"/>
          <w:sz w:val="22"/>
          <w:szCs w:val="22"/>
          <w:color w:val="auto"/>
        </w:rPr>
        <w:t>);</w:t>
      </w:r>
    </w:p>
    <w:p>
      <w:pPr>
        <w:spacing w:after="0" w:line="10" w:lineRule="exact"/>
        <w:rPr>
          <w:rFonts w:ascii="Times New Roman" w:cs="Times New Roman" w:eastAsia="Times New Roman" w:hAnsi="Times New Roman"/>
          <w:sz w:val="22"/>
          <w:szCs w:val="22"/>
          <w:color w:val="auto"/>
        </w:rPr>
      </w:pPr>
    </w:p>
    <w:p>
      <w:pPr>
        <w:ind w:left="360" w:firstLine="360"/>
        <w:spacing w:after="0" w:line="234" w:lineRule="auto"/>
        <w:tabs>
          <w:tab w:leader="none" w:pos="1032" w:val="left"/>
        </w:tabs>
        <w:numPr>
          <w:ilvl w:val="1"/>
          <w:numId w:val="16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Ricinus Communis Lectin</w:t>
      </w:r>
      <w:r>
        <w:rPr>
          <w:rFonts w:ascii="Times New Roman" w:cs="Times New Roman" w:eastAsia="Times New Roman" w:hAnsi="Times New Roman"/>
          <w:sz w:val="14"/>
          <w:szCs w:val="14"/>
          <w:color w:val="auto"/>
        </w:rPr>
        <w:t>IV</w:t>
      </w:r>
      <w:r>
        <w:rPr>
          <w:rFonts w:ascii="Times New Roman" w:cs="Times New Roman" w:eastAsia="Times New Roman" w:hAnsi="Times New Roman"/>
          <w:sz w:val="22"/>
          <w:szCs w:val="22"/>
          <w:color w:val="auto"/>
        </w:rPr>
        <w:t xml:space="preserve"> (RCL</w:t>
      </w:r>
      <w:r>
        <w:rPr>
          <w:rFonts w:ascii="Times New Roman" w:cs="Times New Roman" w:eastAsia="Times New Roman" w:hAnsi="Times New Roman"/>
          <w:sz w:val="14"/>
          <w:szCs w:val="14"/>
          <w:color w:val="auto"/>
        </w:rPr>
        <w:t>IV</w:t>
      </w:r>
      <w:r>
        <w:rPr>
          <w:rFonts w:ascii="Times New Roman" w:cs="Times New Roman" w:eastAsia="Times New Roman" w:hAnsi="Times New Roman"/>
          <w:sz w:val="22"/>
          <w:szCs w:val="22"/>
          <w:color w:val="auto"/>
        </w:rPr>
        <w:t>), also known as ricin E; or</w:t>
      </w:r>
    </w:p>
    <w:p>
      <w:pPr>
        <w:spacing w:after="0" w:line="13" w:lineRule="exact"/>
        <w:rPr>
          <w:rFonts w:ascii="Times New Roman" w:cs="Times New Roman" w:eastAsia="Times New Roman" w:hAnsi="Times New Roman"/>
          <w:sz w:val="22"/>
          <w:szCs w:val="22"/>
          <w:color w:val="auto"/>
        </w:rPr>
      </w:pPr>
    </w:p>
    <w:p>
      <w:pPr>
        <w:ind w:left="360" w:firstLine="360"/>
        <w:spacing w:after="0" w:line="233" w:lineRule="auto"/>
        <w:tabs>
          <w:tab w:leader="none" w:pos="1178" w:val="left"/>
        </w:tabs>
        <w:numPr>
          <w:ilvl w:val="1"/>
          <w:numId w:val="16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Saxitoxin identified by C.A.S. #35523-89-8.</w:t>
      </w:r>
    </w:p>
    <w:p>
      <w:pPr>
        <w:spacing w:after="0" w:line="267" w:lineRule="exact"/>
        <w:rPr>
          <w:rFonts w:ascii="Times New Roman" w:cs="Times New Roman" w:eastAsia="Times New Roman" w:hAnsi="Times New Roman"/>
          <w:sz w:val="22"/>
          <w:szCs w:val="22"/>
          <w:color w:val="auto"/>
        </w:rPr>
      </w:pPr>
    </w:p>
    <w:p>
      <w:pPr>
        <w:jc w:val="both"/>
        <w:ind w:left="360"/>
        <w:spacing w:after="0" w:line="238" w:lineRule="auto"/>
        <w:tabs>
          <w:tab w:leader="none" w:pos="676" w:val="left"/>
        </w:tabs>
        <w:numPr>
          <w:ilvl w:val="0"/>
          <w:numId w:val="1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 export of a “medical product” that is an “Investigational New Drug” (IND), as defined in 21 CFR §312.3, is subject to certain U.S. Food and Drug Administration (FDA) requirements that are independent of the export requirements specified in this ECCN or elsewhere in the EAR. These FDA requirements are described in 21 CFR §312.110 and must be satisfied in addition to any requirements specified in the EAR.</w:t>
      </w:r>
    </w:p>
    <w:p>
      <w:pPr>
        <w:spacing w:after="0" w:line="274" w:lineRule="exact"/>
        <w:rPr>
          <w:rFonts w:ascii="Times New Roman" w:cs="Times New Roman" w:eastAsia="Times New Roman" w:hAnsi="Times New Roman"/>
          <w:sz w:val="22"/>
          <w:szCs w:val="22"/>
          <w:color w:val="auto"/>
        </w:rPr>
      </w:pPr>
    </w:p>
    <w:p>
      <w:pPr>
        <w:jc w:val="both"/>
        <w:ind w:left="360"/>
        <w:spacing w:after="0" w:line="236" w:lineRule="auto"/>
        <w:tabs>
          <w:tab w:leader="none" w:pos="737" w:val="left"/>
        </w:tabs>
        <w:numPr>
          <w:ilvl w:val="0"/>
          <w:numId w:val="1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Also see 21 CFR §314.410 for FDA requirements concerning exports of new drugs and new drug substances.</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“immunotoxin” is defined as an antibody-toxin conjugate intended to destroy specific target cells (e.g., tumor cells) that bear antigens homologous to the antibody. For the purpose of this entry, “medical</w:t>
      </w:r>
    </w:p>
    <w:p>
      <w:pPr>
        <w:spacing w:after="0" w:line="13"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color w:val="auto"/>
        </w:rPr>
        <w:t>products” are: (1) pharmaceutical formulations designed for testing and human administration in the treatment of medical conditions, (2) prepackaged for distribution as clinical or medical products, and (3) approved by the U.S. Food and Drug Administration either to be marketed as clinical or medical products or for use as an “Investigational New Drug” (IND) (see 21 CFR Part 312). For the purpose of this entry, “diagnostic and food testing kits” are</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specifically developed, packaged and marketed for diagnostic or public health purposes. Biological toxins in any other configuration, including bulk shipments, or for any other end-uses are controlled by ECCN 1C351. For the purpose of this entry, “vaccine” is defined as a medicinal (or veterinary) product in a pharmaceutical formulation, approved by the U.S. Food and Drug Administration or the U.S. Department of Agriculture to be marketed as a medical (or veterinary) product or for use in clinical trials, that is intended to stimulate a protective immunological response in humans or animals in order to prevent disease in those to whom or to which it is administered.</w:t>
      </w:r>
    </w:p>
    <w:p>
      <w:pPr>
        <w:spacing w:after="0" w:line="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firstLine="1"/>
        <w:spacing w:after="0" w:line="234" w:lineRule="auto"/>
        <w:tabs>
          <w:tab w:leader="none" w:pos="330" w:val="left"/>
        </w:tabs>
        <w:numPr>
          <w:ilvl w:val="0"/>
          <w:numId w:val="1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Vaccines against items controlled by ECCN ECCN 1C351, 1C353 or 1C354;</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341" w:val="left"/>
        </w:tabs>
        <w:numPr>
          <w:ilvl w:val="0"/>
          <w:numId w:val="1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Immunotoxins containing items controlled by 1C351.d;</w:t>
      </w:r>
    </w:p>
    <w:p>
      <w:pPr>
        <w:spacing w:after="0" w:line="266" w:lineRule="exact"/>
        <w:rPr>
          <w:rFonts w:ascii="Times New Roman" w:cs="Times New Roman" w:eastAsia="Times New Roman" w:hAnsi="Times New Roman"/>
          <w:sz w:val="22"/>
          <w:szCs w:val="22"/>
          <w:color w:val="auto"/>
        </w:rPr>
      </w:pPr>
    </w:p>
    <w:p>
      <w:pPr>
        <w:jc w:val="both"/>
        <w:ind w:firstLine="1"/>
        <w:spacing w:after="0" w:line="235" w:lineRule="auto"/>
        <w:tabs>
          <w:tab w:leader="none" w:pos="502" w:val="left"/>
        </w:tabs>
        <w:numPr>
          <w:ilvl w:val="0"/>
          <w:numId w:val="1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Medical products containing botulinum toxins controlled by ECCN 1C351.d.3 or conotoxins controlled by ECCN 1C351.d.6;</w:t>
      </w:r>
    </w:p>
    <w:p>
      <w:pPr>
        <w:spacing w:after="0" w:line="268" w:lineRule="exact"/>
        <w:rPr>
          <w:rFonts w:ascii="Times New Roman" w:cs="Times New Roman" w:eastAsia="Times New Roman" w:hAnsi="Times New Roman"/>
          <w:sz w:val="22"/>
          <w:szCs w:val="22"/>
          <w:color w:val="auto"/>
        </w:rPr>
      </w:pPr>
    </w:p>
    <w:p>
      <w:pPr>
        <w:jc w:val="both"/>
        <w:ind w:firstLine="1"/>
        <w:spacing w:after="0" w:line="251" w:lineRule="auto"/>
        <w:tabs>
          <w:tab w:leader="none" w:pos="341" w:val="left"/>
        </w:tabs>
        <w:numPr>
          <w:ilvl w:val="0"/>
          <w:numId w:val="166"/>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Medical products containing items controlled by ECCN 1C351.d (except botulinum toxins controlled by ECCN 1C351.d.3, conotoxins controlled by ECCN 1C351.d.6, and items controlled for CW reasons under 1C351.d.11 or</w:t>
      </w:r>
    </w:p>
    <w:p>
      <w:pPr>
        <w:spacing w:after="0"/>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.d.12);</w:t>
      </w:r>
    </w:p>
    <w:p>
      <w:pPr>
        <w:spacing w:after="0" w:line="265" w:lineRule="exact"/>
        <w:rPr>
          <w:rFonts w:ascii="Times New Roman" w:cs="Times New Roman" w:eastAsia="Times New Roman" w:hAnsi="Times New Roman"/>
          <w:sz w:val="21"/>
          <w:szCs w:val="21"/>
          <w:color w:val="auto"/>
        </w:rPr>
      </w:pPr>
    </w:p>
    <w:p>
      <w:pPr>
        <w:jc w:val="both"/>
        <w:ind w:firstLine="1"/>
        <w:spacing w:after="0" w:line="236" w:lineRule="auto"/>
        <w:tabs>
          <w:tab w:leader="none" w:pos="349" w:val="left"/>
        </w:tabs>
        <w:numPr>
          <w:ilvl w:val="0"/>
          <w:numId w:val="1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Diagnostic and food testing kits containing items controlled by ECCN 1C351.d (except items controlled for CW reasons under ECCN 1C351.d.11 or .d.12).</w:t>
      </w:r>
    </w:p>
    <w:p>
      <w:pPr>
        <w:spacing w:after="0" w:line="200" w:lineRule="exact"/>
        <w:rPr>
          <w:sz w:val="20"/>
          <w:szCs w:val="20"/>
          <w:color w:val="auto"/>
        </w:rPr>
      </w:pPr>
    </w:p>
    <w:p>
      <w:pPr>
        <w:spacing w:after="0" w:line="324"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1C992 Commercial charges and devices containing energetic materials, n.e.s. and nitrogen trifluoride in a gaseous state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 Foreign policy</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2" w:name="page83"/>
    <w:bookmarkEnd w:id="8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83</w:t>
      </w:r>
    </w:p>
    <w:p>
      <w:pPr>
        <w:sectPr>
          <w:pgSz w:w="12240" w:h="15840" w:orient="portrait"/>
          <w:cols w:equalWidth="0" w:num="1">
            <w:col w:w="9360"/>
          </w:cols>
          <w:pgMar w:left="1440" w:top="1293" w:right="1440" w:bottom="124" w:gutter="0" w:footer="0" w:header="0"/>
        </w:sectPr>
      </w:pPr>
    </w:p>
    <w:p>
      <w:pPr>
        <w:spacing w:after="0" w:line="200" w:lineRule="exact"/>
        <w:rPr>
          <w:sz w:val="20"/>
          <w:szCs w:val="20"/>
          <w:color w:val="auto"/>
        </w:rPr>
      </w:pPr>
    </w:p>
    <w:p>
      <w:pPr>
        <w:spacing w:after="0" w:line="311" w:lineRule="exact"/>
        <w:rPr>
          <w:sz w:val="20"/>
          <w:szCs w:val="20"/>
          <w:color w:val="auto"/>
        </w:rPr>
      </w:pPr>
    </w:p>
    <w:tbl>
      <w:tblPr>
        <w:tblLayout w:type="fixed"/>
        <w:tblInd w:w="10" w:type="dxa"/>
        <w:tblCellMar>
          <w:top w:w="0" w:type="dxa"/>
          <w:left w:w="0" w:type="dxa"/>
          <w:bottom w:w="0" w:type="dxa"/>
          <w:right w:w="0" w:type="dxa"/>
        </w:tblCellMar>
      </w:tblPr>
      <w:tr>
        <w:trPr>
          <w:trHeight w:val="256"/>
        </w:trPr>
        <w:tc>
          <w:tcPr>
            <w:tcW w:w="1740" w:type="dxa"/>
            <w:vAlign w:val="bottom"/>
            <w:tcBorders>
              <w:top w:val="single" w:sz="8" w:color="auto"/>
              <w:left w:val="single" w:sz="8" w:color="auto"/>
              <w:right w:val="single" w:sz="8" w:color="auto"/>
            </w:tcBorders>
            <w:vMerge w:val="restart"/>
          </w:tcPr>
          <w:p>
            <w:pPr>
              <w:ind w:left="4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72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 Supp. No.</w:t>
            </w:r>
          </w:p>
        </w:tc>
        <w:tc>
          <w:tcPr>
            <w:tcW w:w="0" w:type="dxa"/>
            <w:vAlign w:val="bottom"/>
          </w:tcPr>
          <w:p>
            <w:pPr>
              <w:spacing w:after="0"/>
              <w:rPr>
                <w:sz w:val="1"/>
                <w:szCs w:val="1"/>
                <w:color w:val="auto"/>
              </w:rPr>
            </w:pPr>
          </w:p>
        </w:tc>
      </w:tr>
      <w:tr>
        <w:trPr>
          <w:trHeight w:val="127"/>
        </w:trPr>
        <w:tc>
          <w:tcPr>
            <w:tcW w:w="1740" w:type="dxa"/>
            <w:vAlign w:val="bottom"/>
            <w:tcBorders>
              <w:left w:val="single" w:sz="8" w:color="auto"/>
              <w:right w:val="single" w:sz="8" w:color="auto"/>
            </w:tcBorders>
            <w:vMerge w:val="continue"/>
          </w:tcPr>
          <w:p>
            <w:pPr>
              <w:spacing w:after="0"/>
              <w:rPr>
                <w:sz w:val="11"/>
                <w:szCs w:val="11"/>
                <w:color w:val="auto"/>
              </w:rPr>
            </w:pPr>
          </w:p>
        </w:tc>
        <w:tc>
          <w:tcPr>
            <w:tcW w:w="2720" w:type="dxa"/>
            <w:vAlign w:val="bottom"/>
            <w:tcBorders>
              <w:right w:val="single" w:sz="8" w:color="auto"/>
            </w:tcBorders>
            <w:vMerge w:val="restart"/>
          </w:tcPr>
          <w:p>
            <w:pPr>
              <w:ind w:left="740"/>
              <w:spacing w:after="0"/>
              <w:rPr>
                <w:sz w:val="20"/>
                <w:szCs w:val="20"/>
                <w:color w:val="auto"/>
              </w:rPr>
            </w:pPr>
            <w:r>
              <w:rPr>
                <w:rFonts w:ascii="Times New Roman" w:cs="Times New Roman" w:eastAsia="Times New Roman" w:hAnsi="Times New Roman"/>
                <w:sz w:val="22"/>
                <w:szCs w:val="22"/>
                <w:i w:val="1"/>
                <w:iCs w:val="1"/>
                <w:color w:val="auto"/>
              </w:rPr>
              <w:t>1 to part 738)</w:t>
            </w:r>
          </w:p>
        </w:tc>
        <w:tc>
          <w:tcPr>
            <w:tcW w:w="0" w:type="dxa"/>
            <w:vAlign w:val="bottom"/>
          </w:tcPr>
          <w:p>
            <w:pPr>
              <w:spacing w:after="0"/>
              <w:rPr>
                <w:sz w:val="1"/>
                <w:szCs w:val="1"/>
                <w:color w:val="auto"/>
              </w:rPr>
            </w:pPr>
          </w:p>
        </w:tc>
      </w:tr>
      <w:tr>
        <w:trPr>
          <w:trHeight w:val="127"/>
        </w:trPr>
        <w:tc>
          <w:tcPr>
            <w:tcW w:w="1740" w:type="dxa"/>
            <w:vAlign w:val="bottom"/>
            <w:tcBorders>
              <w:left w:val="single" w:sz="8" w:color="auto"/>
              <w:bottom w:val="single" w:sz="8" w:color="auto"/>
              <w:right w:val="single" w:sz="8" w:color="auto"/>
            </w:tcBorders>
          </w:tcPr>
          <w:p>
            <w:pPr>
              <w:spacing w:after="0"/>
              <w:rPr>
                <w:sz w:val="11"/>
                <w:szCs w:val="11"/>
                <w:color w:val="auto"/>
              </w:rPr>
            </w:pPr>
          </w:p>
        </w:tc>
        <w:tc>
          <w:tcPr>
            <w:tcW w:w="272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46"/>
        </w:trPr>
        <w:tc>
          <w:tcPr>
            <w:tcW w:w="1740" w:type="dxa"/>
            <w:vAlign w:val="bottom"/>
            <w:tcBorders>
              <w:left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w:t>
            </w:r>
          </w:p>
        </w:tc>
        <w:tc>
          <w:tcPr>
            <w:tcW w:w="2720" w:type="dxa"/>
            <w:vAlign w:val="bottom"/>
            <w:tcBorders>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Column 1.</w:t>
            </w:r>
          </w:p>
        </w:tc>
        <w:tc>
          <w:tcPr>
            <w:tcW w:w="0" w:type="dxa"/>
            <w:vAlign w:val="bottom"/>
          </w:tcPr>
          <w:p>
            <w:pPr>
              <w:spacing w:after="0"/>
              <w:rPr>
                <w:sz w:val="1"/>
                <w:szCs w:val="1"/>
                <w:color w:val="auto"/>
              </w:rPr>
            </w:pPr>
          </w:p>
        </w:tc>
      </w:tr>
      <w:tr>
        <w:trPr>
          <w:trHeight w:val="255"/>
        </w:trPr>
        <w:tc>
          <w:tcPr>
            <w:tcW w:w="174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entire entry</w:t>
            </w:r>
          </w:p>
        </w:tc>
        <w:tc>
          <w:tcPr>
            <w:tcW w:w="272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7"/>
        </w:trPr>
        <w:tc>
          <w:tcPr>
            <w:tcW w:w="1740" w:type="dxa"/>
            <w:vAlign w:val="bottom"/>
            <w:tcBorders>
              <w:left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RS applies to</w:t>
            </w:r>
          </w:p>
        </w:tc>
        <w:tc>
          <w:tcPr>
            <w:tcW w:w="2720" w:type="dxa"/>
            <w:vAlign w:val="bottom"/>
            <w:tcBorders>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A license is required for items</w:t>
            </w:r>
          </w:p>
        </w:tc>
        <w:tc>
          <w:tcPr>
            <w:tcW w:w="0" w:type="dxa"/>
            <w:vAlign w:val="bottom"/>
          </w:tcPr>
          <w:p>
            <w:pPr>
              <w:spacing w:after="0"/>
              <w:rPr>
                <w:sz w:val="1"/>
                <w:szCs w:val="1"/>
                <w:color w:val="auto"/>
              </w:rPr>
            </w:pPr>
          </w:p>
        </w:tc>
      </w:tr>
      <w:tr>
        <w:trPr>
          <w:trHeight w:val="252"/>
        </w:trPr>
        <w:tc>
          <w:tcPr>
            <w:tcW w:w="17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entire entry.</w:t>
            </w: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controlled by this entry for</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export or reexport to Iraq and</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transfer within Iraq for</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regional stability reasons.</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The Commerce Country</w:t>
            </w:r>
          </w:p>
        </w:tc>
        <w:tc>
          <w:tcPr>
            <w:tcW w:w="0" w:type="dxa"/>
            <w:vAlign w:val="bottom"/>
          </w:tcPr>
          <w:p>
            <w:pPr>
              <w:spacing w:after="0"/>
              <w:rPr>
                <w:sz w:val="1"/>
                <w:szCs w:val="1"/>
                <w:color w:val="auto"/>
              </w:rPr>
            </w:pPr>
          </w:p>
        </w:tc>
      </w:tr>
      <w:tr>
        <w:trPr>
          <w:trHeight w:val="252"/>
        </w:trPr>
        <w:tc>
          <w:tcPr>
            <w:tcW w:w="1740" w:type="dxa"/>
            <w:vAlign w:val="bottom"/>
            <w:tcBorders>
              <w:left w:val="single" w:sz="8" w:color="auto"/>
              <w:right w:val="single" w:sz="8" w:color="auto"/>
            </w:tcBorders>
          </w:tcPr>
          <w:p>
            <w:pPr>
              <w:spacing w:after="0"/>
              <w:rPr>
                <w:sz w:val="21"/>
                <w:szCs w:val="21"/>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Chart is not designed to</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determine RS license</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requirements for this entry.</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See §§ 742.6 and 746.3 of the</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EAR for additional</w:t>
            </w:r>
          </w:p>
        </w:tc>
        <w:tc>
          <w:tcPr>
            <w:tcW w:w="0" w:type="dxa"/>
            <w:vAlign w:val="bottom"/>
          </w:tcPr>
          <w:p>
            <w:pPr>
              <w:spacing w:after="0"/>
              <w:rPr>
                <w:sz w:val="1"/>
                <w:szCs w:val="1"/>
                <w:color w:val="auto"/>
              </w:rPr>
            </w:pPr>
          </w:p>
        </w:tc>
      </w:tr>
      <w:tr>
        <w:trPr>
          <w:trHeight w:val="254"/>
        </w:trPr>
        <w:tc>
          <w:tcPr>
            <w:tcW w:w="1740" w:type="dxa"/>
            <w:vAlign w:val="bottom"/>
            <w:tcBorders>
              <w:left w:val="single" w:sz="8" w:color="auto"/>
              <w:bottom w:val="single" w:sz="8" w:color="auto"/>
              <w:right w:val="single" w:sz="8" w:color="auto"/>
            </w:tcBorders>
          </w:tcPr>
          <w:p>
            <w:pPr>
              <w:spacing w:after="0"/>
              <w:rPr>
                <w:sz w:val="22"/>
                <w:szCs w:val="22"/>
                <w:color w:val="auto"/>
              </w:rPr>
            </w:pPr>
          </w:p>
        </w:tc>
        <w:tc>
          <w:tcPr>
            <w:tcW w:w="2720" w:type="dxa"/>
            <w:vAlign w:val="bottom"/>
            <w:tcBorders>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information.</w:t>
            </w:r>
          </w:p>
        </w:tc>
        <w:tc>
          <w:tcPr>
            <w:tcW w:w="0" w:type="dxa"/>
            <w:vAlign w:val="bottom"/>
          </w:tcPr>
          <w:p>
            <w:pPr>
              <w:spacing w:after="0"/>
              <w:rPr>
                <w:sz w:val="1"/>
                <w:szCs w:val="1"/>
                <w:color w:val="auto"/>
              </w:rPr>
            </w:pPr>
          </w:p>
        </w:tc>
      </w:tr>
      <w:tr>
        <w:trPr>
          <w:trHeight w:val="247"/>
        </w:trPr>
        <w:tc>
          <w:tcPr>
            <w:tcW w:w="1740" w:type="dxa"/>
            <w:vAlign w:val="bottom"/>
            <w:tcBorders>
              <w:left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Russian industry</w:t>
            </w:r>
          </w:p>
        </w:tc>
        <w:tc>
          <w:tcPr>
            <w:tcW w:w="2720" w:type="dxa"/>
            <w:vAlign w:val="bottom"/>
            <w:tcBorders>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See § 746.5 for specific</w:t>
            </w:r>
          </w:p>
        </w:tc>
        <w:tc>
          <w:tcPr>
            <w:tcW w:w="0" w:type="dxa"/>
            <w:vAlign w:val="bottom"/>
          </w:tcPr>
          <w:p>
            <w:pPr>
              <w:spacing w:after="0"/>
              <w:rPr>
                <w:sz w:val="1"/>
                <w:szCs w:val="1"/>
                <w:color w:val="auto"/>
              </w:rPr>
            </w:pPr>
          </w:p>
        </w:tc>
      </w:tr>
      <w:tr>
        <w:trPr>
          <w:trHeight w:val="253"/>
        </w:trPr>
        <w:tc>
          <w:tcPr>
            <w:tcW w:w="17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sector sanctions</w:t>
            </w: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license requirements and</w:t>
            </w:r>
          </w:p>
        </w:tc>
        <w:tc>
          <w:tcPr>
            <w:tcW w:w="0" w:type="dxa"/>
            <w:vAlign w:val="bottom"/>
          </w:tcPr>
          <w:p>
            <w:pPr>
              <w:spacing w:after="0"/>
              <w:rPr>
                <w:sz w:val="1"/>
                <w:szCs w:val="1"/>
                <w:color w:val="auto"/>
              </w:rPr>
            </w:pPr>
          </w:p>
        </w:tc>
      </w:tr>
      <w:tr>
        <w:trPr>
          <w:trHeight w:val="252"/>
        </w:trPr>
        <w:tc>
          <w:tcPr>
            <w:tcW w:w="174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apply to entire</w:t>
            </w:r>
          </w:p>
        </w:tc>
        <w:tc>
          <w:tcPr>
            <w:tcW w:w="27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license review policy.</w:t>
            </w:r>
          </w:p>
        </w:tc>
        <w:tc>
          <w:tcPr>
            <w:tcW w:w="0" w:type="dxa"/>
            <w:vAlign w:val="bottom"/>
          </w:tcPr>
          <w:p>
            <w:pPr>
              <w:spacing w:after="0"/>
              <w:rPr>
                <w:sz w:val="1"/>
                <w:szCs w:val="1"/>
                <w:color w:val="auto"/>
              </w:rPr>
            </w:pPr>
          </w:p>
        </w:tc>
      </w:tr>
      <w:tr>
        <w:trPr>
          <w:trHeight w:val="255"/>
        </w:trPr>
        <w:tc>
          <w:tcPr>
            <w:tcW w:w="174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272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263" w:lineRule="exact"/>
        <w:rPr>
          <w:sz w:val="20"/>
          <w:szCs w:val="20"/>
          <w:color w:val="auto"/>
        </w:rPr>
      </w:pPr>
    </w:p>
    <w:p>
      <w:pPr>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1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Commercial charges</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and devices containing USML controlled energetic materials that exceed the quantities noted or that are not covered by this entry are</w:t>
      </w:r>
    </w:p>
    <w:p>
      <w:pPr>
        <w:spacing w:after="0" w:line="3" w:lineRule="exact"/>
        <w:rPr>
          <w:sz w:val="20"/>
          <w:szCs w:val="20"/>
          <w:color w:val="auto"/>
        </w:rPr>
      </w:pPr>
    </w:p>
    <w:p>
      <w:pPr>
        <w:jc w:val="both"/>
        <w:ind w:left="360" w:right="120"/>
        <w:spacing w:after="0" w:line="235" w:lineRule="auto"/>
        <w:rPr>
          <w:sz w:val="20"/>
          <w:szCs w:val="20"/>
          <w:color w:val="auto"/>
        </w:rPr>
      </w:pPr>
      <w:r>
        <w:rPr>
          <w:rFonts w:ascii="Times New Roman" w:cs="Times New Roman" w:eastAsia="Times New Roman" w:hAnsi="Times New Roman"/>
          <w:sz w:val="22"/>
          <w:szCs w:val="22"/>
          <w:color w:val="auto"/>
        </w:rPr>
        <w:t xml:space="preserve">controlled under </w:t>
      </w:r>
      <w:r>
        <w:rPr>
          <w:rFonts w:ascii="Times New Roman" w:cs="Times New Roman" w:eastAsia="Times New Roman" w:hAnsi="Times New Roman"/>
          <w:sz w:val="22"/>
          <w:szCs w:val="22"/>
          <w:u w:val="single" w:color="auto"/>
          <w:color w:val="0000FF"/>
        </w:rPr>
        <w:t>ECCN 1C608</w:t>
      </w:r>
      <w:r>
        <w:rPr>
          <w:rFonts w:ascii="Times New Roman" w:cs="Times New Roman" w:eastAsia="Times New Roman" w:hAnsi="Times New Roman"/>
          <w:sz w:val="22"/>
          <w:szCs w:val="22"/>
          <w:color w:val="auto"/>
        </w:rPr>
        <w:t>. (2) Nitrogen trifluoride when not in a gaseous state is controlled under ECCN 1C608.</w:t>
      </w:r>
    </w:p>
    <w:p>
      <w:pPr>
        <w:spacing w:after="0" w:line="268" w:lineRule="exact"/>
        <w:rPr>
          <w:sz w:val="20"/>
          <w:szCs w:val="20"/>
          <w:color w:val="auto"/>
        </w:rPr>
      </w:pPr>
    </w:p>
    <w:p>
      <w:pPr>
        <w:jc w:val="both"/>
        <w:ind w:left="360" w:right="12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Items controlled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by this entry 1C992 are those materials not controlled by ECCN 1C608 and not “subject to the ITAR” (see 22 CFR parts 120 through 130). (2) For purposes of this entry, the term “controlled materials” means controlled energetic materials (see ECCNs 1C011, 1C111, 1C239 and 1C608; see also 22 CFR 121.1 Category V). (3) The individual USML controlled energetic materials, even when compounded with other materials,</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color w:val="auto"/>
        </w:rPr>
        <w:t>remain “subject to the ITAR” when not incorporated into explosive devices or</w:t>
      </w:r>
    </w:p>
    <w:p>
      <w:pPr>
        <w:spacing w:after="0" w:line="13"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charges controlled by this entry. (4) Commercial prefabricated slurries and emulsions containing greater than 35% of USML controlled energetic materials are “subject to the ITAR” (see 22 CFR parts 120 through 130). (5) For purposes of this entry, the mass of aluminum powder, potassium perchlorate, and any of the substances listed in the note to the USML (see 22 CFR 121.12) (such as ammonium pictrate, black powder, etc.) contained in commercial explosive devices and in the charges are omitted when determining the total mass of controlled material.</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1"/>
        <w:spacing w:after="0" w:line="236" w:lineRule="auto"/>
        <w:tabs>
          <w:tab w:leader="none" w:pos="332" w:val="left"/>
        </w:tabs>
        <w:numPr>
          <w:ilvl w:val="0"/>
          <w:numId w:val="1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Shaped charges “specially designed” for oil well operations, utilizing one charge functioning along a single axis, that upon detonation produce a hole, and</w:t>
      </w:r>
    </w:p>
    <w:p>
      <w:pPr>
        <w:spacing w:after="0" w:line="270"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a.1. Contain any formulation of controlled materials;</w:t>
      </w:r>
    </w:p>
    <w:p>
      <w:pPr>
        <w:spacing w:after="0" w:line="265" w:lineRule="exact"/>
        <w:rPr>
          <w:sz w:val="20"/>
          <w:szCs w:val="20"/>
          <w:color w:val="auto"/>
        </w:rPr>
      </w:pPr>
    </w:p>
    <w:p>
      <w:pPr>
        <w:jc w:val="both"/>
        <w:ind w:firstLine="306"/>
        <w:spacing w:after="0" w:line="250" w:lineRule="auto"/>
        <w:rPr>
          <w:sz w:val="20"/>
          <w:szCs w:val="20"/>
          <w:color w:val="auto"/>
        </w:rPr>
      </w:pPr>
      <w:r>
        <w:rPr>
          <w:rFonts w:ascii="Times New Roman" w:cs="Times New Roman" w:eastAsia="Times New Roman" w:hAnsi="Times New Roman"/>
          <w:sz w:val="21"/>
          <w:szCs w:val="21"/>
          <w:color w:val="auto"/>
        </w:rPr>
        <w:t>a.2. Have only a uniform shaped conical liner with an included angle of 90 degrees or less;</w:t>
      </w:r>
    </w:p>
    <w:p>
      <w:pPr>
        <w:spacing w:after="0" w:line="257" w:lineRule="exact"/>
        <w:rPr>
          <w:sz w:val="20"/>
          <w:szCs w:val="20"/>
          <w:color w:val="auto"/>
        </w:rPr>
      </w:pPr>
    </w:p>
    <w:p>
      <w:pPr>
        <w:jc w:val="both"/>
        <w:ind w:firstLine="306"/>
        <w:spacing w:after="0"/>
        <w:rPr>
          <w:sz w:val="20"/>
          <w:szCs w:val="20"/>
          <w:color w:val="auto"/>
        </w:rPr>
      </w:pPr>
      <w:r>
        <w:rPr>
          <w:rFonts w:ascii="Times New Roman" w:cs="Times New Roman" w:eastAsia="Times New Roman" w:hAnsi="Times New Roman"/>
          <w:sz w:val="22"/>
          <w:szCs w:val="22"/>
          <w:color w:val="auto"/>
        </w:rPr>
        <w:t>a.3. Contain more than 0.010 kg but less than or equal to 0.090 kg of controlled materials; and</w:t>
      </w:r>
    </w:p>
    <w:p>
      <w:pPr>
        <w:spacing w:after="0" w:line="200" w:lineRule="exact"/>
        <w:rPr>
          <w:sz w:val="20"/>
          <w:szCs w:val="20"/>
          <w:color w:val="auto"/>
        </w:rPr>
      </w:pPr>
    </w:p>
    <w:p>
      <w:pPr>
        <w:spacing w:after="0" w:line="306" w:lineRule="exact"/>
        <w:rPr>
          <w:sz w:val="20"/>
          <w:szCs w:val="20"/>
          <w:color w:val="auto"/>
        </w:rPr>
      </w:pPr>
    </w:p>
    <w:p>
      <w:pPr>
        <w:jc w:val="both"/>
        <w:ind w:firstLine="306"/>
        <w:spacing w:after="0" w:line="234" w:lineRule="auto"/>
        <w:rPr>
          <w:sz w:val="20"/>
          <w:szCs w:val="20"/>
          <w:color w:val="auto"/>
        </w:rPr>
      </w:pPr>
      <w:r>
        <w:rPr>
          <w:rFonts w:ascii="Times New Roman" w:cs="Times New Roman" w:eastAsia="Times New Roman" w:hAnsi="Times New Roman"/>
          <w:sz w:val="22"/>
          <w:szCs w:val="22"/>
          <w:color w:val="auto"/>
        </w:rPr>
        <w:t>a.4. Have a diameter not exceeding 4.5 inches;</w:t>
      </w:r>
    </w:p>
    <w:p>
      <w:pPr>
        <w:spacing w:after="0" w:line="265" w:lineRule="exact"/>
        <w:rPr>
          <w:sz w:val="20"/>
          <w:szCs w:val="20"/>
          <w:color w:val="auto"/>
        </w:rPr>
      </w:pPr>
    </w:p>
    <w:p>
      <w:pPr>
        <w:jc w:val="both"/>
        <w:ind w:firstLine="1"/>
        <w:spacing w:after="0" w:line="236" w:lineRule="auto"/>
        <w:tabs>
          <w:tab w:leader="none" w:pos="341" w:val="left"/>
        </w:tabs>
        <w:numPr>
          <w:ilvl w:val="0"/>
          <w:numId w:val="1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Shaped charges “specially designed” for oil well operations containing less than or equal to 0.010 kg of controlled materials;</w:t>
      </w:r>
    </w:p>
    <w:p>
      <w:pPr>
        <w:spacing w:after="0" w:line="266" w:lineRule="exact"/>
        <w:rPr>
          <w:rFonts w:ascii="Times New Roman" w:cs="Times New Roman" w:eastAsia="Times New Roman" w:hAnsi="Times New Roman"/>
          <w:sz w:val="22"/>
          <w:szCs w:val="22"/>
          <w:color w:val="auto"/>
        </w:rPr>
      </w:pPr>
    </w:p>
    <w:p>
      <w:pPr>
        <w:jc w:val="both"/>
        <w:ind w:firstLine="1"/>
        <w:spacing w:after="0" w:line="235" w:lineRule="auto"/>
        <w:tabs>
          <w:tab w:leader="none" w:pos="363" w:val="left"/>
        </w:tabs>
        <w:numPr>
          <w:ilvl w:val="0"/>
          <w:numId w:val="1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Detonation cord or shock tubes containing less than or equal to 0.064 kg per meter (300 grains per foot) of controlled materials;</w:t>
      </w:r>
    </w:p>
    <w:p>
      <w:pPr>
        <w:spacing w:after="0" w:line="268" w:lineRule="exact"/>
        <w:rPr>
          <w:rFonts w:ascii="Times New Roman" w:cs="Times New Roman" w:eastAsia="Times New Roman" w:hAnsi="Times New Roman"/>
          <w:sz w:val="22"/>
          <w:szCs w:val="22"/>
          <w:color w:val="auto"/>
        </w:rPr>
      </w:pPr>
    </w:p>
    <w:p>
      <w:pPr>
        <w:jc w:val="both"/>
        <w:ind w:firstLine="1"/>
        <w:spacing w:after="0" w:line="236" w:lineRule="auto"/>
        <w:tabs>
          <w:tab w:leader="none" w:pos="388" w:val="left"/>
        </w:tabs>
        <w:numPr>
          <w:ilvl w:val="0"/>
          <w:numId w:val="1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Cartridge power devices, that contain less than or equal to 0.70 kg of controlled materials in the deflagration material;</w:t>
      </w:r>
    </w:p>
    <w:p>
      <w:pPr>
        <w:spacing w:after="0" w:line="750" w:lineRule="exact"/>
        <w:rPr>
          <w:sz w:val="20"/>
          <w:szCs w:val="20"/>
          <w:color w:val="auto"/>
        </w:rPr>
      </w:pPr>
    </w:p>
    <w:p>
      <w:pPr>
        <w:sectPr>
          <w:pgSz w:w="12240" w:h="15840" w:orient="portrait"/>
          <w:cols w:equalWidth="0" w:num="2">
            <w:col w:w="4440" w:space="600"/>
            <w:col w:w="4320"/>
          </w:cols>
          <w:pgMar w:left="1440" w:top="1293" w:right="1440" w:bottom="124" w:gutter="0" w:footer="0" w:header="0"/>
          <w:type w:val="continuous"/>
        </w:sectPr>
      </w:pPr>
    </w:p>
    <w:p>
      <w:pPr>
        <w:spacing w:after="0" w:line="275"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3" w:name="page84"/>
    <w:bookmarkEnd w:id="8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84</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jc w:val="both"/>
        <w:spacing w:after="0" w:line="236" w:lineRule="auto"/>
        <w:tabs>
          <w:tab w:leader="none" w:pos="471"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Detonators (electric or nonelectric) and assemblies thereof, that contain less than or equal to 0.01 kg of controlled materials;</w:t>
      </w:r>
    </w:p>
    <w:p>
      <w:pPr>
        <w:spacing w:after="0" w:line="266" w:lineRule="exact"/>
        <w:rPr>
          <w:rFonts w:ascii="Times New Roman" w:cs="Times New Roman" w:eastAsia="Times New Roman" w:hAnsi="Times New Roman"/>
          <w:sz w:val="22"/>
          <w:szCs w:val="22"/>
          <w:color w:val="auto"/>
        </w:rPr>
      </w:pPr>
    </w:p>
    <w:p>
      <w:pPr>
        <w:spacing w:after="0" w:line="233" w:lineRule="auto"/>
        <w:tabs>
          <w:tab w:leader="none" w:pos="305"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Igniters, that contain less than or equal to 0.01 kg of controlled materials;</w:t>
      </w:r>
    </w:p>
    <w:p>
      <w:pPr>
        <w:spacing w:after="0" w:line="267" w:lineRule="exact"/>
        <w:rPr>
          <w:rFonts w:ascii="Times New Roman" w:cs="Times New Roman" w:eastAsia="Times New Roman" w:hAnsi="Times New Roman"/>
          <w:sz w:val="22"/>
          <w:szCs w:val="22"/>
          <w:color w:val="auto"/>
        </w:rPr>
      </w:pPr>
    </w:p>
    <w:p>
      <w:pPr>
        <w:jc w:val="both"/>
        <w:spacing w:after="0" w:line="236" w:lineRule="auto"/>
        <w:tabs>
          <w:tab w:leader="none" w:pos="341"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Oil well cartridges, that contain less than or equal to 0.015 kg of controlled energetic materials;</w:t>
      </w:r>
    </w:p>
    <w:p>
      <w:pPr>
        <w:spacing w:after="0" w:line="265" w:lineRule="exact"/>
        <w:rPr>
          <w:rFonts w:ascii="Times New Roman" w:cs="Times New Roman" w:eastAsia="Times New Roman" w:hAnsi="Times New Roman"/>
          <w:sz w:val="22"/>
          <w:szCs w:val="22"/>
          <w:color w:val="auto"/>
        </w:rPr>
      </w:pPr>
    </w:p>
    <w:p>
      <w:pPr>
        <w:jc w:val="both"/>
        <w:spacing w:after="0" w:line="236" w:lineRule="auto"/>
        <w:tabs>
          <w:tab w:leader="none" w:pos="395"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Commercial cast or pressed boosters containing less than or equal to 1.0 kg of controlled materials;</w:t>
      </w:r>
    </w:p>
    <w:p>
      <w:pPr>
        <w:spacing w:after="0" w:line="266" w:lineRule="exact"/>
        <w:rPr>
          <w:rFonts w:ascii="Times New Roman" w:cs="Times New Roman" w:eastAsia="Times New Roman" w:hAnsi="Times New Roman"/>
          <w:sz w:val="22"/>
          <w:szCs w:val="22"/>
          <w:color w:val="auto"/>
        </w:rPr>
      </w:pPr>
    </w:p>
    <w:p>
      <w:pPr>
        <w:jc w:val="both"/>
        <w:spacing w:after="0" w:line="236" w:lineRule="auto"/>
        <w:tabs>
          <w:tab w:leader="none" w:pos="365"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Commercial prefabricated slurries and emulsions containing less than or equal to 10.0 kg and less than or equal to thirty-five percent by weight of USML controlled materials;</w:t>
      </w:r>
    </w:p>
    <w:p>
      <w:pPr>
        <w:spacing w:after="0" w:line="269" w:lineRule="exact"/>
        <w:rPr>
          <w:rFonts w:ascii="Times New Roman" w:cs="Times New Roman" w:eastAsia="Times New Roman" w:hAnsi="Times New Roman"/>
          <w:sz w:val="22"/>
          <w:szCs w:val="22"/>
          <w:color w:val="auto"/>
        </w:rPr>
      </w:pPr>
    </w:p>
    <w:p>
      <w:pPr>
        <w:spacing w:after="0" w:line="233" w:lineRule="auto"/>
        <w:tabs>
          <w:tab w:leader="none" w:pos="293"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Cutters and severing tools containing less than or equal to 3.5 kg of controlled materials;</w:t>
      </w:r>
    </w:p>
    <w:p>
      <w:pPr>
        <w:spacing w:after="0" w:line="267" w:lineRule="exact"/>
        <w:rPr>
          <w:rFonts w:ascii="Times New Roman" w:cs="Times New Roman" w:eastAsia="Times New Roman" w:hAnsi="Times New Roman"/>
          <w:sz w:val="22"/>
          <w:szCs w:val="22"/>
          <w:color w:val="auto"/>
        </w:rPr>
      </w:pPr>
    </w:p>
    <w:p>
      <w:pPr>
        <w:jc w:val="both"/>
        <w:spacing w:after="0" w:line="237" w:lineRule="auto"/>
        <w:tabs>
          <w:tab w:leader="none" w:pos="462"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Pyrotechnic devices when designed exclusively for commercial purposes (e.g., theatrical stages, motion picture special effects, and fireworks displays) and containing less than or equal to 3.0 kg of controlled materials; or</w:t>
      </w:r>
    </w:p>
    <w:p>
      <w:pPr>
        <w:spacing w:after="0" w:line="269" w:lineRule="exact"/>
        <w:rPr>
          <w:rFonts w:ascii="Times New Roman" w:cs="Times New Roman" w:eastAsia="Times New Roman" w:hAnsi="Times New Roman"/>
          <w:sz w:val="22"/>
          <w:szCs w:val="22"/>
          <w:color w:val="auto"/>
        </w:rPr>
      </w:pPr>
    </w:p>
    <w:p>
      <w:pPr>
        <w:jc w:val="both"/>
        <w:spacing w:after="0" w:line="236" w:lineRule="auto"/>
        <w:tabs>
          <w:tab w:leader="none" w:pos="487" w:val="left"/>
        </w:tabs>
        <w:numPr>
          <w:ilvl w:val="0"/>
          <w:numId w:val="1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commercial explosive devices and charges not controlled by 1C992.a through .k containing less than or equal to 1.0 kg of controlled materials.</w:t>
      </w:r>
    </w:p>
    <w:p>
      <w:pPr>
        <w:spacing w:after="0" w:line="271" w:lineRule="exact"/>
        <w:rPr>
          <w:sz w:val="20"/>
          <w:szCs w:val="20"/>
          <w:color w:val="auto"/>
        </w:rPr>
      </w:pPr>
    </w:p>
    <w:p>
      <w:pPr>
        <w:jc w:val="both"/>
        <w:ind w:firstLine="72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1C992.l includes automotive safety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devices; extinguishing systems; cartridges for riveting guns; explosive charges for agricultural, oil and gas operations, sporting goods, commercial mining, or public works purposes; and delay tubes used in the assembly of commercial explosive devices.</w:t>
      </w:r>
    </w:p>
    <w:p>
      <w:pPr>
        <w:spacing w:after="0" w:line="267" w:lineRule="exact"/>
        <w:rPr>
          <w:sz w:val="20"/>
          <w:szCs w:val="20"/>
          <w:color w:val="auto"/>
        </w:rPr>
      </w:pPr>
    </w:p>
    <w:p>
      <w:pPr>
        <w:spacing w:after="0"/>
        <w:tabs>
          <w:tab w:leader="none" w:pos="380" w:val="left"/>
        </w:tabs>
        <w:rPr>
          <w:sz w:val="20"/>
          <w:szCs w:val="20"/>
          <w:color w:val="auto"/>
        </w:rPr>
      </w:pPr>
      <w:r>
        <w:rPr>
          <w:rFonts w:ascii="Times New Roman" w:cs="Times New Roman" w:eastAsia="Times New Roman" w:hAnsi="Times New Roman"/>
          <w:sz w:val="21"/>
          <w:szCs w:val="21"/>
          <w:color w:val="auto"/>
        </w:rPr>
        <w:t>m.</w:t>
        <w:tab/>
        <w:t>Nitrogen trifluoride (NF</w:t>
      </w:r>
      <w:r>
        <w:rPr>
          <w:rFonts w:ascii="Times New Roman" w:cs="Times New Roman" w:eastAsia="Times New Roman" w:hAnsi="Times New Roman"/>
          <w:sz w:val="13"/>
          <w:szCs w:val="13"/>
          <w:color w:val="auto"/>
        </w:rPr>
        <w:t>3</w:t>
      </w:r>
      <w:r>
        <w:rPr>
          <w:rFonts w:ascii="Times New Roman" w:cs="Times New Roman" w:eastAsia="Times New Roman" w:hAnsi="Times New Roman"/>
          <w:sz w:val="21"/>
          <w:szCs w:val="21"/>
          <w:color w:val="auto"/>
        </w:rPr>
        <w:t>) in a gaseous state.</w:t>
      </w:r>
    </w:p>
    <w:p>
      <w:pPr>
        <w:spacing w:after="0" w:line="200" w:lineRule="exact"/>
        <w:rPr>
          <w:sz w:val="20"/>
          <w:szCs w:val="20"/>
          <w:color w:val="auto"/>
        </w:rPr>
      </w:pPr>
    </w:p>
    <w:p>
      <w:pPr>
        <w:spacing w:after="0" w:line="318"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1C995 Mixtures not controlled by ECCN 1C350, ECCN 1C355 or ECCN 1C395 that contain chemicals controlled by ECCN 1C350 or ECCN 1C355 and medical, analytical, diagnostic, and food testing kits not controlled</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by ECCN 1C350 or ECCN 1C395 that contain chemicals controlled by ECCN 1C350.d, as follows (see List of Items Controlled).</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w:t>
      </w:r>
    </w:p>
    <w:p>
      <w:pPr>
        <w:spacing w:after="0" w:line="236" w:lineRule="exact"/>
        <w:rPr>
          <w:sz w:val="20"/>
          <w:szCs w:val="20"/>
          <w:color w:val="auto"/>
        </w:rPr>
      </w:pPr>
    </w:p>
    <w:tbl>
      <w:tblPr>
        <w:tblLayout w:type="fixed"/>
        <w:tblInd w:w="110" w:type="dxa"/>
        <w:tblCellMar>
          <w:top w:w="0" w:type="dxa"/>
          <w:left w:w="0" w:type="dxa"/>
          <w:bottom w:w="0" w:type="dxa"/>
          <w:right w:w="0" w:type="dxa"/>
        </w:tblCellMar>
      </w:tblPr>
      <w:tr>
        <w:trPr>
          <w:trHeight w:val="261"/>
        </w:trPr>
        <w:tc>
          <w:tcPr>
            <w:tcW w:w="1520" w:type="dxa"/>
            <w:vAlign w:val="bottom"/>
            <w:tcBorders>
              <w:top w:val="single" w:sz="8" w:color="auto"/>
              <w:left w:val="single" w:sz="8" w:color="auto"/>
              <w:right w:val="single" w:sz="8" w:color="auto"/>
            </w:tcBorders>
            <w:vMerge w:val="restart"/>
          </w:tcPr>
          <w:p>
            <w:pPr>
              <w:ind w:left="3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720" w:type="dxa"/>
            <w:vAlign w:val="bottom"/>
            <w:tcBorders>
              <w:top w:val="single" w:sz="8" w:color="auto"/>
              <w:right w:val="single" w:sz="8" w:color="auto"/>
            </w:tcBorders>
            <w:gridSpan w:val="5"/>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 (See Supp.</w:t>
            </w:r>
          </w:p>
        </w:tc>
        <w:tc>
          <w:tcPr>
            <w:tcW w:w="0" w:type="dxa"/>
            <w:vAlign w:val="bottom"/>
          </w:tcPr>
          <w:p>
            <w:pPr>
              <w:spacing w:after="0"/>
              <w:rPr>
                <w:sz w:val="1"/>
                <w:szCs w:val="1"/>
                <w:color w:val="auto"/>
              </w:rPr>
            </w:pPr>
          </w:p>
        </w:tc>
      </w:tr>
      <w:tr>
        <w:trPr>
          <w:trHeight w:val="127"/>
        </w:trPr>
        <w:tc>
          <w:tcPr>
            <w:tcW w:w="1520" w:type="dxa"/>
            <w:vAlign w:val="bottom"/>
            <w:tcBorders>
              <w:left w:val="single" w:sz="8" w:color="auto"/>
              <w:right w:val="single" w:sz="8" w:color="auto"/>
            </w:tcBorders>
            <w:vMerge w:val="continue"/>
          </w:tcPr>
          <w:p>
            <w:pPr>
              <w:spacing w:after="0"/>
              <w:rPr>
                <w:sz w:val="11"/>
                <w:szCs w:val="11"/>
                <w:color w:val="auto"/>
              </w:rPr>
            </w:pPr>
          </w:p>
        </w:tc>
        <w:tc>
          <w:tcPr>
            <w:tcW w:w="2220" w:type="dxa"/>
            <w:vAlign w:val="bottom"/>
            <w:gridSpan w:val="4"/>
            <w:vMerge w:val="restart"/>
          </w:tcPr>
          <w:p>
            <w:pPr>
              <w:jc w:val="center"/>
              <w:ind w:left="330"/>
              <w:spacing w:after="0"/>
              <w:rPr>
                <w:sz w:val="20"/>
                <w:szCs w:val="20"/>
                <w:color w:val="auto"/>
              </w:rPr>
            </w:pPr>
            <w:r>
              <w:rPr>
                <w:rFonts w:ascii="Times New Roman" w:cs="Times New Roman" w:eastAsia="Times New Roman" w:hAnsi="Times New Roman"/>
                <w:sz w:val="22"/>
                <w:szCs w:val="22"/>
                <w:i w:val="1"/>
                <w:iCs w:val="1"/>
                <w:color w:val="auto"/>
                <w:w w:val="99"/>
              </w:rPr>
              <w:t>No. 1 to part 738)</w:t>
            </w:r>
          </w:p>
        </w:tc>
        <w:tc>
          <w:tcPr>
            <w:tcW w:w="50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127"/>
        </w:trPr>
        <w:tc>
          <w:tcPr>
            <w:tcW w:w="1520" w:type="dxa"/>
            <w:vAlign w:val="bottom"/>
            <w:tcBorders>
              <w:left w:val="single" w:sz="8" w:color="auto"/>
              <w:bottom w:val="single" w:sz="8" w:color="auto"/>
              <w:right w:val="single" w:sz="8" w:color="auto"/>
            </w:tcBorders>
          </w:tcPr>
          <w:p>
            <w:pPr>
              <w:spacing w:after="0"/>
              <w:rPr>
                <w:sz w:val="11"/>
                <w:szCs w:val="11"/>
                <w:color w:val="auto"/>
              </w:rPr>
            </w:pPr>
          </w:p>
        </w:tc>
        <w:tc>
          <w:tcPr>
            <w:tcW w:w="2220" w:type="dxa"/>
            <w:vAlign w:val="bottom"/>
            <w:tcBorders>
              <w:bottom w:val="single" w:sz="8" w:color="auto"/>
            </w:tcBorders>
            <w:gridSpan w:val="4"/>
            <w:vMerge w:val="continue"/>
          </w:tcPr>
          <w:p>
            <w:pPr>
              <w:spacing w:after="0"/>
              <w:rPr>
                <w:sz w:val="11"/>
                <w:szCs w:val="11"/>
                <w:color w:val="auto"/>
              </w:rPr>
            </w:pPr>
          </w:p>
        </w:tc>
        <w:tc>
          <w:tcPr>
            <w:tcW w:w="50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41"/>
        </w:trPr>
        <w:tc>
          <w:tcPr>
            <w:tcW w:w="15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w:t>
            </w:r>
          </w:p>
        </w:tc>
        <w:tc>
          <w:tcPr>
            <w:tcW w:w="1780" w:type="dxa"/>
            <w:vAlign w:val="bottom"/>
            <w:gridSpan w:val="3"/>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c>
          <w:tcPr>
            <w:tcW w:w="440" w:type="dxa"/>
            <w:vAlign w:val="bottom"/>
          </w:tcPr>
          <w:p>
            <w:pPr>
              <w:spacing w:after="0"/>
              <w:rPr>
                <w:sz w:val="20"/>
                <w:szCs w:val="20"/>
                <w:color w:val="auto"/>
              </w:rPr>
            </w:pPr>
          </w:p>
        </w:tc>
        <w:tc>
          <w:tcPr>
            <w:tcW w:w="50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55"/>
        </w:trPr>
        <w:tc>
          <w:tcPr>
            <w:tcW w:w="15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600" w:type="dxa"/>
            <w:vAlign w:val="bottom"/>
            <w:tcBorders>
              <w:bottom w:val="single" w:sz="8" w:color="auto"/>
            </w:tcBorders>
          </w:tcPr>
          <w:p>
            <w:pPr>
              <w:spacing w:after="0"/>
              <w:rPr>
                <w:sz w:val="22"/>
                <w:szCs w:val="22"/>
                <w:color w:val="auto"/>
              </w:rPr>
            </w:pPr>
          </w:p>
        </w:tc>
        <w:tc>
          <w:tcPr>
            <w:tcW w:w="300" w:type="dxa"/>
            <w:vAlign w:val="bottom"/>
            <w:tcBorders>
              <w:bottom w:val="single" w:sz="8" w:color="auto"/>
            </w:tcBorders>
          </w:tcPr>
          <w:p>
            <w:pPr>
              <w:spacing w:after="0"/>
              <w:rPr>
                <w:sz w:val="22"/>
                <w:szCs w:val="22"/>
                <w:color w:val="auto"/>
              </w:rPr>
            </w:pPr>
          </w:p>
        </w:tc>
        <w:tc>
          <w:tcPr>
            <w:tcW w:w="880" w:type="dxa"/>
            <w:vAlign w:val="bottom"/>
            <w:tcBorders>
              <w:bottom w:val="single" w:sz="8" w:color="auto"/>
            </w:tcBorders>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5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1"/>
        </w:trPr>
        <w:tc>
          <w:tcPr>
            <w:tcW w:w="15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w:t>
            </w:r>
          </w:p>
        </w:tc>
        <w:tc>
          <w:tcPr>
            <w:tcW w:w="2220" w:type="dxa"/>
            <w:vAlign w:val="bottom"/>
            <w:gridSpan w:val="4"/>
          </w:tcPr>
          <w:p>
            <w:pPr>
              <w:ind w:left="80"/>
              <w:spacing w:after="0" w:line="241" w:lineRule="exact"/>
              <w:rPr>
                <w:sz w:val="20"/>
                <w:szCs w:val="20"/>
                <w:color w:val="auto"/>
              </w:rPr>
            </w:pPr>
            <w:r>
              <w:rPr>
                <w:rFonts w:ascii="Times New Roman" w:cs="Times New Roman" w:eastAsia="Times New Roman" w:hAnsi="Times New Roman"/>
                <w:sz w:val="22"/>
                <w:szCs w:val="22"/>
                <w:color w:val="auto"/>
              </w:rPr>
              <w:t>A  license  is  required</w:t>
            </w:r>
          </w:p>
        </w:tc>
        <w:tc>
          <w:tcPr>
            <w:tcW w:w="500" w:type="dxa"/>
            <w:vAlign w:val="bottom"/>
            <w:tcBorders>
              <w:right w:val="single" w:sz="8" w:color="auto"/>
            </w:tcBorders>
          </w:tcPr>
          <w:p>
            <w:pPr>
              <w:jc w:val="right"/>
              <w:ind w:right="30"/>
              <w:spacing w:after="0" w:line="241" w:lineRule="exact"/>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6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items</w:t>
            </w:r>
          </w:p>
        </w:tc>
        <w:tc>
          <w:tcPr>
            <w:tcW w:w="1180" w:type="dxa"/>
            <w:vAlign w:val="bottom"/>
            <w:gridSpan w:val="2"/>
          </w:tcPr>
          <w:p>
            <w:pPr>
              <w:ind w:left="160"/>
              <w:spacing w:after="0"/>
              <w:rPr>
                <w:sz w:val="20"/>
                <w:szCs w:val="20"/>
                <w:color w:val="auto"/>
              </w:rPr>
            </w:pPr>
            <w:r>
              <w:rPr>
                <w:rFonts w:ascii="Times New Roman" w:cs="Times New Roman" w:eastAsia="Times New Roman" w:hAnsi="Times New Roman"/>
                <w:sz w:val="22"/>
                <w:szCs w:val="22"/>
                <w:color w:val="auto"/>
              </w:rPr>
              <w:t>controlled</w:t>
            </w:r>
          </w:p>
        </w:tc>
        <w:tc>
          <w:tcPr>
            <w:tcW w:w="44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by</w:t>
            </w:r>
          </w:p>
        </w:tc>
        <w:tc>
          <w:tcPr>
            <w:tcW w:w="50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this</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entry for export or reexport</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to  Iraq  or  transfer  within</w:t>
            </w:r>
          </w:p>
        </w:tc>
        <w:tc>
          <w:tcPr>
            <w:tcW w:w="0" w:type="dxa"/>
            <w:vAlign w:val="bottom"/>
          </w:tcPr>
          <w:p>
            <w:pPr>
              <w:spacing w:after="0"/>
              <w:rPr>
                <w:sz w:val="1"/>
                <w:szCs w:val="1"/>
                <w:color w:val="auto"/>
              </w:rPr>
            </w:pPr>
          </w:p>
        </w:tc>
      </w:tr>
      <w:tr>
        <w:trPr>
          <w:trHeight w:val="252"/>
        </w:trPr>
        <w:tc>
          <w:tcPr>
            <w:tcW w:w="1520" w:type="dxa"/>
            <w:vAlign w:val="bottom"/>
            <w:tcBorders>
              <w:left w:val="single" w:sz="8" w:color="auto"/>
              <w:right w:val="single" w:sz="8" w:color="auto"/>
            </w:tcBorders>
          </w:tcPr>
          <w:p>
            <w:pPr>
              <w:spacing w:after="0"/>
              <w:rPr>
                <w:sz w:val="21"/>
                <w:szCs w:val="21"/>
                <w:color w:val="auto"/>
              </w:rPr>
            </w:pPr>
          </w:p>
        </w:tc>
        <w:tc>
          <w:tcPr>
            <w:tcW w:w="6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Iraq</w:t>
            </w:r>
          </w:p>
        </w:tc>
        <w:tc>
          <w:tcPr>
            <w:tcW w:w="300" w:type="dxa"/>
            <w:vAlign w:val="bottom"/>
          </w:tcPr>
          <w:p>
            <w:pPr>
              <w:spacing w:after="0"/>
              <w:rPr>
                <w:sz w:val="20"/>
                <w:szCs w:val="20"/>
                <w:color w:val="auto"/>
              </w:rPr>
            </w:pPr>
            <w:r>
              <w:rPr>
                <w:rFonts w:ascii="Times New Roman" w:cs="Times New Roman" w:eastAsia="Times New Roman" w:hAnsi="Times New Roman"/>
                <w:sz w:val="22"/>
                <w:szCs w:val="22"/>
                <w:color w:val="auto"/>
              </w:rPr>
              <w:t>for</w:t>
            </w:r>
          </w:p>
        </w:tc>
        <w:tc>
          <w:tcPr>
            <w:tcW w:w="8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regional</w:t>
            </w:r>
          </w:p>
        </w:tc>
        <w:tc>
          <w:tcPr>
            <w:tcW w:w="940" w:type="dxa"/>
            <w:vAlign w:val="bottom"/>
            <w:tcBorders>
              <w:right w:val="single" w:sz="8" w:color="auto"/>
            </w:tcBorders>
            <w:gridSpan w:val="2"/>
          </w:tcPr>
          <w:p>
            <w:pPr>
              <w:jc w:val="right"/>
              <w:ind w:right="30"/>
              <w:spacing w:after="0"/>
              <w:rPr>
                <w:sz w:val="20"/>
                <w:szCs w:val="20"/>
                <w:color w:val="auto"/>
              </w:rPr>
            </w:pPr>
            <w:r>
              <w:rPr>
                <w:rFonts w:ascii="Times New Roman" w:cs="Times New Roman" w:eastAsia="Times New Roman" w:hAnsi="Times New Roman"/>
                <w:sz w:val="22"/>
                <w:szCs w:val="22"/>
                <w:color w:val="auto"/>
              </w:rPr>
              <w:t>stability</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90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reasons.</w:t>
            </w:r>
          </w:p>
        </w:tc>
        <w:tc>
          <w:tcPr>
            <w:tcW w:w="1820" w:type="dxa"/>
            <w:vAlign w:val="bottom"/>
            <w:tcBorders>
              <w:right w:val="single" w:sz="8" w:color="auto"/>
            </w:tcBorders>
            <w:gridSpan w:val="3"/>
          </w:tcPr>
          <w:p>
            <w:pPr>
              <w:jc w:val="right"/>
              <w:ind w:right="30"/>
              <w:spacing w:after="0"/>
              <w:rPr>
                <w:sz w:val="20"/>
                <w:szCs w:val="20"/>
                <w:color w:val="auto"/>
              </w:rPr>
            </w:pPr>
            <w:r>
              <w:rPr>
                <w:rFonts w:ascii="Times New Roman" w:cs="Times New Roman" w:eastAsia="Times New Roman" w:hAnsi="Times New Roman"/>
                <w:sz w:val="22"/>
                <w:szCs w:val="22"/>
                <w:color w:val="auto"/>
              </w:rPr>
              <w:t>The  Commerce</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90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Country</w:t>
            </w:r>
          </w:p>
        </w:tc>
        <w:tc>
          <w:tcPr>
            <w:tcW w:w="880" w:type="dxa"/>
            <w:vAlign w:val="bottom"/>
          </w:tcPr>
          <w:p>
            <w:pPr>
              <w:jc w:val="center"/>
              <w:spacing w:after="0"/>
              <w:rPr>
                <w:sz w:val="20"/>
                <w:szCs w:val="20"/>
                <w:color w:val="auto"/>
              </w:rPr>
            </w:pPr>
            <w:r>
              <w:rPr>
                <w:rFonts w:ascii="Times New Roman" w:cs="Times New Roman" w:eastAsia="Times New Roman" w:hAnsi="Times New Roman"/>
                <w:sz w:val="22"/>
                <w:szCs w:val="22"/>
                <w:color w:val="auto"/>
                <w:w w:val="98"/>
              </w:rPr>
              <w:t>Chart</w:t>
            </w:r>
          </w:p>
        </w:tc>
        <w:tc>
          <w:tcPr>
            <w:tcW w:w="4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is</w:t>
            </w:r>
          </w:p>
        </w:tc>
        <w:tc>
          <w:tcPr>
            <w:tcW w:w="50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not</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90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designed</w:t>
            </w:r>
          </w:p>
        </w:tc>
        <w:tc>
          <w:tcPr>
            <w:tcW w:w="132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rPr>
              <w:t>to  determine</w:t>
            </w:r>
          </w:p>
        </w:tc>
        <w:tc>
          <w:tcPr>
            <w:tcW w:w="50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RS</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license requirements for this</w:t>
            </w:r>
          </w:p>
        </w:tc>
        <w:tc>
          <w:tcPr>
            <w:tcW w:w="0" w:type="dxa"/>
            <w:vAlign w:val="bottom"/>
          </w:tcPr>
          <w:p>
            <w:pPr>
              <w:spacing w:after="0"/>
              <w:rPr>
                <w:sz w:val="1"/>
                <w:szCs w:val="1"/>
                <w:color w:val="auto"/>
              </w:rPr>
            </w:pPr>
          </w:p>
        </w:tc>
      </w:tr>
      <w:tr>
        <w:trPr>
          <w:trHeight w:val="252"/>
        </w:trPr>
        <w:tc>
          <w:tcPr>
            <w:tcW w:w="1520" w:type="dxa"/>
            <w:vAlign w:val="bottom"/>
            <w:tcBorders>
              <w:left w:val="single" w:sz="8" w:color="auto"/>
              <w:right w:val="single" w:sz="8" w:color="auto"/>
            </w:tcBorders>
          </w:tcPr>
          <w:p>
            <w:pPr>
              <w:spacing w:after="0"/>
              <w:rPr>
                <w:sz w:val="21"/>
                <w:szCs w:val="21"/>
                <w:color w:val="auto"/>
              </w:rPr>
            </w:pPr>
          </w:p>
        </w:tc>
        <w:tc>
          <w:tcPr>
            <w:tcW w:w="600" w:type="dxa"/>
            <w:vAlign w:val="bottom"/>
          </w:tcPr>
          <w:p>
            <w:pPr>
              <w:ind w:left="80"/>
              <w:spacing w:after="0"/>
              <w:rPr>
                <w:sz w:val="20"/>
                <w:szCs w:val="20"/>
                <w:color w:val="auto"/>
              </w:rPr>
            </w:pPr>
            <w:r>
              <w:rPr>
                <w:rFonts w:ascii="Times New Roman" w:cs="Times New Roman" w:eastAsia="Times New Roman" w:hAnsi="Times New Roman"/>
                <w:sz w:val="22"/>
                <w:szCs w:val="22"/>
                <w:color w:val="auto"/>
                <w:w w:val="98"/>
              </w:rPr>
              <w:t>entry.</w:t>
            </w:r>
          </w:p>
        </w:tc>
        <w:tc>
          <w:tcPr>
            <w:tcW w:w="300" w:type="dxa"/>
            <w:vAlign w:val="bottom"/>
          </w:tcPr>
          <w:p>
            <w:pPr>
              <w:spacing w:after="0"/>
              <w:rPr>
                <w:sz w:val="21"/>
                <w:szCs w:val="21"/>
                <w:color w:val="auto"/>
              </w:rPr>
            </w:pPr>
          </w:p>
        </w:tc>
        <w:tc>
          <w:tcPr>
            <w:tcW w:w="1320" w:type="dxa"/>
            <w:vAlign w:val="bottom"/>
            <w:gridSpan w:val="2"/>
          </w:tcPr>
          <w:p>
            <w:pPr>
              <w:ind w:left="20"/>
              <w:spacing w:after="0"/>
              <w:rPr>
                <w:sz w:val="20"/>
                <w:szCs w:val="20"/>
                <w:color w:val="auto"/>
              </w:rPr>
            </w:pPr>
            <w:r>
              <w:rPr>
                <w:rFonts w:ascii="Times New Roman" w:cs="Times New Roman" w:eastAsia="Times New Roman" w:hAnsi="Times New Roman"/>
                <w:sz w:val="22"/>
                <w:szCs w:val="22"/>
                <w:color w:val="auto"/>
              </w:rPr>
              <w:t>See  §§742.6</w:t>
            </w:r>
          </w:p>
        </w:tc>
        <w:tc>
          <w:tcPr>
            <w:tcW w:w="50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and</w:t>
            </w:r>
          </w:p>
        </w:tc>
        <w:tc>
          <w:tcPr>
            <w:tcW w:w="0" w:type="dxa"/>
            <w:vAlign w:val="bottom"/>
          </w:tcPr>
          <w:p>
            <w:pPr>
              <w:spacing w:after="0"/>
              <w:rPr>
                <w:sz w:val="1"/>
                <w:szCs w:val="1"/>
                <w:color w:val="auto"/>
              </w:rPr>
            </w:pPr>
          </w:p>
        </w:tc>
      </w:tr>
      <w:tr>
        <w:trPr>
          <w:trHeight w:val="253"/>
        </w:trPr>
        <w:tc>
          <w:tcPr>
            <w:tcW w:w="1520" w:type="dxa"/>
            <w:vAlign w:val="bottom"/>
            <w:tcBorders>
              <w:left w:val="single" w:sz="8" w:color="auto"/>
              <w:right w:val="single" w:sz="8" w:color="auto"/>
            </w:tcBorders>
          </w:tcPr>
          <w:p>
            <w:pPr>
              <w:spacing w:after="0"/>
              <w:rPr>
                <w:sz w:val="22"/>
                <w:szCs w:val="22"/>
                <w:color w:val="auto"/>
              </w:rPr>
            </w:pPr>
          </w:p>
        </w:tc>
        <w:tc>
          <w:tcPr>
            <w:tcW w:w="2720" w:type="dxa"/>
            <w:vAlign w:val="bottom"/>
            <w:tcBorders>
              <w:right w:val="single" w:sz="8" w:color="auto"/>
            </w:tcBorders>
            <w:gridSpan w:val="5"/>
          </w:tcPr>
          <w:p>
            <w:pPr>
              <w:ind w:left="80"/>
              <w:spacing w:after="0"/>
              <w:rPr>
                <w:sz w:val="20"/>
                <w:szCs w:val="20"/>
                <w:color w:val="auto"/>
              </w:rPr>
            </w:pPr>
            <w:r>
              <w:rPr>
                <w:rFonts w:ascii="Times New Roman" w:cs="Times New Roman" w:eastAsia="Times New Roman" w:hAnsi="Times New Roman"/>
                <w:sz w:val="22"/>
                <w:szCs w:val="22"/>
                <w:color w:val="auto"/>
              </w:rPr>
              <w:t>746.3   of   the   EAR   for</w:t>
            </w:r>
          </w:p>
        </w:tc>
        <w:tc>
          <w:tcPr>
            <w:tcW w:w="0" w:type="dxa"/>
            <w:vAlign w:val="bottom"/>
          </w:tcPr>
          <w:p>
            <w:pPr>
              <w:spacing w:after="0"/>
              <w:rPr>
                <w:sz w:val="1"/>
                <w:szCs w:val="1"/>
                <w:color w:val="auto"/>
              </w:rPr>
            </w:pPr>
          </w:p>
        </w:tc>
      </w:tr>
      <w:tr>
        <w:trPr>
          <w:trHeight w:val="255"/>
        </w:trPr>
        <w:tc>
          <w:tcPr>
            <w:tcW w:w="1520" w:type="dxa"/>
            <w:vAlign w:val="bottom"/>
            <w:tcBorders>
              <w:left w:val="single" w:sz="8" w:color="auto"/>
              <w:bottom w:val="single" w:sz="8" w:color="auto"/>
              <w:right w:val="single" w:sz="8" w:color="auto"/>
            </w:tcBorders>
          </w:tcPr>
          <w:p>
            <w:pPr>
              <w:spacing w:after="0"/>
              <w:rPr>
                <w:sz w:val="22"/>
                <w:szCs w:val="22"/>
                <w:color w:val="auto"/>
              </w:rPr>
            </w:pPr>
          </w:p>
        </w:tc>
        <w:tc>
          <w:tcPr>
            <w:tcW w:w="2220" w:type="dxa"/>
            <w:vAlign w:val="bottom"/>
            <w:tcBorders>
              <w:bottom w:val="single" w:sz="8" w:color="auto"/>
            </w:tcBorders>
            <w:gridSpan w:val="4"/>
          </w:tcPr>
          <w:p>
            <w:pPr>
              <w:ind w:left="80"/>
              <w:spacing w:after="0"/>
              <w:rPr>
                <w:sz w:val="20"/>
                <w:szCs w:val="20"/>
                <w:color w:val="auto"/>
              </w:rPr>
            </w:pPr>
            <w:r>
              <w:rPr>
                <w:rFonts w:ascii="Times New Roman" w:cs="Times New Roman" w:eastAsia="Times New Roman" w:hAnsi="Times New Roman"/>
                <w:sz w:val="22"/>
                <w:szCs w:val="22"/>
                <w:color w:val="auto"/>
              </w:rPr>
              <w:t>additional information.</w:t>
            </w:r>
          </w:p>
        </w:tc>
        <w:tc>
          <w:tcPr>
            <w:tcW w:w="5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30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 Notes:</w:t>
      </w:r>
    </w:p>
    <w:p>
      <w:pPr>
        <w:spacing w:after="0" w:line="265" w:lineRule="exact"/>
        <w:rPr>
          <w:sz w:val="20"/>
          <w:szCs w:val="20"/>
          <w:color w:val="auto"/>
        </w:rPr>
      </w:pPr>
    </w:p>
    <w:p>
      <w:pPr>
        <w:jc w:val="both"/>
        <w:ind w:firstLine="307"/>
        <w:spacing w:after="0" w:line="238" w:lineRule="auto"/>
        <w:tabs>
          <w:tab w:leader="none" w:pos="608" w:val="left"/>
        </w:tabs>
        <w:numPr>
          <w:ilvl w:val="0"/>
          <w:numId w:val="17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ECCN does not control mixtures containing less than 0.5% of any single toxic or precursor chemical controlled by ECCN 1C350.b, .c, or .d or ECCN 1C355 as unavoidable by-products or impurities. Such mixtures are classified as EAR99.</w:t>
      </w:r>
    </w:p>
    <w:p>
      <w:pPr>
        <w:spacing w:after="0" w:line="265" w:lineRule="exact"/>
        <w:rPr>
          <w:rFonts w:ascii="Times New Roman" w:cs="Times New Roman" w:eastAsia="Times New Roman" w:hAnsi="Times New Roman"/>
          <w:sz w:val="22"/>
          <w:szCs w:val="22"/>
          <w:i w:val="1"/>
          <w:iCs w:val="1"/>
          <w:color w:val="auto"/>
        </w:rPr>
      </w:pPr>
    </w:p>
    <w:p>
      <w:pPr>
        <w:jc w:val="both"/>
        <w:ind w:firstLine="307"/>
        <w:spacing w:after="0" w:line="238" w:lineRule="auto"/>
        <w:tabs>
          <w:tab w:leader="none" w:pos="586" w:val="left"/>
        </w:tabs>
        <w:numPr>
          <w:ilvl w:val="0"/>
          <w:numId w:val="17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1C995.c does not control mixtures that contain precursor chemicals identified in 1C350.d in concentrations below the levels for mixtures indicated in 1C350.d. 1C995.a.2.b controls such mixtures, unless they are consumer goods as described in License Requirements Note 3 of this ECCN.</w:t>
      </w:r>
    </w:p>
    <w:p>
      <w:pPr>
        <w:spacing w:after="0" w:line="268" w:lineRule="exact"/>
        <w:rPr>
          <w:rFonts w:ascii="Times New Roman" w:cs="Times New Roman" w:eastAsia="Times New Roman" w:hAnsi="Times New Roman"/>
          <w:sz w:val="22"/>
          <w:szCs w:val="22"/>
          <w:i w:val="1"/>
          <w:iCs w:val="1"/>
          <w:color w:val="auto"/>
        </w:rPr>
      </w:pPr>
    </w:p>
    <w:p>
      <w:pPr>
        <w:jc w:val="both"/>
        <w:ind w:firstLine="307"/>
        <w:spacing w:after="0" w:line="250" w:lineRule="auto"/>
        <w:tabs>
          <w:tab w:leader="none" w:pos="522" w:val="left"/>
        </w:tabs>
        <w:numPr>
          <w:ilvl w:val="0"/>
          <w:numId w:val="170"/>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This ECCN does not control mixtures when the controlled chemicals are normal ingredients in consumer goods packaged for retail sale for</w:t>
      </w:r>
    </w:p>
    <w:p>
      <w:pPr>
        <w:spacing w:after="0" w:line="3" w:lineRule="exact"/>
        <w:rPr>
          <w:rFonts w:ascii="Times New Roman" w:cs="Times New Roman" w:eastAsia="Times New Roman" w:hAnsi="Times New Roman"/>
          <w:sz w:val="21"/>
          <w:szCs w:val="21"/>
          <w:i w:val="1"/>
          <w:iCs w:val="1"/>
          <w:color w:val="auto"/>
        </w:rPr>
      </w:pPr>
    </w:p>
    <w:p>
      <w:pPr>
        <w:spacing w:after="0" w:line="234"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personal use. Such consumer goods are classified as EAR99.</w:t>
      </w:r>
    </w:p>
    <w:p>
      <w:pPr>
        <w:spacing w:after="0" w:line="676"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0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4" w:name="page85"/>
    <w:bookmarkEnd w:id="8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85</w: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720"/>
        <w:spacing w:after="0"/>
        <w:tabs>
          <w:tab w:leader="none" w:pos="14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mixtures containing 30 percent or higher concentrations of any single CWC Schedule 2 chemical identified in ECCN </w:t>
      </w: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auto"/>
        </w:rPr>
        <w:t xml:space="preserve">. ECCN </w:t>
      </w:r>
      <w:r>
        <w:rPr>
          <w:rFonts w:ascii="Times New Roman" w:cs="Times New Roman" w:eastAsia="Times New Roman" w:hAnsi="Times New Roman"/>
          <w:sz w:val="22"/>
          <w:szCs w:val="22"/>
          <w:u w:val="single" w:color="auto"/>
          <w:color w:val="0000FF"/>
        </w:rPr>
        <w:t>1C395</w:t>
      </w:r>
      <w:r>
        <w:rPr>
          <w:rFonts w:ascii="Times New Roman" w:cs="Times New Roman" w:eastAsia="Times New Roman" w:hAnsi="Times New Roman"/>
          <w:sz w:val="22"/>
          <w:szCs w:val="22"/>
          <w:color w:val="auto"/>
        </w:rPr>
        <w:t xml:space="preserve"> controls mixtures containing concentrations of more than 10 percent, but less than 30 percent, of any single CWC Schedule 2 chemical identified in ECCN</w:t>
      </w:r>
    </w:p>
    <w:p>
      <w:pPr>
        <w:spacing w:after="0" w:line="16"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000000"/>
        </w:rPr>
        <w:t>. 2. ECCN</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mixtures containing chemicals identified in ECCN </w:t>
      </w:r>
      <w:r>
        <w:rPr>
          <w:rFonts w:ascii="Times New Roman" w:cs="Times New Roman" w:eastAsia="Times New Roman" w:hAnsi="Times New Roman"/>
          <w:sz w:val="22"/>
          <w:szCs w:val="22"/>
          <w:u w:val="single" w:color="auto"/>
          <w:color w:val="0000FF"/>
        </w:rPr>
        <w:t>1C350.c</w:t>
      </w:r>
      <w:r>
        <w:rPr>
          <w:rFonts w:ascii="Times New Roman" w:cs="Times New Roman" w:eastAsia="Times New Roman" w:hAnsi="Times New Roman"/>
          <w:sz w:val="22"/>
          <w:szCs w:val="22"/>
          <w:color w:val="000000"/>
        </w:rPr>
        <w:t xml:space="preserve"> or </w:t>
      </w:r>
      <w:r>
        <w:rPr>
          <w:rFonts w:ascii="Times New Roman" w:cs="Times New Roman" w:eastAsia="Times New Roman" w:hAnsi="Times New Roman"/>
          <w:sz w:val="22"/>
          <w:szCs w:val="22"/>
          <w:u w:val="single" w:color="auto"/>
          <w:color w:val="0000FF"/>
        </w:rPr>
        <w:t>.d</w:t>
      </w:r>
      <w:r>
        <w:rPr>
          <w:rFonts w:ascii="Times New Roman" w:cs="Times New Roman" w:eastAsia="Times New Roman" w:hAnsi="Times New Roman"/>
          <w:sz w:val="22"/>
          <w:szCs w:val="22"/>
          <w:color w:val="000000"/>
        </w:rPr>
        <w:t xml:space="preserve"> that exceed the concentration levels indicated in </w:t>
      </w:r>
      <w:r>
        <w:rPr>
          <w:rFonts w:ascii="Times New Roman" w:cs="Times New Roman" w:eastAsia="Times New Roman" w:hAnsi="Times New Roman"/>
          <w:sz w:val="22"/>
          <w:szCs w:val="22"/>
          <w:u w:val="single" w:color="auto"/>
          <w:color w:val="0000FF"/>
        </w:rPr>
        <w:t>1C995.a.2</w:t>
      </w:r>
      <w:r>
        <w:rPr>
          <w:rFonts w:ascii="Times New Roman" w:cs="Times New Roman" w:eastAsia="Times New Roman" w:hAnsi="Times New Roman"/>
          <w:sz w:val="22"/>
          <w:szCs w:val="22"/>
          <w:color w:val="000000"/>
        </w:rPr>
        <w:t>.</w:t>
      </w:r>
    </w:p>
    <w:p>
      <w:pPr>
        <w:spacing w:after="0" w:line="12" w:lineRule="exact"/>
        <w:rPr>
          <w:sz w:val="20"/>
          <w:szCs w:val="20"/>
          <w:color w:val="auto"/>
        </w:rPr>
      </w:pPr>
    </w:p>
    <w:p>
      <w:pPr>
        <w:jc w:val="both"/>
        <w:ind w:left="360"/>
        <w:spacing w:after="0" w:line="251" w:lineRule="auto"/>
        <w:tabs>
          <w:tab w:leader="none" w:pos="569" w:val="left"/>
        </w:tabs>
        <w:numPr>
          <w:ilvl w:val="0"/>
          <w:numId w:val="171"/>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 xml:space="preserve">ECCN </w:t>
      </w:r>
      <w:r>
        <w:rPr>
          <w:rFonts w:ascii="Times New Roman" w:cs="Times New Roman" w:eastAsia="Times New Roman" w:hAnsi="Times New Roman"/>
          <w:sz w:val="21"/>
          <w:szCs w:val="21"/>
          <w:u w:val="single" w:color="auto"/>
          <w:color w:val="0000FF"/>
        </w:rPr>
        <w:t>1C355</w:t>
      </w:r>
      <w:r>
        <w:rPr>
          <w:rFonts w:ascii="Times New Roman" w:cs="Times New Roman" w:eastAsia="Times New Roman" w:hAnsi="Times New Roman"/>
          <w:sz w:val="21"/>
          <w:szCs w:val="21"/>
          <w:color w:val="auto"/>
        </w:rPr>
        <w:t xml:space="preserve"> controls mixtures containing chemicals identified in ECCN </w:t>
      </w:r>
      <w:r>
        <w:rPr>
          <w:rFonts w:ascii="Times New Roman" w:cs="Times New Roman" w:eastAsia="Times New Roman" w:hAnsi="Times New Roman"/>
          <w:sz w:val="21"/>
          <w:szCs w:val="21"/>
          <w:u w:val="single" w:color="auto"/>
          <w:color w:val="0000FF"/>
        </w:rPr>
        <w:t>1C355</w:t>
      </w:r>
      <w:r>
        <w:rPr>
          <w:rFonts w:ascii="Times New Roman" w:cs="Times New Roman" w:eastAsia="Times New Roman" w:hAnsi="Times New Roman"/>
          <w:sz w:val="21"/>
          <w:szCs w:val="21"/>
          <w:color w:val="auto"/>
        </w:rPr>
        <w:t xml:space="preserve"> that exceed the concentration levels indicated in</w:t>
      </w:r>
    </w:p>
    <w:p>
      <w:pPr>
        <w:ind w:left="360"/>
        <w:spacing w:after="0"/>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u w:val="single" w:color="auto"/>
          <w:color w:val="0000FF"/>
        </w:rPr>
        <w:t>1C995.b</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auto"/>
        </w:rPr>
        <w:t xml:space="preserve">4.   ECCN   </w:t>
      </w:r>
      <w:r>
        <w:rPr>
          <w:rFonts w:ascii="Times New Roman" w:cs="Times New Roman" w:eastAsia="Times New Roman" w:hAnsi="Times New Roman"/>
          <w:sz w:val="22"/>
          <w:szCs w:val="22"/>
          <w:u w:val="single" w:color="auto"/>
          <w:color w:val="0000FF"/>
        </w:rPr>
        <w:t>1C395</w:t>
      </w:r>
      <w:r>
        <w:rPr>
          <w:rFonts w:ascii="Times New Roman" w:cs="Times New Roman" w:eastAsia="Times New Roman" w:hAnsi="Times New Roman"/>
          <w:sz w:val="22"/>
          <w:szCs w:val="22"/>
          <w:color w:val="auto"/>
        </w:rPr>
        <w:t xml:space="preserve">   controls</w:t>
      </w:r>
    </w:p>
    <w:p>
      <w:pPr>
        <w:spacing w:after="0" w:line="13" w:lineRule="exact"/>
        <w:rPr>
          <w:rFonts w:ascii="Times New Roman" w:cs="Times New Roman" w:eastAsia="Times New Roman" w:hAnsi="Times New Roman"/>
          <w:sz w:val="21"/>
          <w:szCs w:val="21"/>
          <w:color w:val="auto"/>
        </w:rPr>
      </w:pPr>
    </w:p>
    <w:p>
      <w:pPr>
        <w:jc w:val="both"/>
        <w:ind w:left="360"/>
        <w:spacing w:after="0" w:line="233"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“medical, analytical, diagnostic, and food testing kits” (as defined in the Related</w:t>
      </w:r>
    </w:p>
    <w:p>
      <w:pPr>
        <w:spacing w:after="0" w:line="14" w:lineRule="exact"/>
        <w:rPr>
          <w:rFonts w:ascii="Times New Roman" w:cs="Times New Roman" w:eastAsia="Times New Roman" w:hAnsi="Times New Roman"/>
          <w:sz w:val="21"/>
          <w:szCs w:val="21"/>
          <w:color w:val="auto"/>
        </w:rPr>
      </w:pPr>
    </w:p>
    <w:p>
      <w:pPr>
        <w:jc w:val="both"/>
        <w:ind w:left="360"/>
        <w:spacing w:after="0" w:line="238"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 xml:space="preserve">Controls paragraph of this ECCN) that contain CWC Schedule 2 or 3 chemicals listed in </w:t>
      </w: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auto"/>
        </w:rPr>
        <w:t xml:space="preserve"> or </w:t>
      </w:r>
      <w:r>
        <w:rPr>
          <w:rFonts w:ascii="Times New Roman" w:cs="Times New Roman" w:eastAsia="Times New Roman" w:hAnsi="Times New Roman"/>
          <w:sz w:val="22"/>
          <w:szCs w:val="22"/>
          <w:color w:val="0000FF"/>
        </w:rPr>
        <w:t>.c.</w:t>
      </w:r>
      <w:r>
        <w:rPr>
          <w:rFonts w:ascii="Times New Roman" w:cs="Times New Roman" w:eastAsia="Times New Roman" w:hAnsi="Times New Roman"/>
          <w:sz w:val="22"/>
          <w:szCs w:val="22"/>
          <w:color w:val="auto"/>
        </w:rPr>
        <w:t xml:space="preserve"> ECCN </w:t>
      </w:r>
      <w:r>
        <w:rPr>
          <w:rFonts w:ascii="Times New Roman" w:cs="Times New Roman" w:eastAsia="Times New Roman" w:hAnsi="Times New Roman"/>
          <w:sz w:val="22"/>
          <w:szCs w:val="22"/>
          <w:u w:val="single" w:color="auto"/>
          <w:color w:val="0000FF"/>
        </w:rPr>
        <w:t>1C350</w:t>
      </w:r>
      <w:r>
        <w:rPr>
          <w:rFonts w:ascii="Times New Roman" w:cs="Times New Roman" w:eastAsia="Times New Roman" w:hAnsi="Times New Roman"/>
          <w:sz w:val="22"/>
          <w:szCs w:val="22"/>
          <w:color w:val="auto"/>
        </w:rPr>
        <w:t xml:space="preserve"> controls any such testing kits in which the amount of any single chemical listed in </w:t>
      </w:r>
      <w:r>
        <w:rPr>
          <w:rFonts w:ascii="Times New Roman" w:cs="Times New Roman" w:eastAsia="Times New Roman" w:hAnsi="Times New Roman"/>
          <w:sz w:val="22"/>
          <w:szCs w:val="22"/>
          <w:u w:val="single" w:color="auto"/>
          <w:color w:val="0000FF"/>
        </w:rPr>
        <w:t>1C350.b</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.c.</w:t>
      </w:r>
      <w:r>
        <w:rPr>
          <w:rFonts w:ascii="Times New Roman" w:cs="Times New Roman" w:eastAsia="Times New Roman" w:hAnsi="Times New Roman"/>
          <w:sz w:val="22"/>
          <w:szCs w:val="22"/>
          <w:color w:val="000000"/>
        </w:rPr>
        <w:t>, or</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exceeds 300 grams by</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weight.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1501775</wp:posOffset>
                </wp:positionH>
                <wp:positionV relativeFrom="paragraph">
                  <wp:posOffset>-650875</wp:posOffset>
                </wp:positionV>
                <wp:extent cx="220980" cy="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0980" cy="4763"/>
                        </a:xfrm>
                        <a:prstGeom prst="line">
                          <a:avLst/>
                        </a:prstGeom>
                        <a:solidFill>
                          <a:srgbClr val="FFFFFF"/>
                        </a:solidFill>
                        <a:ln w="6858">
                          <a:solidFill>
                            <a:srgbClr val="0000FF"/>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25pt,-51.2499pt" to="135.65pt,-51.2499pt" o:allowincell="f" strokecolor="#0000FF" strokeweight="0.54pt"/>
            </w:pict>
          </mc:Fallback>
        </mc:AlternateContent>
      </w:r>
    </w:p>
    <w:p>
      <w:pPr>
        <w:spacing w:after="0" w:line="248"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 of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“medical, analytical, diagnostic, and food testing kits” are pre-packaged materials of defined composition that are specifically developed, packaged and marketed for medical, analytical, diagnostic, or public health purposes. Replacement reagents for medical, analytical, diagnostic, and food testing kits described in 1C995.c are controlled by ECCN 1C350 if the reagents contain at least one of the precursor chemicals identified in that ECCN in concentrations equal to or greater than the control levels for mixtures indicated in 1C350.d.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a. Mixtures containing the following concentrations of precursor chemicals controlled by ECCN 1C350 (For controls on other mixtures containing these chemicals, see Notes 1 and 2 in the Related Controls paragraph of this ECCN.):</w:t>
      </w:r>
    </w:p>
    <w:p>
      <w:pPr>
        <w:spacing w:after="0" w:line="269" w:lineRule="exact"/>
        <w:rPr>
          <w:sz w:val="20"/>
          <w:szCs w:val="20"/>
          <w:color w:val="auto"/>
        </w:rPr>
      </w:pPr>
    </w:p>
    <w:p>
      <w:pPr>
        <w:jc w:val="both"/>
        <w:ind w:firstLine="306"/>
        <w:spacing w:after="0" w:line="235" w:lineRule="auto"/>
        <w:rPr>
          <w:sz w:val="20"/>
          <w:szCs w:val="20"/>
          <w:color w:val="auto"/>
        </w:rPr>
      </w:pPr>
      <w:r>
        <w:rPr>
          <w:rFonts w:ascii="Times New Roman" w:cs="Times New Roman" w:eastAsia="Times New Roman" w:hAnsi="Times New Roman"/>
          <w:sz w:val="22"/>
          <w:szCs w:val="22"/>
          <w:color w:val="auto"/>
        </w:rPr>
        <w:t>a.1. Mixtures containing 10 percent or less, by weight, of any single CWC Schedule 2 chemical controlled by ECCN 1C350.b;</w:t>
      </w:r>
    </w:p>
    <w:p>
      <w:pPr>
        <w:spacing w:after="0" w:line="268" w:lineRule="exact"/>
        <w:rPr>
          <w:sz w:val="20"/>
          <w:szCs w:val="20"/>
          <w:color w:val="auto"/>
        </w:rPr>
      </w:pPr>
    </w:p>
    <w:p>
      <w:pPr>
        <w:ind w:right="1040" w:firstLine="306"/>
        <w:spacing w:after="0" w:line="234" w:lineRule="auto"/>
        <w:rPr>
          <w:sz w:val="20"/>
          <w:szCs w:val="20"/>
          <w:color w:val="auto"/>
        </w:rPr>
      </w:pPr>
      <w:r>
        <w:rPr>
          <w:rFonts w:ascii="Times New Roman" w:cs="Times New Roman" w:eastAsia="Times New Roman" w:hAnsi="Times New Roman"/>
          <w:sz w:val="22"/>
          <w:szCs w:val="22"/>
          <w:color w:val="auto"/>
        </w:rPr>
        <w:t>a.2. Mixtures containing less than 30 percent, by weight, of:</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a.2.a. Any single CWC Schedule 3 chemical controlled by ECCN 1C350.c; or</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a.2.b. Any single precursor chemical controlled by ECCN 1C350.d.</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b. Mixtures containing the following concentrations of toxic or precursor chemicals controlled by ECCN 1C355 (For controls on other mixtures containing these chemicals, see Note 3 in the Related Controls paragraph of this ECCN.):</w:t>
      </w:r>
    </w:p>
    <w:p>
      <w:pPr>
        <w:spacing w:after="0" w:line="266" w:lineRule="exact"/>
        <w:rPr>
          <w:sz w:val="20"/>
          <w:szCs w:val="20"/>
          <w:color w:val="auto"/>
        </w:rPr>
      </w:pPr>
    </w:p>
    <w:p>
      <w:pPr>
        <w:jc w:val="both"/>
        <w:ind w:firstLine="306"/>
        <w:spacing w:after="0" w:line="236" w:lineRule="auto"/>
        <w:rPr>
          <w:sz w:val="20"/>
          <w:szCs w:val="20"/>
          <w:color w:val="auto"/>
        </w:rPr>
      </w:pPr>
      <w:r>
        <w:rPr>
          <w:rFonts w:ascii="Times New Roman" w:cs="Times New Roman" w:eastAsia="Times New Roman" w:hAnsi="Times New Roman"/>
          <w:sz w:val="22"/>
          <w:szCs w:val="22"/>
          <w:color w:val="auto"/>
        </w:rPr>
        <w:t>b.1. Mixtures containing the following concentrations of CWC Schedule 2 chemicals controlled by ECCN 1C355.a:</w:t>
      </w:r>
    </w:p>
    <w:p>
      <w:pPr>
        <w:spacing w:after="0" w:line="265"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color w:val="auto"/>
        </w:rPr>
        <w:t>b.1.a. Mixtures containing 1 percent or less, by weight, of any single CWC Schedule 2 chemical controlled by ECCN 1C355.a.1 (i.e., mixtures containing PFIB); or</w:t>
      </w:r>
    </w:p>
    <w:p>
      <w:pPr>
        <w:spacing w:after="0" w:line="26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b.1.b. Mixtures containing 10 percent or less, by weight, of any single CWC Schedule 2 chemical controlled by 1C355.a.2;</w:t>
      </w:r>
    </w:p>
    <w:p>
      <w:pPr>
        <w:spacing w:after="0" w:line="254" w:lineRule="exact"/>
        <w:rPr>
          <w:sz w:val="20"/>
          <w:szCs w:val="20"/>
          <w:color w:val="auto"/>
        </w:rPr>
      </w:pPr>
    </w:p>
    <w:p>
      <w:pPr>
        <w:jc w:val="center"/>
        <w:ind w:right="720"/>
        <w:spacing w:after="0"/>
        <w:rPr>
          <w:sz w:val="20"/>
          <w:szCs w:val="20"/>
          <w:color w:val="auto"/>
        </w:rPr>
      </w:pPr>
      <w:r>
        <w:rPr>
          <w:rFonts w:ascii="Times New Roman" w:cs="Times New Roman" w:eastAsia="Times New Roman" w:hAnsi="Times New Roman"/>
          <w:sz w:val="22"/>
          <w:szCs w:val="22"/>
          <w:color w:val="auto"/>
        </w:rPr>
        <w:t>b.2. Mixtures containing less than</w:t>
      </w:r>
    </w:p>
    <w:p>
      <w:pPr>
        <w:spacing w:after="0" w:line="1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30 percent, by weight, of any single CWC Schedule 3 chemical controlled by ECCN 1C355.b.</w:t>
      </w:r>
    </w:p>
    <w:p>
      <w:pPr>
        <w:spacing w:after="0" w:line="267"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1"/>
          <w:szCs w:val="21"/>
          <w:color w:val="auto"/>
        </w:rPr>
        <w:t>c. “Medical, analytical, diagnostic, and food testing kits” (as defined in the Related Definitions for this ECCN) that contain precursor chemicals</w:t>
      </w:r>
    </w:p>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31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5" w:name="page86"/>
    <w:bookmarkEnd w:id="8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86</w:t>
      </w:r>
    </w:p>
    <w:p>
      <w:pPr>
        <w:sectPr>
          <w:pgSz w:w="12240" w:h="15840" w:orient="portrait"/>
          <w:cols w:equalWidth="0" w:num="1">
            <w:col w:w="9360"/>
          </w:cols>
          <w:pgMar w:left="1440" w:top="1293" w:right="1440" w:bottom="124" w:gutter="0" w:footer="0" w:header="0"/>
        </w:sectPr>
      </w:pPr>
    </w:p>
    <w:p>
      <w:pPr>
        <w:spacing w:after="0" w:line="27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controlled by ECCN 1C350.d in an amount </w:t>
      </w:r>
      <w:r>
        <w:rPr>
          <w:rFonts w:ascii="Times New Roman" w:cs="Times New Roman" w:eastAsia="Times New Roman" w:hAnsi="Times New Roman"/>
          <w:sz w:val="22"/>
          <w:szCs w:val="22"/>
          <w:i w:val="1"/>
          <w:iCs w:val="1"/>
          <w:color w:val="auto"/>
        </w:rPr>
        <w:t>not</w:t>
      </w:r>
    </w:p>
    <w:p>
      <w:pPr>
        <w:spacing w:after="0" w:line="1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exceeding 300 grams per chemical. (For controls on other such test kits containing these and other controlled chemicals, see Note 4 in the Related Controls paragraph of this ECCN.)</w:t>
      </w:r>
    </w:p>
    <w:p>
      <w:pPr>
        <w:spacing w:after="0" w:line="200" w:lineRule="exact"/>
        <w:rPr>
          <w:sz w:val="20"/>
          <w:szCs w:val="20"/>
          <w:color w:val="auto"/>
        </w:rPr>
      </w:pPr>
    </w:p>
    <w:p>
      <w:pPr>
        <w:spacing w:after="0" w:line="32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1C996 Hydraulic fluids containing synthetic hydrocarbon oils, not controlled by 1C006, having all the following characteristics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165735</wp:posOffset>
                </wp:positionV>
                <wp:extent cx="2743200" cy="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0" o:spid="_x0000_s1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3.05pt" to="216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653415</wp:posOffset>
                </wp:positionV>
                <wp:extent cx="2743200" cy="0"/>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1" o:spid="_x0000_s12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51.45pt" to="216pt,51.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162560</wp:posOffset>
                </wp:positionV>
                <wp:extent cx="0" cy="822325"/>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2.8pt" to="0.2pt,77.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1532890</wp:posOffset>
                </wp:positionH>
                <wp:positionV relativeFrom="paragraph">
                  <wp:posOffset>162560</wp:posOffset>
                </wp:positionV>
                <wp:extent cx="0" cy="822325"/>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3" o:spid="_x0000_s1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0.7pt,12.8pt" to="120.7pt,77.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2740025</wp:posOffset>
                </wp:positionH>
                <wp:positionV relativeFrom="paragraph">
                  <wp:posOffset>162560</wp:posOffset>
                </wp:positionV>
                <wp:extent cx="0" cy="822325"/>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232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5.75pt,12.8pt" to="215.75pt,77.55pt" o:allowincell="f" strokecolor="#000000" strokeweight="0.4799pt"/>
            </w:pict>
          </mc:Fallback>
        </mc:AlternateContent>
      </w:r>
    </w:p>
    <w:p>
      <w:pPr>
        <w:spacing w:after="0" w:line="244" w:lineRule="exact"/>
        <w:rPr>
          <w:sz w:val="20"/>
          <w:szCs w:val="20"/>
          <w:color w:val="auto"/>
        </w:rPr>
      </w:pPr>
    </w:p>
    <w:p>
      <w:pPr>
        <w:ind w:left="2720"/>
        <w:spacing w:after="0"/>
        <w:rPr>
          <w:sz w:val="20"/>
          <w:szCs w:val="20"/>
          <w:color w:val="auto"/>
        </w:rPr>
      </w:pPr>
      <w:r>
        <w:rPr>
          <w:rFonts w:ascii="Times New Roman" w:cs="Times New Roman" w:eastAsia="Times New Roman" w:hAnsi="Times New Roman"/>
          <w:sz w:val="22"/>
          <w:szCs w:val="22"/>
          <w:i w:val="1"/>
          <w:iCs w:val="1"/>
          <w:color w:val="auto"/>
        </w:rPr>
        <w:t>Country Chart</w:t>
      </w:r>
    </w:p>
    <w:p>
      <w:pPr>
        <w:ind w:left="760"/>
        <w:spacing w:after="0"/>
        <w:tabs>
          <w:tab w:leader="none" w:pos="26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ind w:left="284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20" w:lineRule="exact"/>
        <w:rPr>
          <w:sz w:val="20"/>
          <w:szCs w:val="20"/>
          <w:color w:val="auto"/>
        </w:rPr>
      </w:pPr>
    </w:p>
    <w:p>
      <w:pPr>
        <w:ind w:left="120" w:right="580"/>
        <w:spacing w:after="0"/>
        <w:rPr>
          <w:sz w:val="20"/>
          <w:szCs w:val="20"/>
          <w:color w:val="auto"/>
        </w:rPr>
      </w:pPr>
      <w:r>
        <w:rPr>
          <w:rFonts w:ascii="Times New Roman" w:cs="Times New Roman" w:eastAsia="Times New Roman" w:hAnsi="Times New Roman"/>
          <w:sz w:val="22"/>
          <w:szCs w:val="22"/>
          <w:color w:val="auto"/>
        </w:rPr>
        <w:t>AT applies to entire AT Column 1 entry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158115</wp:posOffset>
                </wp:positionV>
                <wp:extent cx="2743200" cy="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5" o:spid="_x0000_s12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2.45pt" to="216pt,12.45pt" o:allowincell="f" strokecolor="#000000" strokeweight="0.48pt"/>
            </w:pict>
          </mc:Fallback>
        </mc:AlternateContent>
      </w:r>
    </w:p>
    <w:p>
      <w:pPr>
        <w:spacing w:after="0" w:line="200" w:lineRule="exact"/>
        <w:rPr>
          <w:sz w:val="20"/>
          <w:szCs w:val="20"/>
          <w:color w:val="auto"/>
        </w:rPr>
      </w:pPr>
    </w:p>
    <w:p>
      <w:pPr>
        <w:spacing w:after="0" w:line="29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43" w:lineRule="exact"/>
        <w:rPr>
          <w:sz w:val="20"/>
          <w:szCs w:val="20"/>
          <w:color w:val="auto"/>
        </w:rPr>
      </w:pPr>
    </w:p>
    <w:p>
      <w:pPr>
        <w:ind w:left="320" w:hanging="320"/>
        <w:spacing w:after="0"/>
        <w:tabs>
          <w:tab w:leader="none" w:pos="320" w:val="left"/>
        </w:tabs>
        <w:numPr>
          <w:ilvl w:val="0"/>
          <w:numId w:val="17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flash point exceeding 477 K (204  C);</w:t>
      </w:r>
    </w:p>
    <w:p>
      <w:pPr>
        <w:spacing w:after="0" w:line="269"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17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pour point at 239 K (-34  C) or less;</w:t>
      </w:r>
    </w:p>
    <w:p>
      <w:pPr>
        <w:spacing w:after="0" w:line="279" w:lineRule="exact"/>
        <w:rPr>
          <w:rFonts w:ascii="Times New Roman" w:cs="Times New Roman" w:eastAsia="Times New Roman" w:hAnsi="Times New Roman"/>
          <w:sz w:val="22"/>
          <w:szCs w:val="22"/>
          <w:color w:val="auto"/>
        </w:rPr>
      </w:pPr>
    </w:p>
    <w:p>
      <w:pPr>
        <w:ind w:left="320" w:hanging="320"/>
        <w:spacing w:after="0"/>
        <w:tabs>
          <w:tab w:leader="none" w:pos="320" w:val="left"/>
        </w:tabs>
        <w:numPr>
          <w:ilvl w:val="0"/>
          <w:numId w:val="17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 viscosity index of 75 or more; </w:t>
      </w:r>
      <w:r>
        <w:rPr>
          <w:rFonts w:ascii="Times New Roman" w:cs="Times New Roman" w:eastAsia="Times New Roman" w:hAnsi="Times New Roman"/>
          <w:sz w:val="22"/>
          <w:szCs w:val="22"/>
          <w:i w:val="1"/>
          <w:iCs w:val="1"/>
          <w:color w:val="auto"/>
        </w:rPr>
        <w:t>and</w:t>
      </w:r>
    </w:p>
    <w:p>
      <w:pPr>
        <w:spacing w:after="0" w:line="242"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17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thermal stability at 616 K (343  C).</w:t>
      </w:r>
    </w:p>
    <w:p>
      <w:pPr>
        <w:spacing w:after="0" w:line="200" w:lineRule="exact"/>
        <w:rPr>
          <w:sz w:val="20"/>
          <w:szCs w:val="20"/>
          <w:color w:val="auto"/>
        </w:rPr>
      </w:pPr>
    </w:p>
    <w:p>
      <w:pPr>
        <w:spacing w:after="0" w:line="347"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1C997 Ammonium nitrate, including fertilizers and fertilizer blends containing more than 15% by weight ammonium nitrate, except liquid fertilizers (containing any amount of ammonium nitrate) or dry</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fertilizers containing less than 15% by weight ammonium nitrate.</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00"/>
        <w:spacing w:after="0"/>
        <w:tabs>
          <w:tab w:leader="none" w:pos="224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1440" w:type="dxa"/>
            <w:vAlign w:val="bottom"/>
            <w:tcBorders>
              <w:top w:val="single" w:sz="8" w:color="auto"/>
              <w:left w:val="single" w:sz="8" w:color="auto"/>
              <w:right w:val="single" w:sz="8" w:color="auto"/>
            </w:tcBorders>
            <w:vMerge w:val="restart"/>
          </w:tcPr>
          <w:p>
            <w:pPr>
              <w:ind w:left="2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900" w:type="dxa"/>
            <w:vAlign w:val="bottom"/>
            <w:tcBorders>
              <w:top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 (See Supp. No.</w:t>
            </w:r>
          </w:p>
        </w:tc>
        <w:tc>
          <w:tcPr>
            <w:tcW w:w="0" w:type="dxa"/>
            <w:vAlign w:val="bottom"/>
          </w:tcPr>
          <w:p>
            <w:pPr>
              <w:spacing w:after="0"/>
              <w:rPr>
                <w:sz w:val="1"/>
                <w:szCs w:val="1"/>
                <w:color w:val="auto"/>
              </w:rPr>
            </w:pPr>
          </w:p>
        </w:tc>
      </w:tr>
      <w:tr>
        <w:trPr>
          <w:trHeight w:val="127"/>
        </w:trPr>
        <w:tc>
          <w:tcPr>
            <w:tcW w:w="1440" w:type="dxa"/>
            <w:vAlign w:val="bottom"/>
            <w:tcBorders>
              <w:left w:val="single" w:sz="8" w:color="auto"/>
              <w:right w:val="single" w:sz="8" w:color="auto"/>
            </w:tcBorders>
            <w:vMerge w:val="continue"/>
          </w:tcPr>
          <w:p>
            <w:pPr>
              <w:spacing w:after="0"/>
              <w:rPr>
                <w:sz w:val="11"/>
                <w:szCs w:val="11"/>
                <w:color w:val="auto"/>
              </w:rPr>
            </w:pPr>
          </w:p>
        </w:tc>
        <w:tc>
          <w:tcPr>
            <w:tcW w:w="820" w:type="dxa"/>
            <w:vAlign w:val="bottom"/>
          </w:tcPr>
          <w:p>
            <w:pPr>
              <w:spacing w:after="0"/>
              <w:rPr>
                <w:sz w:val="11"/>
                <w:szCs w:val="11"/>
                <w:color w:val="auto"/>
              </w:rPr>
            </w:pPr>
          </w:p>
        </w:tc>
        <w:tc>
          <w:tcPr>
            <w:tcW w:w="1620" w:type="dxa"/>
            <w:vAlign w:val="bottom"/>
            <w:gridSpan w:val="2"/>
            <w:vMerge w:val="restart"/>
          </w:tcPr>
          <w:p>
            <w:pPr>
              <w:jc w:val="center"/>
              <w:ind w:right="290"/>
              <w:spacing w:after="0"/>
              <w:rPr>
                <w:sz w:val="20"/>
                <w:szCs w:val="20"/>
                <w:color w:val="auto"/>
              </w:rPr>
            </w:pPr>
            <w:r>
              <w:rPr>
                <w:rFonts w:ascii="Times New Roman" w:cs="Times New Roman" w:eastAsia="Times New Roman" w:hAnsi="Times New Roman"/>
                <w:sz w:val="22"/>
                <w:szCs w:val="22"/>
                <w:i w:val="1"/>
                <w:iCs w:val="1"/>
                <w:color w:val="auto"/>
              </w:rPr>
              <w:t>1 to part 738)</w:t>
            </w:r>
          </w:p>
        </w:tc>
        <w:tc>
          <w:tcPr>
            <w:tcW w:w="46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127"/>
        </w:trPr>
        <w:tc>
          <w:tcPr>
            <w:tcW w:w="1440" w:type="dxa"/>
            <w:vAlign w:val="bottom"/>
            <w:tcBorders>
              <w:left w:val="single" w:sz="8" w:color="auto"/>
              <w:bottom w:val="single" w:sz="8" w:color="auto"/>
              <w:right w:val="single" w:sz="8" w:color="auto"/>
            </w:tcBorders>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620" w:type="dxa"/>
            <w:vAlign w:val="bottom"/>
            <w:tcBorders>
              <w:bottom w:val="single" w:sz="8" w:color="auto"/>
            </w:tcBorders>
            <w:gridSpan w:val="2"/>
            <w:vMerge w:val="continue"/>
          </w:tcPr>
          <w:p>
            <w:pPr>
              <w:spacing w:after="0"/>
              <w:rPr>
                <w:sz w:val="11"/>
                <w:szCs w:val="11"/>
                <w:color w:val="auto"/>
              </w:rPr>
            </w:pPr>
          </w:p>
        </w:tc>
        <w:tc>
          <w:tcPr>
            <w:tcW w:w="46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41"/>
        </w:trPr>
        <w:tc>
          <w:tcPr>
            <w:tcW w:w="14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w:t>
            </w:r>
          </w:p>
        </w:tc>
        <w:tc>
          <w:tcPr>
            <w:tcW w:w="1840" w:type="dxa"/>
            <w:vAlign w:val="bottom"/>
            <w:gridSpan w:val="2"/>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c>
          <w:tcPr>
            <w:tcW w:w="600" w:type="dxa"/>
            <w:vAlign w:val="bottom"/>
          </w:tcPr>
          <w:p>
            <w:pPr>
              <w:spacing w:after="0"/>
              <w:rPr>
                <w:sz w:val="20"/>
                <w:szCs w:val="20"/>
                <w:color w:val="auto"/>
              </w:rPr>
            </w:pPr>
          </w:p>
        </w:tc>
        <w:tc>
          <w:tcPr>
            <w:tcW w:w="46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55"/>
        </w:trPr>
        <w:tc>
          <w:tcPr>
            <w:tcW w:w="14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820" w:type="dxa"/>
            <w:vAlign w:val="bottom"/>
            <w:tcBorders>
              <w:bottom w:val="single" w:sz="8" w:color="auto"/>
            </w:tcBorders>
          </w:tcPr>
          <w:p>
            <w:pPr>
              <w:spacing w:after="0"/>
              <w:rPr>
                <w:sz w:val="22"/>
                <w:szCs w:val="22"/>
                <w:color w:val="auto"/>
              </w:rPr>
            </w:pPr>
          </w:p>
        </w:tc>
        <w:tc>
          <w:tcPr>
            <w:tcW w:w="1020" w:type="dxa"/>
            <w:vAlign w:val="bottom"/>
            <w:tcBorders>
              <w:bottom w:val="single" w:sz="8" w:color="auto"/>
            </w:tcBorders>
          </w:tcPr>
          <w:p>
            <w:pPr>
              <w:spacing w:after="0"/>
              <w:rPr>
                <w:sz w:val="22"/>
                <w:szCs w:val="22"/>
                <w:color w:val="auto"/>
              </w:rPr>
            </w:pPr>
          </w:p>
        </w:tc>
        <w:tc>
          <w:tcPr>
            <w:tcW w:w="60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1"/>
        </w:trPr>
        <w:tc>
          <w:tcPr>
            <w:tcW w:w="14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w:t>
            </w:r>
          </w:p>
        </w:tc>
        <w:tc>
          <w:tcPr>
            <w:tcW w:w="2900" w:type="dxa"/>
            <w:vAlign w:val="bottom"/>
            <w:tcBorders>
              <w:right w:val="single" w:sz="8" w:color="auto"/>
            </w:tcBorders>
            <w:gridSpan w:val="4"/>
          </w:tcPr>
          <w:p>
            <w:pPr>
              <w:ind w:left="100"/>
              <w:spacing w:after="0" w:line="241" w:lineRule="exact"/>
              <w:rPr>
                <w:sz w:val="20"/>
                <w:szCs w:val="20"/>
                <w:color w:val="auto"/>
              </w:rPr>
            </w:pPr>
            <w:r>
              <w:rPr>
                <w:rFonts w:ascii="Times New Roman" w:cs="Times New Roman" w:eastAsia="Times New Roman" w:hAnsi="Times New Roman"/>
                <w:sz w:val="22"/>
                <w:szCs w:val="22"/>
                <w:color w:val="auto"/>
              </w:rPr>
              <w:t>A license is required for items</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controlled  by  this  entry  for</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export or reexport to Iraq or</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82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transfer</w:t>
            </w:r>
          </w:p>
        </w:tc>
        <w:tc>
          <w:tcPr>
            <w:tcW w:w="1020" w:type="dxa"/>
            <w:vAlign w:val="bottom"/>
          </w:tcPr>
          <w:p>
            <w:pPr>
              <w:ind w:left="220"/>
              <w:spacing w:after="0"/>
              <w:rPr>
                <w:sz w:val="20"/>
                <w:szCs w:val="20"/>
                <w:color w:val="auto"/>
              </w:rPr>
            </w:pPr>
            <w:r>
              <w:rPr>
                <w:rFonts w:ascii="Times New Roman" w:cs="Times New Roman" w:eastAsia="Times New Roman" w:hAnsi="Times New Roman"/>
                <w:sz w:val="22"/>
                <w:szCs w:val="22"/>
                <w:color w:val="auto"/>
              </w:rPr>
              <w:t>within</w:t>
            </w:r>
          </w:p>
        </w:tc>
        <w:tc>
          <w:tcPr>
            <w:tcW w:w="60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Iraq</w:t>
            </w:r>
          </w:p>
        </w:tc>
        <w:tc>
          <w:tcPr>
            <w:tcW w:w="46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820" w:type="dxa"/>
            <w:vAlign w:val="bottom"/>
          </w:tcPr>
          <w:p>
            <w:pPr>
              <w:ind w:left="100"/>
              <w:spacing w:after="0"/>
              <w:rPr>
                <w:sz w:val="20"/>
                <w:szCs w:val="20"/>
                <w:color w:val="auto"/>
              </w:rPr>
            </w:pPr>
            <w:r>
              <w:rPr>
                <w:rFonts w:ascii="Times New Roman" w:cs="Times New Roman" w:eastAsia="Times New Roman" w:hAnsi="Times New Roman"/>
                <w:sz w:val="22"/>
                <w:szCs w:val="22"/>
                <w:color w:val="auto"/>
                <w:w w:val="97"/>
              </w:rPr>
              <w:t>regional</w:t>
            </w:r>
          </w:p>
        </w:tc>
        <w:tc>
          <w:tcPr>
            <w:tcW w:w="1020" w:type="dxa"/>
            <w:vAlign w:val="bottom"/>
          </w:tcPr>
          <w:p>
            <w:pPr>
              <w:jc w:val="center"/>
              <w:ind w:left="90"/>
              <w:spacing w:after="0"/>
              <w:rPr>
                <w:sz w:val="20"/>
                <w:szCs w:val="20"/>
                <w:color w:val="auto"/>
              </w:rPr>
            </w:pPr>
            <w:r>
              <w:rPr>
                <w:rFonts w:ascii="Times New Roman" w:cs="Times New Roman" w:eastAsia="Times New Roman" w:hAnsi="Times New Roman"/>
                <w:sz w:val="22"/>
                <w:szCs w:val="22"/>
                <w:color w:val="auto"/>
                <w:w w:val="98"/>
              </w:rPr>
              <w:t>stability</w:t>
            </w:r>
          </w:p>
        </w:tc>
        <w:tc>
          <w:tcPr>
            <w:tcW w:w="1060" w:type="dxa"/>
            <w:vAlign w:val="bottom"/>
            <w:tcBorders>
              <w:right w:val="single" w:sz="8" w:color="auto"/>
            </w:tcBorders>
            <w:gridSpan w:val="2"/>
          </w:tcPr>
          <w:p>
            <w:pPr>
              <w:jc w:val="right"/>
              <w:ind w:right="30"/>
              <w:spacing w:after="0"/>
              <w:rPr>
                <w:sz w:val="20"/>
                <w:szCs w:val="20"/>
                <w:color w:val="auto"/>
              </w:rPr>
            </w:pPr>
            <w:r>
              <w:rPr>
                <w:rFonts w:ascii="Times New Roman" w:cs="Times New Roman" w:eastAsia="Times New Roman" w:hAnsi="Times New Roman"/>
                <w:sz w:val="22"/>
                <w:szCs w:val="22"/>
                <w:color w:val="auto"/>
              </w:rPr>
              <w:t>reasons.</w:t>
            </w:r>
          </w:p>
        </w:tc>
        <w:tc>
          <w:tcPr>
            <w:tcW w:w="0" w:type="dxa"/>
            <w:vAlign w:val="bottom"/>
          </w:tcPr>
          <w:p>
            <w:pPr>
              <w:spacing w:after="0"/>
              <w:rPr>
                <w:sz w:val="1"/>
                <w:szCs w:val="1"/>
                <w:color w:val="auto"/>
              </w:rPr>
            </w:pPr>
          </w:p>
        </w:tc>
      </w:tr>
      <w:tr>
        <w:trPr>
          <w:trHeight w:val="252"/>
        </w:trPr>
        <w:tc>
          <w:tcPr>
            <w:tcW w:w="1440" w:type="dxa"/>
            <w:vAlign w:val="bottom"/>
            <w:tcBorders>
              <w:left w:val="single" w:sz="8" w:color="auto"/>
              <w:right w:val="single" w:sz="8" w:color="auto"/>
            </w:tcBorders>
          </w:tcPr>
          <w:p>
            <w:pPr>
              <w:spacing w:after="0"/>
              <w:rPr>
                <w:sz w:val="21"/>
                <w:szCs w:val="21"/>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The Commerce Country Chart</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is not designed to determine</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2440" w:type="dxa"/>
            <w:vAlign w:val="bottom"/>
            <w:gridSpan w:val="3"/>
          </w:tcPr>
          <w:p>
            <w:pPr>
              <w:ind w:left="100"/>
              <w:spacing w:after="0"/>
              <w:rPr>
                <w:sz w:val="20"/>
                <w:szCs w:val="20"/>
                <w:color w:val="auto"/>
              </w:rPr>
            </w:pPr>
            <w:r>
              <w:rPr>
                <w:rFonts w:ascii="Times New Roman" w:cs="Times New Roman" w:eastAsia="Times New Roman" w:hAnsi="Times New Roman"/>
                <w:sz w:val="22"/>
                <w:szCs w:val="22"/>
                <w:color w:val="auto"/>
              </w:rPr>
              <w:t>RS  license  requirements</w:t>
            </w:r>
          </w:p>
        </w:tc>
        <w:tc>
          <w:tcPr>
            <w:tcW w:w="46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this entry.   See §§742.6 and</w:t>
            </w:r>
          </w:p>
        </w:tc>
        <w:tc>
          <w:tcPr>
            <w:tcW w:w="0" w:type="dxa"/>
            <w:vAlign w:val="bottom"/>
          </w:tcPr>
          <w:p>
            <w:pPr>
              <w:spacing w:after="0"/>
              <w:rPr>
                <w:sz w:val="1"/>
                <w:szCs w:val="1"/>
                <w:color w:val="auto"/>
              </w:rPr>
            </w:pPr>
          </w:p>
        </w:tc>
      </w:tr>
      <w:tr>
        <w:trPr>
          <w:trHeight w:val="253"/>
        </w:trPr>
        <w:tc>
          <w:tcPr>
            <w:tcW w:w="144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746.3   of   the   EAR   for</w:t>
            </w:r>
          </w:p>
        </w:tc>
        <w:tc>
          <w:tcPr>
            <w:tcW w:w="0" w:type="dxa"/>
            <w:vAlign w:val="bottom"/>
          </w:tcPr>
          <w:p>
            <w:pPr>
              <w:spacing w:after="0"/>
              <w:rPr>
                <w:sz w:val="1"/>
                <w:szCs w:val="1"/>
                <w:color w:val="auto"/>
              </w:rPr>
            </w:pPr>
          </w:p>
        </w:tc>
      </w:tr>
      <w:tr>
        <w:trPr>
          <w:trHeight w:val="254"/>
        </w:trPr>
        <w:tc>
          <w:tcPr>
            <w:tcW w:w="1440" w:type="dxa"/>
            <w:vAlign w:val="bottom"/>
            <w:tcBorders>
              <w:left w:val="single" w:sz="8" w:color="auto"/>
              <w:bottom w:val="single" w:sz="8" w:color="auto"/>
              <w:right w:val="single" w:sz="8" w:color="auto"/>
            </w:tcBorders>
          </w:tcPr>
          <w:p>
            <w:pPr>
              <w:spacing w:after="0"/>
              <w:rPr>
                <w:sz w:val="22"/>
                <w:szCs w:val="22"/>
                <w:color w:val="auto"/>
              </w:rPr>
            </w:pPr>
          </w:p>
        </w:tc>
        <w:tc>
          <w:tcPr>
            <w:tcW w:w="2440" w:type="dxa"/>
            <w:vAlign w:val="bottom"/>
            <w:tcBorders>
              <w:bottom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additional information.</w:t>
            </w:r>
          </w:p>
        </w:tc>
        <w:tc>
          <w:tcPr>
            <w:tcW w:w="46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262"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0"/>
          <w:szCs w:val="20"/>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1C998 Non-fluorinated polymeric substances, not controlled by 1C008,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p>
      <w:pPr>
        <w:spacing w:after="0" w:line="237"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20" w:type="dxa"/>
            <w:vAlign w:val="bottom"/>
            <w:tcBorders>
              <w:top w:val="single" w:sz="8" w:color="auto"/>
              <w:left w:val="single" w:sz="8" w:color="auto"/>
              <w:right w:val="single" w:sz="8" w:color="auto"/>
            </w:tcBorders>
            <w:vMerge w:val="restart"/>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c>
          <w:tcPr>
            <w:tcW w:w="0" w:type="dxa"/>
            <w:vAlign w:val="bottom"/>
          </w:tcPr>
          <w:p>
            <w:pPr>
              <w:spacing w:after="0"/>
              <w:rPr>
                <w:sz w:val="1"/>
                <w:szCs w:val="1"/>
                <w:color w:val="auto"/>
              </w:rPr>
            </w:pPr>
          </w:p>
        </w:tc>
      </w:tr>
      <w:tr>
        <w:trPr>
          <w:trHeight w:val="126"/>
        </w:trPr>
        <w:tc>
          <w:tcPr>
            <w:tcW w:w="2520" w:type="dxa"/>
            <w:vAlign w:val="bottom"/>
            <w:tcBorders>
              <w:left w:val="single" w:sz="8" w:color="auto"/>
              <w:right w:val="single" w:sz="8" w:color="auto"/>
            </w:tcBorders>
            <w:vMerge w:val="continue"/>
          </w:tcPr>
          <w:p>
            <w:pPr>
              <w:spacing w:after="0"/>
              <w:rPr>
                <w:sz w:val="10"/>
                <w:szCs w:val="10"/>
                <w:color w:val="auto"/>
              </w:rPr>
            </w:pPr>
          </w:p>
        </w:tc>
        <w:tc>
          <w:tcPr>
            <w:tcW w:w="182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c>
          <w:tcPr>
            <w:tcW w:w="0" w:type="dxa"/>
            <w:vAlign w:val="bottom"/>
          </w:tcPr>
          <w:p>
            <w:pPr>
              <w:spacing w:after="0"/>
              <w:rPr>
                <w:sz w:val="1"/>
                <w:szCs w:val="1"/>
                <w:color w:val="auto"/>
              </w:rPr>
            </w:pPr>
          </w:p>
        </w:tc>
      </w:tr>
      <w:tr>
        <w:trPr>
          <w:trHeight w:val="128"/>
        </w:trPr>
        <w:tc>
          <w:tcPr>
            <w:tcW w:w="2520" w:type="dxa"/>
            <w:vAlign w:val="bottom"/>
            <w:tcBorders>
              <w:left w:val="single" w:sz="8" w:color="auto"/>
              <w:bottom w:val="single" w:sz="8" w:color="auto"/>
              <w:right w:val="single" w:sz="8" w:color="auto"/>
            </w:tcBorders>
          </w:tcPr>
          <w:p>
            <w:pPr>
              <w:spacing w:after="0"/>
              <w:rPr>
                <w:sz w:val="11"/>
                <w:szCs w:val="11"/>
                <w:color w:val="auto"/>
              </w:rPr>
            </w:pPr>
          </w:p>
        </w:tc>
        <w:tc>
          <w:tcPr>
            <w:tcW w:w="182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56"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293" w:right="1440" w:bottom="124" w:gutter="0" w:footer="0" w:header="0"/>
          <w:type w:val="continuous"/>
        </w:sectPr>
      </w:pPr>
    </w:p>
    <w:bookmarkStart w:id="86" w:name="page87"/>
    <w:bookmarkEnd w:id="8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1—page 87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179070</wp:posOffset>
                </wp:positionV>
                <wp:extent cx="2743200" cy="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6" o:spid="_x0000_s12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4.1pt" to="216pt,14.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346710</wp:posOffset>
                </wp:positionV>
                <wp:extent cx="2743200" cy="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7" o:spid="_x0000_s12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7.3pt" to="216pt,27.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175895</wp:posOffset>
                </wp:positionV>
                <wp:extent cx="0" cy="34036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3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3.85pt" to="0.2pt,40.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1584960</wp:posOffset>
                </wp:positionH>
                <wp:positionV relativeFrom="paragraph">
                  <wp:posOffset>175895</wp:posOffset>
                </wp:positionV>
                <wp:extent cx="0" cy="34036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36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9" o:spid="_x0000_s1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4.8pt,13.85pt" to="124.8pt,40.6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2740025</wp:posOffset>
                </wp:positionH>
                <wp:positionV relativeFrom="paragraph">
                  <wp:posOffset>175895</wp:posOffset>
                </wp:positionV>
                <wp:extent cx="0" cy="34036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4036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00" o:spid="_x0000_s1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5.75pt,13.85pt" to="215.75pt,40.65pt" o:allowincell="f" strokecolor="#000000" strokeweight="0.4799pt"/>
            </w:pict>
          </mc:Fallback>
        </mc:AlternateContent>
      </w:r>
    </w:p>
    <w:p>
      <w:pPr>
        <w:sectPr>
          <w:pgSz w:w="12240" w:h="15840" w:orient="portrait"/>
          <w:cols w:equalWidth="0" w:num="1">
            <w:col w:w="9360"/>
          </w:cols>
          <w:pgMar w:left="1440" w:top="1293" w:right="1440" w:bottom="124" w:gutter="0" w:footer="0" w:header="0"/>
        </w:sectPr>
      </w:pPr>
    </w:p>
    <w:p>
      <w:pPr>
        <w:spacing w:after="0" w:line="28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9" w:lineRule="exact"/>
        <w:rPr>
          <w:sz w:val="20"/>
          <w:szCs w:val="20"/>
          <w:color w:val="auto"/>
        </w:rPr>
      </w:pPr>
    </w:p>
    <w:p>
      <w:pPr>
        <w:ind w:left="120"/>
        <w:spacing w:after="0"/>
        <w:tabs>
          <w:tab w:leader="none" w:pos="2580" w:val="left"/>
        </w:tabs>
        <w:rPr>
          <w:sz w:val="20"/>
          <w:szCs w:val="20"/>
          <w:color w:val="auto"/>
        </w:rPr>
      </w:pPr>
      <w:r>
        <w:rPr>
          <w:rFonts w:ascii="Times New Roman" w:cs="Times New Roman" w:eastAsia="Times New Roman" w:hAnsi="Times New Roman"/>
          <w:sz w:val="22"/>
          <w:szCs w:val="22"/>
          <w:color w:val="auto"/>
        </w:rPr>
        <w:t>AT applies to entire entry</w:t>
      </w:r>
      <w:r>
        <w:rPr>
          <w:sz w:val="20"/>
          <w:szCs w:val="20"/>
          <w:color w:val="auto"/>
        </w:rPr>
        <w:tab/>
      </w:r>
      <w:r>
        <w:rPr>
          <w:rFonts w:ascii="Times New Roman" w:cs="Times New Roman" w:eastAsia="Times New Roman" w:hAnsi="Times New Roman"/>
          <w:sz w:val="21"/>
          <w:szCs w:val="21"/>
          <w:color w:val="auto"/>
        </w:rPr>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5080</wp:posOffset>
                </wp:positionV>
                <wp:extent cx="2743200" cy="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320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01" o:spid="_x0000_s12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0.4pt" to="216pt,0.4pt" o:allowincell="f" strokecolor="#000000" strokeweight="0.4799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4" w:lineRule="exact"/>
        <w:rPr>
          <w:sz w:val="20"/>
          <w:szCs w:val="20"/>
          <w:color w:val="auto"/>
        </w:rPr>
      </w:pPr>
    </w:p>
    <w:p>
      <w:pPr>
        <w:ind w:left="300" w:right="560" w:hanging="300"/>
        <w:spacing w:after="0" w:line="468" w:lineRule="auto"/>
        <w:tabs>
          <w:tab w:leader="none" w:pos="412" w:val="left"/>
        </w:tabs>
        <w:numPr>
          <w:ilvl w:val="0"/>
          <w:numId w:val="1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Polyarylene ether ketones, as follows: a.1 Polyether ether ketone (PEEK);</w:t>
      </w:r>
    </w:p>
    <w:p>
      <w:pPr>
        <w:spacing w:after="0" w:line="14"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a.2.</w:t>
        <w:tab/>
        <w:t>Polyether ketone ketone (PEKK);</w:t>
      </w:r>
    </w:p>
    <w:p>
      <w:pPr>
        <w:spacing w:after="0" w:line="252" w:lineRule="exact"/>
        <w:rPr>
          <w:sz w:val="20"/>
          <w:szCs w:val="20"/>
          <w:color w:val="auto"/>
        </w:rPr>
      </w:pPr>
    </w:p>
    <w:p>
      <w:pPr>
        <w:ind w:left="300"/>
        <w:spacing w:after="0"/>
        <w:tabs>
          <w:tab w:leader="none" w:pos="780" w:val="left"/>
        </w:tabs>
        <w:rPr>
          <w:sz w:val="20"/>
          <w:szCs w:val="20"/>
          <w:color w:val="auto"/>
        </w:rPr>
      </w:pPr>
      <w:r>
        <w:rPr>
          <w:rFonts w:ascii="Times New Roman" w:cs="Times New Roman" w:eastAsia="Times New Roman" w:hAnsi="Times New Roman"/>
          <w:sz w:val="22"/>
          <w:szCs w:val="22"/>
          <w:color w:val="auto"/>
        </w:rPr>
        <w:t>a.3.</w:t>
        <w:tab/>
        <w:t>Polyether ketone (PEK);</w:t>
      </w:r>
    </w:p>
    <w:p>
      <w:pPr>
        <w:spacing w:after="0" w:line="266" w:lineRule="exact"/>
        <w:rPr>
          <w:sz w:val="20"/>
          <w:szCs w:val="20"/>
          <w:color w:val="auto"/>
        </w:rPr>
      </w:pPr>
    </w:p>
    <w:p>
      <w:pPr>
        <w:ind w:firstLine="306"/>
        <w:spacing w:after="0" w:line="234" w:lineRule="auto"/>
        <w:rPr>
          <w:sz w:val="20"/>
          <w:szCs w:val="20"/>
          <w:color w:val="auto"/>
        </w:rPr>
      </w:pPr>
      <w:r>
        <w:rPr>
          <w:rFonts w:ascii="Times New Roman" w:cs="Times New Roman" w:eastAsia="Times New Roman" w:hAnsi="Times New Roman"/>
          <w:sz w:val="22"/>
          <w:szCs w:val="22"/>
          <w:color w:val="auto"/>
        </w:rPr>
        <w:t>a.4. Polyether ketone ether ketone ketone (PEKEKK);</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[Reserved].</w:t>
      </w:r>
    </w:p>
    <w:p>
      <w:pPr>
        <w:spacing w:after="0" w:line="200" w:lineRule="exact"/>
        <w:rPr>
          <w:sz w:val="20"/>
          <w:szCs w:val="20"/>
          <w:color w:val="auto"/>
        </w:rPr>
      </w:pPr>
    </w:p>
    <w:p>
      <w:pPr>
        <w:spacing w:after="0" w:line="32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1C999 Specific materials, n.e.s.,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color w:val="auto"/>
        </w:rPr>
        <w:t>Country Chart is not designed to determine RS license requirements for this entry. See §§742.6 and 746.3 of the EAR for additional information.</w:t>
      </w:r>
    </w:p>
    <w:p>
      <w:pPr>
        <w:spacing w:after="0" w:line="25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8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1C236</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firstLine="1"/>
        <w:spacing w:after="0" w:line="250" w:lineRule="auto"/>
        <w:tabs>
          <w:tab w:leader="none" w:pos="329" w:val="left"/>
        </w:tabs>
        <w:numPr>
          <w:ilvl w:val="0"/>
          <w:numId w:val="17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Hardened steel and tungsten carbide precision ball bearings (3mm or greater diameter);</w:t>
      </w:r>
    </w:p>
    <w:p>
      <w:pPr>
        <w:spacing w:after="0" w:line="243" w:lineRule="exact"/>
        <w:rPr>
          <w:rFonts w:ascii="Times New Roman" w:cs="Times New Roman" w:eastAsia="Times New Roman" w:hAnsi="Times New Roman"/>
          <w:sz w:val="21"/>
          <w:szCs w:val="21"/>
          <w:color w:val="auto"/>
        </w:rPr>
      </w:pPr>
    </w:p>
    <w:p>
      <w:pPr>
        <w:ind w:left="340" w:hanging="339"/>
        <w:spacing w:after="0"/>
        <w:tabs>
          <w:tab w:leader="none" w:pos="340"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304 and 316 stainless steel plate, n.e.s.;</w:t>
      </w:r>
    </w:p>
    <w:p>
      <w:pPr>
        <w:spacing w:after="0" w:line="252"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Monel plate;</w:t>
      </w:r>
    </w:p>
    <w:p>
      <w:pPr>
        <w:spacing w:after="0" w:line="253" w:lineRule="exact"/>
        <w:rPr>
          <w:rFonts w:ascii="Times New Roman" w:cs="Times New Roman" w:eastAsia="Times New Roman" w:hAnsi="Times New Roman"/>
          <w:sz w:val="22"/>
          <w:szCs w:val="22"/>
          <w:color w:val="auto"/>
        </w:rPr>
      </w:pPr>
    </w:p>
    <w:p>
      <w:pPr>
        <w:ind w:left="220" w:hanging="219"/>
        <w:spacing w:after="0"/>
        <w:tabs>
          <w:tab w:leader="none" w:pos="220"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Tributyl phosphate;</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368"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Nitric acid in concentrations of 20 weight percent or greater;</w:t>
      </w:r>
    </w:p>
    <w:p>
      <w:pPr>
        <w:spacing w:after="0" w:line="253" w:lineRule="exact"/>
        <w:rPr>
          <w:rFonts w:ascii="Times New Roman" w:cs="Times New Roman" w:eastAsia="Times New Roman" w:hAnsi="Times New Roman"/>
          <w:sz w:val="22"/>
          <w:szCs w:val="22"/>
          <w:color w:val="auto"/>
        </w:rPr>
      </w:pPr>
    </w:p>
    <w:p>
      <w:pPr>
        <w:ind w:left="300" w:hanging="299"/>
        <w:spacing w:after="0"/>
        <w:tabs>
          <w:tab w:leader="none" w:pos="300"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Fluorine;</w:t>
      </w:r>
    </w:p>
    <w:p>
      <w:pPr>
        <w:spacing w:after="0" w:line="253" w:lineRule="exact"/>
        <w:rPr>
          <w:rFonts w:ascii="Times New Roman" w:cs="Times New Roman" w:eastAsia="Times New Roman" w:hAnsi="Times New Roman"/>
          <w:sz w:val="22"/>
          <w:szCs w:val="22"/>
          <w:color w:val="auto"/>
        </w:rPr>
      </w:pPr>
    </w:p>
    <w:p>
      <w:pPr>
        <w:ind w:left="220" w:hanging="219"/>
        <w:spacing w:after="0"/>
        <w:tabs>
          <w:tab w:leader="none" w:pos="220" w:val="left"/>
        </w:tabs>
        <w:numPr>
          <w:ilvl w:val="0"/>
          <w:numId w:val="1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Alpha-emitting radionuclides, n.e.s.</w:t>
      </w:r>
    </w:p>
    <w:p>
      <w:pPr>
        <w:spacing w:after="0" w:line="200" w:lineRule="exact"/>
        <w:rPr>
          <w:rFonts w:ascii="Times New Roman" w:cs="Times New Roman" w:eastAsia="Times New Roman" w:hAnsi="Times New Roman"/>
          <w:sz w:val="22"/>
          <w:szCs w:val="22"/>
          <w:color w:val="auto"/>
        </w:rPr>
      </w:pPr>
    </w:p>
    <w:p>
      <w:pPr>
        <w:spacing w:after="0" w:line="200" w:lineRule="exact"/>
        <w:rPr>
          <w:rFonts w:ascii="Times New Roman" w:cs="Times New Roman" w:eastAsia="Times New Roman" w:hAnsi="Times New Roman"/>
          <w:sz w:val="22"/>
          <w:szCs w:val="22"/>
          <w:color w:val="auto"/>
        </w:rPr>
      </w:pPr>
    </w:p>
    <w:p>
      <w:pPr>
        <w:spacing w:after="0" w:line="200" w:lineRule="exact"/>
        <w:rPr>
          <w:rFonts w:ascii="Times New Roman" w:cs="Times New Roman" w:eastAsia="Times New Roman" w:hAnsi="Times New Roman"/>
          <w:sz w:val="22"/>
          <w:szCs w:val="22"/>
          <w:color w:val="auto"/>
        </w:rPr>
      </w:pPr>
    </w:p>
    <w:p>
      <w:pPr>
        <w:spacing w:after="0" w:line="200" w:lineRule="exact"/>
        <w:rPr>
          <w:rFonts w:ascii="Times New Roman" w:cs="Times New Roman" w:eastAsia="Times New Roman" w:hAnsi="Times New Roman"/>
          <w:sz w:val="22"/>
          <w:szCs w:val="22"/>
          <w:color w:val="auto"/>
        </w:rPr>
      </w:pPr>
    </w:p>
    <w:p>
      <w:pPr>
        <w:spacing w:after="0" w:line="200" w:lineRule="exact"/>
        <w:rPr>
          <w:rFonts w:ascii="Times New Roman" w:cs="Times New Roman" w:eastAsia="Times New Roman" w:hAnsi="Times New Roman"/>
          <w:sz w:val="22"/>
          <w:szCs w:val="22"/>
          <w:color w:val="auto"/>
        </w:rPr>
      </w:pPr>
    </w:p>
    <w:p>
      <w:pPr>
        <w:spacing w:after="0" w:line="200" w:lineRule="exact"/>
        <w:rPr>
          <w:rFonts w:ascii="Times New Roman" w:cs="Times New Roman" w:eastAsia="Times New Roman" w:hAnsi="Times New Roman"/>
          <w:sz w:val="22"/>
          <w:szCs w:val="22"/>
          <w:color w:val="auto"/>
        </w:rPr>
      </w:pPr>
    </w:p>
    <w:p>
      <w:pPr>
        <w:spacing w:after="0" w:line="318" w:lineRule="exact"/>
        <w:rPr>
          <w:rFonts w:ascii="Times New Roman" w:cs="Times New Roman" w:eastAsia="Times New Roman" w:hAnsi="Times New Roman"/>
          <w:sz w:val="22"/>
          <w:szCs w:val="22"/>
          <w:color w:val="auto"/>
        </w:rPr>
      </w:pPr>
    </w:p>
    <w:p>
      <w:pPr>
        <w:ind w:left="128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D. “SOFTWARE”</w:t>
      </w:r>
    </w:p>
    <w:p>
      <w:pPr>
        <w:spacing w:after="0" w:line="42"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jc w:val="both"/>
        <w:spacing w:after="0" w:line="234"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North Korea</w:t>
      </w:r>
    </w:p>
    <w:p>
      <w:pPr>
        <w:spacing w:after="0" w:line="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for anti-terrorism reasons. The Commerce Country Chart is not designed to determine AT license requirements for this entry. See §742.19 of the EAR for additional information.</w:t>
      </w:r>
    </w:p>
    <w:p>
      <w:pPr>
        <w:spacing w:after="0" w:line="270"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RS applies to entire entry. A license is required for items controlled by this entry for export or reexport to Iraq or transfer within Iraq for</w:t>
      </w:r>
    </w:p>
    <w:p>
      <w:pPr>
        <w:spacing w:after="0" w:line="3" w:lineRule="exact"/>
        <w:rPr>
          <w:sz w:val="20"/>
          <w:szCs w:val="20"/>
          <w:color w:val="auto"/>
        </w:rPr>
      </w:pPr>
    </w:p>
    <w:p>
      <w:pPr>
        <w:spacing w:after="0"/>
        <w:tabs>
          <w:tab w:leader="none" w:pos="880" w:val="left"/>
          <w:tab w:leader="none" w:pos="1760" w:val="left"/>
          <w:tab w:leader="none" w:pos="2820" w:val="left"/>
          <w:tab w:leader="none" w:pos="3340" w:val="left"/>
        </w:tabs>
        <w:rPr>
          <w:sz w:val="20"/>
          <w:szCs w:val="20"/>
          <w:color w:val="auto"/>
        </w:rPr>
      </w:pPr>
      <w:r>
        <w:rPr>
          <w:rFonts w:ascii="Times New Roman" w:cs="Times New Roman" w:eastAsia="Times New Roman" w:hAnsi="Times New Roman"/>
          <w:sz w:val="22"/>
          <w:szCs w:val="22"/>
          <w:color w:val="auto"/>
        </w:rPr>
        <w:t>regional</w:t>
        <w:tab/>
        <w:t>stability</w:t>
        <w:tab/>
        <w:t>reasons.</w:t>
      </w:r>
      <w:r>
        <w:rPr>
          <w:sz w:val="20"/>
          <w:szCs w:val="20"/>
          <w:color w:val="auto"/>
        </w:rPr>
        <w:tab/>
      </w:r>
      <w:r>
        <w:rPr>
          <w:rFonts w:ascii="Times New Roman" w:cs="Times New Roman" w:eastAsia="Times New Roman" w:hAnsi="Times New Roman"/>
          <w:sz w:val="22"/>
          <w:szCs w:val="22"/>
          <w:color w:val="auto"/>
        </w:rPr>
        <w:t>The</w:t>
      </w:r>
      <w:r>
        <w:rPr>
          <w:sz w:val="20"/>
          <w:szCs w:val="20"/>
          <w:color w:val="auto"/>
        </w:rPr>
        <w:tab/>
      </w:r>
      <w:r>
        <w:rPr>
          <w:rFonts w:ascii="Times New Roman" w:cs="Times New Roman" w:eastAsia="Times New Roman" w:hAnsi="Times New Roman"/>
          <w:sz w:val="21"/>
          <w:szCs w:val="21"/>
          <w:color w:val="auto"/>
        </w:rPr>
        <w:t>Commerce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57"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1D001 “Software” “specially designed” or modified for the “development”, “production” or “use” of equipment controlled by 1B001 to 1B003.</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720"/>
        <w:spacing w:after="0"/>
        <w:tabs>
          <w:tab w:leader="none" w:pos="26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NP, AT</w:t>
      </w:r>
    </w:p>
    <w:p>
      <w:pPr>
        <w:spacing w:after="0" w:line="483" w:lineRule="exact"/>
        <w:rPr>
          <w:sz w:val="20"/>
          <w:szCs w:val="20"/>
          <w:color w:val="auto"/>
        </w:rPr>
      </w:pPr>
    </w:p>
    <w:p>
      <w:pPr>
        <w:sectPr>
          <w:pgSz w:w="12240" w:h="15840" w:orient="portrait"/>
          <w:cols w:equalWidth="0" w:num="2">
            <w:col w:w="4320" w:space="720"/>
            <w:col w:w="4320"/>
          </w:cols>
          <w:pgMar w:left="1440" w:top="1293" w:right="1440" w:bottom="124" w:gutter="0" w:footer="0" w:header="0"/>
          <w:type w:val="continuous"/>
        </w:sectPr>
      </w:pPr>
    </w:p>
    <w:p>
      <w:pPr>
        <w:spacing w:after="0" w:line="289"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sectPr>
      <w:pgSz w:w="12240" w:h="15840" w:orient="portrait"/>
      <w:cols w:equalWidth="0" w:num="1">
        <w:col w:w="9360"/>
      </w:cols>
      <w:pgMar w:left="1440" w:top="1293" w:right="1440" w:bottom="124"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4C04A8AF"/>
    <w:multiLevelType w:val="hybridMultilevel"/>
    <w:lvl w:ilvl="0">
      <w:lvlJc w:val="left"/>
      <w:lvlText w:val="%1."/>
      <w:numFmt w:val="lowerLetter"/>
      <w:start w:val="1"/>
    </w:lvl>
  </w:abstractNum>
  <w:abstractNum w:abstractNumId="1">
    <w:nsid w:val="1716703B"/>
    <w:multiLevelType w:val="hybridMultilevel"/>
    <w:lvl w:ilvl="0">
      <w:lvlJc w:val="left"/>
      <w:lvlText w:val="%1."/>
      <w:numFmt w:val="lowerLetter"/>
      <w:start w:val="1"/>
    </w:lvl>
  </w:abstractNum>
  <w:abstractNum w:abstractNumId="2">
    <w:nsid w:val="14E17E33"/>
    <w:multiLevelType w:val="hybridMultilevel"/>
    <w:lvl w:ilvl="0">
      <w:lvlJc w:val="left"/>
      <w:lvlText w:val="%1."/>
      <w:numFmt w:val="lowerLetter"/>
      <w:start w:val="1"/>
    </w:lvl>
  </w:abstractNum>
  <w:abstractNum w:abstractNumId="3">
    <w:nsid w:val="3222E7CD"/>
    <w:multiLevelType w:val="hybridMultilevel"/>
    <w:lvl w:ilvl="0">
      <w:lvlJc w:val="left"/>
      <w:lvlText w:val="%1."/>
      <w:numFmt w:val="decimal"/>
      <w:start w:val="1"/>
    </w:lvl>
  </w:abstractNum>
  <w:abstractNum w:abstractNumId="4">
    <w:nsid w:val="74DE0EE3"/>
    <w:multiLevelType w:val="hybridMultilevel"/>
    <w:lvl w:ilvl="0">
      <w:lvlJc w:val="left"/>
      <w:lvlText w:val="%1."/>
      <w:numFmt w:val="lowerLetter"/>
      <w:start w:val="2"/>
    </w:lvl>
  </w:abstractNum>
  <w:abstractNum w:abstractNumId="5">
    <w:nsid w:val="68EBC550"/>
    <w:multiLevelType w:val="hybridMultilevel"/>
    <w:lvl w:ilvl="0">
      <w:lvlJc w:val="left"/>
      <w:lvlText w:val="%1."/>
      <w:numFmt w:val="lowerLetter"/>
      <w:start w:val="3"/>
    </w:lvl>
  </w:abstractNum>
  <w:abstractNum w:abstractNumId="6">
    <w:nsid w:val="2DF6D648"/>
    <w:multiLevelType w:val="hybridMultilevel"/>
    <w:lvl w:ilvl="0">
      <w:lvlJc w:val="left"/>
      <w:lvlText w:val="%1."/>
      <w:numFmt w:val="lowerLetter"/>
      <w:start w:val="2"/>
    </w:lvl>
    <w:lvl w:ilvl="1">
      <w:lvlJc w:val="left"/>
      <w:lvlText w:val="%2."/>
      <w:numFmt w:val="decimal"/>
      <w:start w:val="1"/>
    </w:lvl>
  </w:abstractNum>
  <w:abstractNum w:abstractNumId="7">
    <w:nsid w:val="46B7D447"/>
    <w:multiLevelType w:val="hybridMultilevel"/>
    <w:lvl w:ilvl="0">
      <w:lvlJc w:val="left"/>
      <w:lvlText w:val="%1."/>
      <w:numFmt w:val="decimal"/>
      <w:start w:val="1"/>
    </w:lvl>
  </w:abstractNum>
  <w:abstractNum w:abstractNumId="8">
    <w:nsid w:val="4A2AC315"/>
    <w:multiLevelType w:val="hybridMultilevel"/>
    <w:lvl w:ilvl="0">
      <w:lvlJc w:val="left"/>
      <w:lvlText w:val="(%1)"/>
      <w:numFmt w:val="decimal"/>
      <w:start w:val="6"/>
    </w:lvl>
  </w:abstractNum>
  <w:abstractNum w:abstractNumId="9">
    <w:nsid w:val="39EE015C"/>
    <w:multiLevelType w:val="hybridMultilevel"/>
    <w:lvl w:ilvl="0">
      <w:lvlJc w:val="left"/>
      <w:lvlText w:val="%1."/>
      <w:numFmt w:val="lowerLetter"/>
      <w:start w:val="1"/>
    </w:lvl>
  </w:abstractNum>
  <w:abstractNum w:abstractNumId="10">
    <w:nsid w:val="57FC4FBB"/>
    <w:multiLevelType w:val="hybridMultilevel"/>
    <w:lvl w:ilvl="0">
      <w:lvlJc w:val="left"/>
      <w:lvlText w:val="%1."/>
      <w:numFmt w:val="decimal"/>
      <w:start w:val="1"/>
    </w:lvl>
  </w:abstractNum>
  <w:abstractNum w:abstractNumId="11">
    <w:nsid w:val="CC1016F"/>
    <w:multiLevelType w:val="hybridMultilevel"/>
    <w:lvl w:ilvl="0">
      <w:lvlJc w:val="left"/>
      <w:lvlText w:val="%1."/>
      <w:numFmt w:val="lowerLetter"/>
      <w:start w:val="1"/>
    </w:lvl>
  </w:abstractNum>
  <w:abstractNum w:abstractNumId="12">
    <w:nsid w:val="43F18422"/>
    <w:multiLevelType w:val="hybridMultilevel"/>
    <w:lvl w:ilvl="0">
      <w:lvlJc w:val="left"/>
      <w:lvlText w:val="%1."/>
      <w:numFmt w:val="lowerLetter"/>
      <w:start w:val="1"/>
    </w:lvl>
  </w:abstractNum>
  <w:abstractNum w:abstractNumId="13">
    <w:nsid w:val="60EF0119"/>
    <w:multiLevelType w:val="hybridMultilevel"/>
    <w:lvl w:ilvl="0">
      <w:lvlJc w:val="left"/>
      <w:lvlText w:val="%1."/>
      <w:numFmt w:val="decimal"/>
      <w:start w:val="1"/>
    </w:lvl>
  </w:abstractNum>
  <w:abstractNum w:abstractNumId="14">
    <w:nsid w:val="26F324BA"/>
    <w:multiLevelType w:val="hybridMultilevel"/>
    <w:lvl w:ilvl="0">
      <w:lvlJc w:val="left"/>
      <w:lvlText w:val="%1."/>
      <w:numFmt w:val="lowerLetter"/>
      <w:start w:val="1"/>
    </w:lvl>
  </w:abstractNum>
  <w:abstractNum w:abstractNumId="15">
    <w:nsid w:val="7F01579B"/>
    <w:multiLevelType w:val="hybridMultilevel"/>
    <w:lvl w:ilvl="0">
      <w:lvlJc w:val="left"/>
      <w:lvlText w:val="(%1)"/>
      <w:numFmt w:val="decimal"/>
      <w:start w:val="2"/>
    </w:lvl>
  </w:abstractNum>
  <w:abstractNum w:abstractNumId="16">
    <w:nsid w:val="49DA307D"/>
    <w:multiLevelType w:val="hybridMultilevel"/>
    <w:lvl w:ilvl="0">
      <w:lvlJc w:val="left"/>
      <w:lvlText w:val="%1."/>
      <w:numFmt w:val="lowerLetter"/>
      <w:start w:val="2"/>
    </w:lvl>
  </w:abstractNum>
  <w:abstractNum w:abstractNumId="17">
    <w:nsid w:val="7055A5F5"/>
    <w:multiLevelType w:val="hybridMultilevel"/>
    <w:lvl w:ilvl="0">
      <w:lvlJc w:val="left"/>
      <w:lvlText w:val="%1."/>
      <w:numFmt w:val="lowerLetter"/>
      <w:start w:val="1"/>
    </w:lvl>
  </w:abstractNum>
  <w:abstractNum w:abstractNumId="18">
    <w:nsid w:val="5FB8370B"/>
    <w:multiLevelType w:val="hybridMultilevel"/>
    <w:lvl w:ilvl="0">
      <w:lvlJc w:val="left"/>
      <w:lvlText w:val="%1."/>
      <w:numFmt w:val="lowerLetter"/>
      <w:start w:val="1"/>
    </w:lvl>
  </w:abstractNum>
  <w:abstractNum w:abstractNumId="19">
    <w:nsid w:val="50801EE1"/>
    <w:multiLevelType w:val="hybridMultilevel"/>
    <w:lvl w:ilvl="0">
      <w:lvlJc w:val="left"/>
      <w:lvlText w:val="%1."/>
      <w:numFmt w:val="lowerLetter"/>
      <w:start w:val="1"/>
    </w:lvl>
  </w:abstractNum>
  <w:abstractNum w:abstractNumId="20">
    <w:nsid w:val="488AC1A"/>
    <w:multiLevelType w:val="hybridMultilevel"/>
    <w:lvl w:ilvl="0">
      <w:lvlJc w:val="left"/>
      <w:lvlText w:val="%1."/>
      <w:numFmt w:val="lowerLetter"/>
      <w:start w:val="1"/>
    </w:lvl>
  </w:abstractNum>
  <w:abstractNum w:abstractNumId="21">
    <w:nsid w:val="5FB8011C"/>
    <w:multiLevelType w:val="hybridMultilevel"/>
    <w:lvl w:ilvl="0">
      <w:lvlJc w:val="left"/>
      <w:lvlText w:val="%1"/>
      <w:numFmt w:val="lowerLetter"/>
      <w:start w:val="1"/>
    </w:lvl>
  </w:abstractNum>
  <w:abstractNum w:abstractNumId="22">
    <w:nsid w:val="6AA78F7F"/>
    <w:multiLevelType w:val="hybridMultilevel"/>
    <w:lvl w:ilvl="0">
      <w:lvlJc w:val="left"/>
      <w:lvlText w:val="%1."/>
      <w:numFmt w:val="lowerLetter"/>
      <w:start w:val="2"/>
    </w:lvl>
  </w:abstractNum>
  <w:abstractNum w:abstractNumId="23">
    <w:nsid w:val="7672BD23"/>
    <w:multiLevelType w:val="hybridMultilevel"/>
    <w:lvl w:ilvl="0">
      <w:lvlJc w:val="left"/>
      <w:lvlText w:val="%1)"/>
      <w:numFmt w:val="decimal"/>
      <w:start w:val="235"/>
    </w:lvl>
  </w:abstractNum>
  <w:abstractNum w:abstractNumId="24">
    <w:nsid w:val="6FC75AF8"/>
    <w:multiLevelType w:val="hybridMultilevel"/>
    <w:lvl w:ilvl="0">
      <w:lvlJc w:val="left"/>
      <w:lvlText w:val="(%1)"/>
      <w:numFmt w:val="decimal"/>
      <w:start w:val="2"/>
    </w:lvl>
  </w:abstractNum>
  <w:abstractNum w:abstractNumId="25">
    <w:nsid w:val="6A5F7029"/>
    <w:multiLevelType w:val="hybridMultilevel"/>
    <w:lvl w:ilvl="0">
      <w:lvlJc w:val="left"/>
      <w:lvlText w:val="%1."/>
      <w:numFmt w:val="lowerLetter"/>
      <w:start w:val="5"/>
    </w:lvl>
  </w:abstractNum>
  <w:abstractNum w:abstractNumId="26">
    <w:nsid w:val="7D5E18F8"/>
    <w:multiLevelType w:val="hybridMultilevel"/>
    <w:lvl w:ilvl="0">
      <w:lvlJc w:val="left"/>
      <w:lvlText w:val="%1."/>
      <w:numFmt w:val="lowerLetter"/>
      <w:start w:val="9"/>
    </w:lvl>
  </w:abstractNum>
  <w:abstractNum w:abstractNumId="27">
    <w:nsid w:val="5F3534A4"/>
    <w:multiLevelType w:val="hybridMultilevel"/>
    <w:lvl w:ilvl="0">
      <w:lvlJc w:val="left"/>
      <w:lvlText w:val="%1."/>
      <w:numFmt w:val="lowerRoman"/>
      <w:start w:val="10"/>
    </w:lvl>
  </w:abstractNum>
  <w:abstractNum w:abstractNumId="28">
    <w:nsid w:val="73A1821B"/>
    <w:multiLevelType w:val="hybridMultilevel"/>
    <w:lvl w:ilvl="0">
      <w:lvlJc w:val="left"/>
      <w:lvlText w:val="%1."/>
      <w:numFmt w:val="lowerLetter"/>
      <w:start w:val="1"/>
    </w:lvl>
  </w:abstractNum>
  <w:abstractNum w:abstractNumId="29">
    <w:nsid w:val="7DE67713"/>
    <w:multiLevelType w:val="hybridMultilevel"/>
    <w:lvl w:ilvl="0">
      <w:lvlJc w:val="left"/>
      <w:lvlText w:val="%1."/>
      <w:numFmt w:val="lowerLetter"/>
      <w:start w:val="2"/>
    </w:lvl>
  </w:abstractNum>
  <w:abstractNum w:abstractNumId="30">
    <w:nsid w:val="555C55B5"/>
    <w:multiLevelType w:val="hybridMultilevel"/>
    <w:lvl w:ilvl="0">
      <w:lvlJc w:val="left"/>
      <w:lvlText w:val="%1."/>
      <w:numFmt w:val="lowerLetter"/>
      <w:start w:val="4"/>
    </w:lvl>
  </w:abstractNum>
  <w:abstractNum w:abstractNumId="31">
    <w:nsid w:val="3FA62ACA"/>
    <w:multiLevelType w:val="hybridMultilevel"/>
    <w:lvl w:ilvl="0">
      <w:lvlJc w:val="left"/>
      <w:lvlText w:val="%1."/>
      <w:numFmt w:val="lowerLetter"/>
      <w:start w:val="6"/>
    </w:lvl>
  </w:abstractNum>
  <w:abstractNum w:abstractNumId="32">
    <w:nsid w:val="14FCE74E"/>
    <w:multiLevelType w:val="hybridMultilevel"/>
    <w:lvl w:ilvl="0">
      <w:lvlJc w:val="left"/>
      <w:lvlText w:val="%1."/>
      <w:numFmt w:val="lowerLetter"/>
      <w:start w:val="25"/>
    </w:lvl>
  </w:abstractNum>
  <w:abstractNum w:abstractNumId="33">
    <w:nsid w:val="6A3DD3E8"/>
    <w:multiLevelType w:val="hybridMultilevel"/>
    <w:lvl w:ilvl="0">
      <w:lvlJc w:val="left"/>
      <w:lvlText w:val="%1"/>
      <w:numFmt w:val="upperLetter"/>
      <w:start w:val="29"/>
    </w:lvl>
  </w:abstractNum>
  <w:abstractNum w:abstractNumId="34">
    <w:nsid w:val="71C91298"/>
    <w:multiLevelType w:val="hybridMultilevel"/>
    <w:lvl w:ilvl="0">
      <w:lvlJc w:val="left"/>
      <w:lvlText w:val="%1"/>
      <w:numFmt w:val="upperLetter"/>
      <w:start w:val="29"/>
    </w:lvl>
  </w:abstractNum>
  <w:abstractNum w:abstractNumId="35">
    <w:nsid w:val="9DAF632"/>
    <w:multiLevelType w:val="hybridMultilevel"/>
    <w:lvl w:ilvl="0">
      <w:lvlJc w:val="left"/>
      <w:lvlText w:val="%1."/>
      <w:numFmt w:val="lowerLetter"/>
      <w:start w:val="1"/>
    </w:lvl>
  </w:abstractNum>
  <w:abstractNum w:abstractNumId="36">
    <w:nsid w:val="53299938"/>
    <w:multiLevelType w:val="hybridMultilevel"/>
    <w:lvl w:ilvl="0">
      <w:lvlJc w:val="left"/>
      <w:lvlText w:val="%1."/>
      <w:numFmt w:val="upperLetter"/>
      <w:start w:val="2"/>
    </w:lvl>
  </w:abstractNum>
  <w:abstractNum w:abstractNumId="37">
    <w:nsid w:val="1FBFE8E0"/>
    <w:multiLevelType w:val="hybridMultilevel"/>
    <w:lvl w:ilvl="0">
      <w:lvlJc w:val="left"/>
      <w:lvlText w:val="%1"/>
      <w:numFmt w:val="lowerLetter"/>
      <w:start w:val="1"/>
    </w:lvl>
    <w:lvl w:ilvl="1">
      <w:lvlJc w:val="left"/>
      <w:lvlText w:val="(%2)"/>
      <w:numFmt w:val="decimal"/>
      <w:start w:val="2"/>
    </w:lvl>
  </w:abstractNum>
  <w:abstractNum w:abstractNumId="38">
    <w:nsid w:val="5092CA79"/>
    <w:multiLevelType w:val="hybridMultilevel"/>
    <w:lvl w:ilvl="0">
      <w:lvlJc w:val="left"/>
      <w:lvlText w:val="%1."/>
      <w:numFmt w:val="lowerLetter"/>
      <w:start w:val="1"/>
    </w:lvl>
    <w:lvl w:ilvl="1">
      <w:lvlJc w:val="left"/>
      <w:lvlText w:val="%2"/>
      <w:numFmt w:val="decimal"/>
      <w:start w:val="1"/>
    </w:lvl>
  </w:abstractNum>
  <w:abstractNum w:abstractNumId="39">
    <w:nsid w:val="1D545C4D"/>
    <w:multiLevelType w:val="hybridMultilevel"/>
    <w:lvl w:ilvl="0">
      <w:lvlJc w:val="left"/>
      <w:lvlText w:val="%1."/>
      <w:numFmt w:val="lowerLetter"/>
      <w:start w:val="3"/>
    </w:lvl>
  </w:abstractNum>
  <w:abstractNum w:abstractNumId="40">
    <w:nsid w:val="59ADEA3D"/>
    <w:multiLevelType w:val="hybridMultilevel"/>
    <w:lvl w:ilvl="0">
      <w:lvlJc w:val="left"/>
      <w:lvlText w:val="%1."/>
      <w:numFmt w:val="lowerLetter"/>
      <w:start w:val="4"/>
    </w:lvl>
  </w:abstractNum>
  <w:abstractNum w:abstractNumId="41">
    <w:nsid w:val="288F1A34"/>
    <w:multiLevelType w:val="hybridMultilevel"/>
    <w:lvl w:ilvl="0">
      <w:lvlJc w:val="left"/>
      <w:lvlText w:val="%1."/>
      <w:numFmt w:val="lowerLetter"/>
      <w:start w:val="5"/>
    </w:lvl>
  </w:abstractNum>
  <w:abstractNum w:abstractNumId="42">
    <w:nsid w:val="2A155DBC"/>
    <w:multiLevelType w:val="hybridMultilevel"/>
    <w:lvl w:ilvl="0">
      <w:lvlJc w:val="left"/>
      <w:lvlText w:val="%1."/>
      <w:numFmt w:val="lowerLetter"/>
      <w:start w:val="7"/>
    </w:lvl>
  </w:abstractNum>
  <w:abstractNum w:abstractNumId="43">
    <w:nsid w:val="1D9F6E5F"/>
    <w:multiLevelType w:val="hybridMultilevel"/>
    <w:lvl w:ilvl="0">
      <w:lvlJc w:val="left"/>
      <w:lvlText w:val="%1."/>
      <w:numFmt w:val="decimal"/>
      <w:start w:val="1"/>
    </w:lvl>
  </w:abstractNum>
  <w:abstractNum w:abstractNumId="44">
    <w:nsid w:val="97E1B4E"/>
    <w:multiLevelType w:val="hybridMultilevel"/>
    <w:lvl w:ilvl="0">
      <w:lvlJc w:val="left"/>
      <w:lvlText w:val="%1."/>
      <w:numFmt w:val="decimal"/>
      <w:start w:val="2"/>
    </w:lvl>
  </w:abstractNum>
  <w:abstractNum w:abstractNumId="45">
    <w:nsid w:val="51088277"/>
    <w:multiLevelType w:val="hybridMultilevel"/>
    <w:lvl w:ilvl="0">
      <w:lvlJc w:val="left"/>
      <w:lvlText w:val="%1."/>
      <w:numFmt w:val="lowerLetter"/>
      <w:start w:val="1"/>
    </w:lvl>
  </w:abstractNum>
  <w:abstractNum w:abstractNumId="46">
    <w:nsid w:val="1CA0C5FA"/>
    <w:multiLevelType w:val="hybridMultilevel"/>
    <w:lvl w:ilvl="0">
      <w:lvlJc w:val="left"/>
      <w:lvlText w:val="%1."/>
      <w:numFmt w:val="lowerLetter"/>
      <w:start w:val="1"/>
    </w:lvl>
  </w:abstractNum>
  <w:abstractNum w:abstractNumId="47">
    <w:nsid w:val="53584BCB"/>
    <w:multiLevelType w:val="hybridMultilevel"/>
    <w:lvl w:ilvl="0">
      <w:lvlJc w:val="left"/>
      <w:lvlText w:val="%1:"/>
      <w:numFmt w:val="lowerLetter"/>
      <w:start w:val="2"/>
    </w:lvl>
    <w:lvl w:ilvl="1">
      <w:lvlJc w:val="left"/>
      <w:lvlText w:val="%2."/>
      <w:numFmt w:val="decimal"/>
      <w:start w:val="1"/>
    </w:lvl>
  </w:abstractNum>
  <w:abstractNum w:abstractNumId="48">
    <w:nsid w:val="415E286C"/>
    <w:multiLevelType w:val="hybridMultilevel"/>
    <w:lvl w:ilvl="0">
      <w:lvlJc w:val="left"/>
      <w:lvlText w:val="%1."/>
      <w:numFmt w:val="lowerLetter"/>
      <w:start w:val="1"/>
    </w:lvl>
  </w:abstractNum>
  <w:abstractNum w:abstractNumId="49">
    <w:nsid w:val="7C58FD05"/>
    <w:multiLevelType w:val="hybridMultilevel"/>
    <w:lvl w:ilvl="0">
      <w:lvlJc w:val="left"/>
      <w:lvlText w:val="%1."/>
      <w:numFmt w:val="lowerLetter"/>
      <w:start w:val="1"/>
    </w:lvl>
    <w:lvl w:ilvl="1">
      <w:lvlJc w:val="left"/>
      <w:lvlText w:val="%2."/>
      <w:numFmt w:val="lowerLetter"/>
      <w:start w:val="3"/>
    </w:lvl>
  </w:abstractNum>
  <w:abstractNum w:abstractNumId="50">
    <w:nsid w:val="23D86AAC"/>
    <w:multiLevelType w:val="hybridMultilevel"/>
    <w:lvl w:ilvl="0">
      <w:lvlJc w:val="left"/>
      <w:lvlText w:val="%1."/>
      <w:numFmt w:val="lowerLetter"/>
      <w:start w:val="2"/>
    </w:lvl>
  </w:abstractNum>
  <w:abstractNum w:abstractNumId="51">
    <w:nsid w:val="45E6D486"/>
    <w:multiLevelType w:val="hybridMultilevel"/>
    <w:lvl w:ilvl="0">
      <w:lvlJc w:val="left"/>
      <w:lvlText w:val="%1."/>
      <w:numFmt w:val="lowerLetter"/>
      <w:start w:val="1"/>
    </w:lvl>
  </w:abstractNum>
  <w:abstractNum w:abstractNumId="52">
    <w:nsid w:val="5C10FE21"/>
    <w:multiLevelType w:val="hybridMultilevel"/>
    <w:lvl w:ilvl="0">
      <w:lvlJc w:val="left"/>
      <w:lvlText w:val="%1."/>
      <w:numFmt w:val="lowerLetter"/>
      <w:start w:val="2"/>
    </w:lvl>
  </w:abstractNum>
  <w:abstractNum w:abstractNumId="53">
    <w:nsid w:val="E7FFA2B"/>
    <w:multiLevelType w:val="hybridMultilevel"/>
    <w:lvl w:ilvl="0">
      <w:lvlJc w:val="left"/>
      <w:lvlText w:val="%1."/>
      <w:numFmt w:val="lowerLetter"/>
      <w:start w:val="1"/>
    </w:lvl>
  </w:abstractNum>
  <w:abstractNum w:abstractNumId="54">
    <w:nsid w:val="3C5991AA"/>
    <w:multiLevelType w:val="hybridMultilevel"/>
    <w:lvl w:ilvl="0">
      <w:lvlJc w:val="left"/>
      <w:lvlText w:val="%1."/>
      <w:numFmt w:val="lowerLetter"/>
      <w:start w:val="1"/>
    </w:lvl>
  </w:abstractNum>
  <w:abstractNum w:abstractNumId="55">
    <w:nsid w:val="4BD8591A"/>
    <w:multiLevelType w:val="hybridMultilevel"/>
    <w:lvl w:ilvl="0">
      <w:lvlJc w:val="left"/>
      <w:lvlText w:val="%1."/>
      <w:numFmt w:val="lowerLetter"/>
      <w:start w:val="2"/>
    </w:lvl>
  </w:abstractNum>
  <w:abstractNum w:abstractNumId="56">
    <w:nsid w:val="78DF6A55"/>
    <w:multiLevelType w:val="hybridMultilevel"/>
    <w:lvl w:ilvl="0">
      <w:lvlJc w:val="left"/>
      <w:lvlText w:val="%1."/>
      <w:numFmt w:val="lowerLetter"/>
      <w:start w:val="1"/>
    </w:lvl>
  </w:abstractNum>
  <w:abstractNum w:abstractNumId="57">
    <w:nsid w:val="39B7AAA2"/>
    <w:multiLevelType w:val="hybridMultilevel"/>
    <w:lvl w:ilvl="0">
      <w:lvlJc w:val="left"/>
      <w:lvlText w:val="%1."/>
      <w:numFmt w:val="lowerLetter"/>
      <w:start w:val="1"/>
    </w:lvl>
  </w:abstractNum>
  <w:abstractNum w:abstractNumId="58">
    <w:nsid w:val="2B0D8DBE"/>
    <w:multiLevelType w:val="hybridMultilevel"/>
    <w:lvl w:ilvl="0">
      <w:lvlJc w:val="left"/>
      <w:lvlText w:val="%1."/>
      <w:numFmt w:val="lowerLetter"/>
      <w:start w:val="2"/>
    </w:lvl>
  </w:abstractNum>
  <w:abstractNum w:abstractNumId="59">
    <w:nsid w:val="6C80EC70"/>
    <w:multiLevelType w:val="hybridMultilevel"/>
    <w:lvl w:ilvl="0">
      <w:lvlJc w:val="left"/>
      <w:lvlText w:val="%1."/>
      <w:numFmt w:val="lowerLetter"/>
      <w:start w:val="3"/>
    </w:lvl>
  </w:abstractNum>
  <w:abstractNum w:abstractNumId="60">
    <w:nsid w:val="379E21B5"/>
    <w:multiLevelType w:val="hybridMultilevel"/>
    <w:lvl w:ilvl="0">
      <w:lvlJc w:val="left"/>
      <w:lvlText w:val="%1."/>
      <w:numFmt w:val="lowerLetter"/>
      <w:start w:val="1"/>
    </w:lvl>
  </w:abstractNum>
  <w:abstractNum w:abstractNumId="61">
    <w:nsid w:val="69E373"/>
    <w:multiLevelType w:val="hybridMultilevel"/>
    <w:lvl w:ilvl="0">
      <w:lvlJc w:val="left"/>
      <w:lvlText w:val="%1."/>
      <w:numFmt w:val="lowerRoman"/>
      <w:start w:val="10"/>
    </w:lvl>
  </w:abstractNum>
  <w:abstractNum w:abstractNumId="62">
    <w:nsid w:val="2C27173B"/>
    <w:multiLevelType w:val="hybridMultilevel"/>
    <w:lvl w:ilvl="0">
      <w:lvlJc w:val="left"/>
      <w:lvlText w:val="(%1)"/>
      <w:numFmt w:val="decimal"/>
      <w:start w:val="2"/>
    </w:lvl>
  </w:abstractNum>
  <w:abstractNum w:abstractNumId="63">
    <w:nsid w:val="4C9B0904"/>
    <w:multiLevelType w:val="hybridMultilevel"/>
    <w:lvl w:ilvl="0">
      <w:lvlJc w:val="left"/>
      <w:lvlText w:val="%1."/>
      <w:numFmt w:val="lowerLetter"/>
      <w:start w:val="1"/>
    </w:lvl>
  </w:abstractNum>
  <w:abstractNum w:abstractNumId="64">
    <w:nsid w:val="6AA7B75C"/>
    <w:multiLevelType w:val="hybridMultilevel"/>
    <w:lvl w:ilvl="0">
      <w:lvlJc w:val="left"/>
      <w:lvlText w:val="%1."/>
      <w:numFmt w:val="lowerLetter"/>
      <w:start w:val="2"/>
    </w:lvl>
  </w:abstractNum>
  <w:abstractNum w:abstractNumId="65">
    <w:nsid w:val="1DF029D3"/>
    <w:multiLevelType w:val="hybridMultilevel"/>
    <w:lvl w:ilvl="0">
      <w:lvlJc w:val="left"/>
      <w:lvlText w:val="%1."/>
      <w:numFmt w:val="lowerRoman"/>
      <w:start w:val="10"/>
    </w:lvl>
  </w:abstractNum>
  <w:abstractNum w:abstractNumId="66">
    <w:nsid w:val="5675FF36"/>
    <w:multiLevelType w:val="hybridMultilevel"/>
    <w:lvl w:ilvl="0">
      <w:lvlJc w:val="left"/>
      <w:lvlText w:val="%1."/>
      <w:numFmt w:val="lowerLetter"/>
      <w:start w:val="2"/>
    </w:lvl>
    <w:lvl w:ilvl="1">
      <w:lvlJc w:val="left"/>
      <w:lvlText w:val="%2."/>
      <w:numFmt w:val="upperLetter"/>
      <w:start w:val="3"/>
    </w:lvl>
  </w:abstractNum>
  <w:abstractNum w:abstractNumId="67">
    <w:nsid w:val="3DD15094"/>
    <w:multiLevelType w:val="hybridMultilevel"/>
    <w:lvl w:ilvl="0">
      <w:lvlJc w:val="left"/>
      <w:lvlText w:val="%1."/>
      <w:numFmt w:val="lowerLetter"/>
      <w:start w:val="1"/>
    </w:lvl>
  </w:abstractNum>
  <w:abstractNum w:abstractNumId="68">
    <w:nsid w:val="3DB012B3"/>
    <w:multiLevelType w:val="hybridMultilevel"/>
    <w:lvl w:ilvl="0">
      <w:lvlJc w:val="left"/>
      <w:lvlText w:val="%1."/>
      <w:numFmt w:val="lowerLetter"/>
      <w:start w:val="1"/>
    </w:lvl>
  </w:abstractNum>
  <w:abstractNum w:abstractNumId="69">
    <w:nsid w:val="2708C9AF"/>
    <w:multiLevelType w:val="hybridMultilevel"/>
    <w:lvl w:ilvl="0">
      <w:lvlJc w:val="left"/>
      <w:lvlText w:val="%1."/>
      <w:numFmt w:val="lowerLetter"/>
      <w:start w:val="1"/>
    </w:lvl>
  </w:abstractNum>
  <w:abstractNum w:abstractNumId="70">
    <w:nsid w:val="5B25ACE2"/>
    <w:multiLevelType w:val="hybridMultilevel"/>
    <w:lvl w:ilvl="0">
      <w:lvlJc w:val="left"/>
      <w:lvlText w:val="%1."/>
      <w:numFmt w:val="lowerLetter"/>
      <w:start w:val="3"/>
    </w:lvl>
    <w:lvl w:ilvl="1">
      <w:lvlJc w:val="left"/>
      <w:lvlText w:val="%2."/>
      <w:numFmt w:val="decimal"/>
      <w:start w:val="1"/>
    </w:lvl>
    <w:lvl w:ilvl="2">
      <w:lvlJc w:val="left"/>
      <w:lvlText w:val="%3"/>
      <w:numFmt w:val="lowerLetter"/>
      <w:start w:val="1"/>
    </w:lvl>
    <w:lvl w:ilvl="3">
      <w:lvlJc w:val="left"/>
      <w:lvlText w:val="%4"/>
      <w:numFmt w:val="lowerLetter"/>
      <w:start w:val="1"/>
    </w:lvl>
  </w:abstractNum>
  <w:abstractNum w:abstractNumId="71">
    <w:nsid w:val="175DFCF0"/>
    <w:multiLevelType w:val="hybridMultilevel"/>
    <w:lvl w:ilvl="0">
      <w:lvlJc w:val="left"/>
      <w:lvlText w:val="%1"/>
      <w:numFmt w:val="lowerLetter"/>
      <w:start w:val="1"/>
    </w:lvl>
    <w:lvl w:ilvl="1">
      <w:lvlJc w:val="left"/>
      <w:lvlText w:val="%2"/>
      <w:numFmt w:val="decimal"/>
      <w:start w:val="1"/>
    </w:lvl>
    <w:lvl w:ilvl="2">
      <w:lvlJc w:val="left"/>
      <w:lvlText w:val="%3."/>
      <w:numFmt w:val="decimal"/>
      <w:start w:val="2"/>
    </w:lvl>
  </w:abstractNum>
  <w:abstractNum w:abstractNumId="72">
    <w:nsid w:val="4F97E3E4"/>
    <w:multiLevelType w:val="hybridMultilevel"/>
    <w:lvl w:ilvl="0">
      <w:lvlJc w:val="left"/>
      <w:lvlText w:val="%1."/>
      <w:numFmt w:val="lowerLetter"/>
      <w:start w:val="4"/>
    </w:lvl>
    <w:lvl w:ilvl="1">
      <w:lvlJc w:val="left"/>
      <w:lvlText w:val="%2."/>
      <w:numFmt w:val="decimal"/>
      <w:start w:val="1"/>
    </w:lvl>
    <w:lvl w:ilvl="2">
      <w:lvlJc w:val="left"/>
      <w:lvlText w:val="%3"/>
      <w:numFmt w:val="decimal"/>
      <w:start w:val="1"/>
    </w:lvl>
  </w:abstractNum>
  <w:abstractNum w:abstractNumId="73">
    <w:nsid w:val="53B0A9E"/>
    <w:multiLevelType w:val="hybridMultilevel"/>
    <w:lvl w:ilvl="0">
      <w:lvlJc w:val="left"/>
      <w:lvlText w:val="%1."/>
      <w:numFmt w:val="lowerLetter"/>
      <w:start w:val="2"/>
    </w:lvl>
  </w:abstractNum>
  <w:abstractNum w:abstractNumId="74">
    <w:nsid w:val="34FD6B4F"/>
    <w:multiLevelType w:val="hybridMultilevel"/>
    <w:lvl w:ilvl="0">
      <w:lvlJc w:val="left"/>
      <w:lvlText w:val="%1"/>
      <w:numFmt w:val="lowerLetter"/>
      <w:start w:val="1"/>
    </w:lvl>
    <w:lvl w:ilvl="1">
      <w:lvlJc w:val="left"/>
      <w:lvlText w:val="%2."/>
      <w:numFmt w:val="lowerLetter"/>
      <w:start w:val="1"/>
    </w:lvl>
  </w:abstractNum>
  <w:abstractNum w:abstractNumId="75">
    <w:nsid w:val="5915FF32"/>
    <w:multiLevelType w:val="hybridMultilevel"/>
    <w:lvl w:ilvl="0">
      <w:lvlJc w:val="left"/>
      <w:lvlText w:val="%1."/>
      <w:numFmt w:val="lowerLetter"/>
      <w:start w:val="2"/>
    </w:lvl>
  </w:abstractNum>
  <w:abstractNum w:abstractNumId="76">
    <w:nsid w:val="56438D15"/>
    <w:multiLevelType w:val="hybridMultilevel"/>
    <w:lvl w:ilvl="0">
      <w:lvlJc w:val="left"/>
      <w:lvlText w:val="%1."/>
      <w:numFmt w:val="lowerLetter"/>
      <w:start w:val="3"/>
    </w:lvl>
  </w:abstractNum>
  <w:abstractNum w:abstractNumId="77">
    <w:nsid w:val="519E3149"/>
    <w:multiLevelType w:val="hybridMultilevel"/>
    <w:lvl w:ilvl="0">
      <w:lvlJc w:val="left"/>
      <w:lvlText w:val="%1."/>
      <w:numFmt w:val="decimal"/>
      <w:start w:val="1"/>
    </w:lvl>
  </w:abstractNum>
  <w:abstractNum w:abstractNumId="78">
    <w:nsid w:val="2C6E4AFD"/>
    <w:multiLevelType w:val="hybridMultilevel"/>
    <w:lvl w:ilvl="0">
      <w:lvlJc w:val="left"/>
      <w:lvlText w:val="%1."/>
      <w:numFmt w:val="decimal"/>
      <w:start w:val="2"/>
    </w:lvl>
  </w:abstractNum>
  <w:abstractNum w:abstractNumId="79">
    <w:nsid w:val="17A1B582"/>
    <w:multiLevelType w:val="hybridMultilevel"/>
    <w:lvl w:ilvl="0">
      <w:lvlJc w:val="left"/>
      <w:lvlText w:val="%1."/>
      <w:numFmt w:val="lowerLetter"/>
      <w:start w:val="1"/>
    </w:lvl>
  </w:abstractNum>
  <w:abstractNum w:abstractNumId="80">
    <w:nsid w:val="4DF72E4E"/>
    <w:multiLevelType w:val="hybridMultilevel"/>
    <w:lvl w:ilvl="0">
      <w:lvlJc w:val="left"/>
      <w:lvlText w:val="%1."/>
      <w:numFmt w:val="lowerLetter"/>
      <w:start w:val="2"/>
    </w:lvl>
  </w:abstractNum>
  <w:abstractNum w:abstractNumId="81">
    <w:nsid w:val="5046B5A9"/>
    <w:multiLevelType w:val="hybridMultilevel"/>
    <w:lvl w:ilvl="0">
      <w:lvlJc w:val="left"/>
      <w:lvlText w:val="%1."/>
      <w:numFmt w:val="lowerLetter"/>
      <w:start w:val="3"/>
    </w:lvl>
  </w:abstractNum>
  <w:abstractNum w:abstractNumId="82">
    <w:nsid w:val="5D888A08"/>
    <w:multiLevelType w:val="hybridMultilevel"/>
    <w:lvl w:ilvl="0">
      <w:lvlJc w:val="left"/>
      <w:lvlText w:val="%1."/>
      <w:numFmt w:val="lowerLetter"/>
      <w:start w:val="1"/>
    </w:lvl>
  </w:abstractNum>
  <w:abstractNum w:abstractNumId="83">
    <w:nsid w:val="2A082C70"/>
    <w:multiLevelType w:val="hybridMultilevel"/>
    <w:lvl w:ilvl="0">
      <w:lvlJc w:val="left"/>
      <w:lvlText w:val="%1."/>
      <w:numFmt w:val="lowerLetter"/>
      <w:start w:val="1"/>
    </w:lvl>
  </w:abstractNum>
  <w:abstractNum w:abstractNumId="84">
    <w:nsid w:val="5EC6AFD4"/>
    <w:multiLevelType w:val="hybridMultilevel"/>
    <w:lvl w:ilvl="0">
      <w:lvlJc w:val="left"/>
      <w:lvlText w:val="%1."/>
      <w:numFmt w:val="lowerLetter"/>
      <w:start w:val="2"/>
    </w:lvl>
  </w:abstractNum>
  <w:abstractNum w:abstractNumId="85">
    <w:nsid w:val="19E21BB2"/>
    <w:multiLevelType w:val="hybridMultilevel"/>
    <w:lvl w:ilvl="0">
      <w:lvlJc w:val="left"/>
      <w:lvlText w:val="%1."/>
      <w:numFmt w:val="lowerLetter"/>
      <w:start w:val="3"/>
    </w:lvl>
  </w:abstractNum>
  <w:abstractNum w:abstractNumId="86">
    <w:nsid w:val="75E0858A"/>
    <w:multiLevelType w:val="hybridMultilevel"/>
    <w:lvl w:ilvl="0">
      <w:lvlJc w:val="left"/>
      <w:lvlText w:val="%1."/>
      <w:numFmt w:val="lowerLetter"/>
      <w:start w:val="1"/>
    </w:lvl>
  </w:abstractNum>
  <w:abstractNum w:abstractNumId="87">
    <w:nsid w:val="57A61A29"/>
    <w:multiLevelType w:val="hybridMultilevel"/>
    <w:lvl w:ilvl="0">
      <w:lvlJc w:val="left"/>
      <w:lvlText w:val="%1."/>
      <w:numFmt w:val="lowerLetter"/>
      <w:start w:val="4"/>
    </w:lvl>
  </w:abstractNum>
  <w:abstractNum w:abstractNumId="88">
    <w:nsid w:val="5399C654"/>
    <w:multiLevelType w:val="hybridMultilevel"/>
    <w:lvl w:ilvl="0">
      <w:lvlJc w:val="left"/>
      <w:lvlText w:val="%1."/>
      <w:numFmt w:val="lowerLetter"/>
      <w:start w:val="1"/>
    </w:lvl>
  </w:abstractNum>
  <w:abstractNum w:abstractNumId="89">
    <w:nsid w:val="20EE1348"/>
    <w:multiLevelType w:val="hybridMultilevel"/>
    <w:lvl w:ilvl="0">
      <w:lvlJc w:val="left"/>
      <w:lvlText w:val="%1."/>
      <w:numFmt w:val="lowerLetter"/>
      <w:start w:val="1"/>
    </w:lvl>
  </w:abstractNum>
  <w:abstractNum w:abstractNumId="90">
    <w:nsid w:val="4427069A"/>
    <w:multiLevelType w:val="hybridMultilevel"/>
    <w:lvl w:ilvl="0">
      <w:lvlJc w:val="left"/>
      <w:lvlText w:val="%1."/>
      <w:numFmt w:val="lowerLetter"/>
      <w:start w:val="2"/>
    </w:lvl>
  </w:abstractNum>
  <w:abstractNum w:abstractNumId="91">
    <w:nsid w:val="B37E80A"/>
    <w:multiLevelType w:val="hybridMultilevel"/>
    <w:lvl w:ilvl="0">
      <w:lvlJc w:val="left"/>
      <w:lvlText w:val="%1."/>
      <w:numFmt w:val="lowerLetter"/>
      <w:start w:val="6"/>
    </w:lvl>
  </w:abstractNum>
  <w:abstractNum w:abstractNumId="92">
    <w:nsid w:val="2157F6BC"/>
    <w:multiLevelType w:val="hybridMultilevel"/>
    <w:lvl w:ilvl="0">
      <w:lvlJc w:val="left"/>
      <w:lvlText w:val="%1."/>
      <w:numFmt w:val="decimal"/>
      <w:start w:val="1"/>
    </w:lvl>
  </w:abstractNum>
  <w:abstractNum w:abstractNumId="93">
    <w:nsid w:val="704E1DD5"/>
    <w:multiLevelType w:val="hybridMultilevel"/>
    <w:lvl w:ilvl="0">
      <w:lvlJc w:val="left"/>
      <w:lvlText w:val="%1."/>
      <w:numFmt w:val="lowerLetter"/>
      <w:start w:val="1"/>
    </w:lvl>
  </w:abstractNum>
  <w:abstractNum w:abstractNumId="94">
    <w:nsid w:val="57D2F10E"/>
    <w:multiLevelType w:val="hybridMultilevel"/>
    <w:lvl w:ilvl="0">
      <w:lvlJc w:val="left"/>
      <w:lvlText w:val="%1."/>
      <w:numFmt w:val="decimal"/>
      <w:start w:val="1"/>
    </w:lvl>
  </w:abstractNum>
  <w:abstractNum w:abstractNumId="95">
    <w:nsid w:val="BFFAE18"/>
    <w:multiLevelType w:val="hybridMultilevel"/>
    <w:lvl w:ilvl="0">
      <w:lvlJc w:val="left"/>
      <w:lvlText w:val="%1"/>
      <w:numFmt w:val="lowerLetter"/>
      <w:start w:val="1"/>
    </w:lvl>
    <w:lvl w:ilvl="1">
      <w:lvlJc w:val="left"/>
      <w:lvlText w:val="%2"/>
      <w:numFmt w:val="lowerLetter"/>
      <w:start w:val="1"/>
    </w:lvl>
    <w:lvl w:ilvl="2">
      <w:lvlJc w:val="left"/>
      <w:lvlText w:val="%3."/>
      <w:numFmt w:val="decimal"/>
      <w:start w:val="1"/>
    </w:lvl>
  </w:abstractNum>
  <w:abstractNum w:abstractNumId="96">
    <w:nsid w:val="E3E47A8"/>
    <w:multiLevelType w:val="hybridMultilevel"/>
    <w:lvl w:ilvl="0">
      <w:lvlJc w:val="left"/>
      <w:lvlText w:val="%1"/>
      <w:numFmt w:val="lowerLetter"/>
      <w:start w:val="1"/>
    </w:lvl>
    <w:lvl w:ilvl="1">
      <w:lvlJc w:val="left"/>
      <w:lvlText w:val="%2."/>
      <w:numFmt w:val="lowerLetter"/>
      <w:start w:val="3"/>
    </w:lvl>
  </w:abstractNum>
  <w:abstractNum w:abstractNumId="97">
    <w:nsid w:val="2E48F044"/>
    <w:multiLevelType w:val="hybridMultilevel"/>
    <w:lvl w:ilvl="0">
      <w:lvlJc w:val="left"/>
      <w:lvlText w:val="%1."/>
      <w:numFmt w:val="lowerLetter"/>
      <w:start w:val="4"/>
    </w:lvl>
    <w:lvl w:ilvl="1">
      <w:lvlJc w:val="left"/>
      <w:lvlText w:val="%2"/>
      <w:numFmt w:val="lowerLetter"/>
      <w:start w:val="1"/>
    </w:lvl>
  </w:abstractNum>
  <w:abstractNum w:abstractNumId="98">
    <w:nsid w:val="49D0FEAC"/>
    <w:multiLevelType w:val="hybridMultilevel"/>
    <w:lvl w:ilvl="0">
      <w:lvlJc w:val="left"/>
      <w:lvlText w:val="%1."/>
      <w:numFmt w:val="lowerLetter"/>
      <w:start w:val="5"/>
    </w:lvl>
  </w:abstractNum>
  <w:abstractNum w:abstractNumId="99">
    <w:nsid w:val="4BEE5A5B"/>
    <w:multiLevelType w:val="hybridMultilevel"/>
    <w:lvl w:ilvl="0">
      <w:lvlJc w:val="left"/>
      <w:lvlText w:val="%1"/>
      <w:numFmt w:val="lowerLetter"/>
      <w:start w:val="1"/>
    </w:lvl>
    <w:lvl w:ilvl="1">
      <w:lvlJc w:val="left"/>
      <w:lvlText w:val="%2."/>
      <w:numFmt w:val="decimal"/>
      <w:start w:val="1"/>
    </w:lvl>
  </w:abstractNum>
  <w:abstractNum w:abstractNumId="100">
    <w:nsid w:val="5551B9F3"/>
    <w:multiLevelType w:val="hybridMultilevel"/>
    <w:lvl w:ilvl="0">
      <w:lvlJc w:val="left"/>
      <w:lvlText w:val="%1."/>
      <w:numFmt w:val="decimal"/>
      <w:start w:val="1"/>
    </w:lvl>
  </w:abstractNum>
  <w:abstractNum w:abstractNumId="101">
    <w:nsid w:val="24F6AB8E"/>
    <w:multiLevelType w:val="hybridMultilevel"/>
    <w:lvl w:ilvl="0">
      <w:lvlJc w:val="left"/>
      <w:lvlText w:val="%1."/>
      <w:numFmt w:val="decimal"/>
      <w:start w:val="2"/>
    </w:lvl>
  </w:abstractNum>
  <w:abstractNum w:abstractNumId="102">
    <w:nsid w:val="634C574C"/>
    <w:multiLevelType w:val="hybridMultilevel"/>
    <w:lvl w:ilvl="0">
      <w:lvlJc w:val="left"/>
      <w:lvlText w:val="%1."/>
      <w:numFmt w:val="lowerLetter"/>
      <w:start w:val="1"/>
    </w:lvl>
  </w:abstractNum>
  <w:abstractNum w:abstractNumId="103">
    <w:nsid w:val="24E99DD7"/>
    <w:multiLevelType w:val="hybridMultilevel"/>
    <w:lvl w:ilvl="0">
      <w:lvlJc w:val="left"/>
      <w:lvlText w:val="%1."/>
      <w:numFmt w:val="lowerLetter"/>
      <w:start w:val="3"/>
    </w:lvl>
  </w:abstractNum>
  <w:abstractNum w:abstractNumId="104">
    <w:nsid w:val="2A31B62D"/>
    <w:multiLevelType w:val="hybridMultilevel"/>
    <w:lvl w:ilvl="0">
      <w:lvlJc w:val="left"/>
      <w:lvlText w:val="%1."/>
      <w:numFmt w:val="lowerLetter"/>
      <w:start w:val="1"/>
    </w:lvl>
  </w:abstractNum>
  <w:abstractNum w:abstractNumId="105">
    <w:nsid w:val="1849C29B"/>
    <w:multiLevelType w:val="hybridMultilevel"/>
    <w:lvl w:ilvl="0">
      <w:lvlJc w:val="left"/>
      <w:lvlText w:val="%1."/>
      <w:numFmt w:val="lowerLetter"/>
      <w:start w:val="2"/>
    </w:lvl>
  </w:abstractNum>
  <w:abstractNum w:abstractNumId="106">
    <w:nsid w:val="7DFF9D09"/>
    <w:multiLevelType w:val="hybridMultilevel"/>
    <w:lvl w:ilvl="0">
      <w:lvlJc w:val="left"/>
      <w:lvlText w:val="(%1)"/>
      <w:numFmt w:val="decimal"/>
      <w:start w:val="2"/>
    </w:lvl>
  </w:abstractNum>
  <w:abstractNum w:abstractNumId="107">
    <w:nsid w:val="754342"/>
    <w:multiLevelType w:val="hybridMultilevel"/>
    <w:lvl w:ilvl="0">
      <w:lvlJc w:val="left"/>
      <w:lvlText w:val="%"/>
      <w:numFmt w:val="bullet"/>
      <w:start w:val="1"/>
    </w:lvl>
  </w:abstractNum>
  <w:abstractNum w:abstractNumId="108">
    <w:nsid w:val="69E7F3E5"/>
    <w:multiLevelType w:val="hybridMultilevel"/>
    <w:lvl w:ilvl="0">
      <w:lvlJc w:val="left"/>
      <w:lvlText w:val="%1."/>
      <w:numFmt w:val="lowerLetter"/>
      <w:start w:val="3"/>
    </w:lvl>
  </w:abstractNum>
  <w:abstractNum w:abstractNumId="109">
    <w:nsid w:val="2A6DE806"/>
    <w:multiLevelType w:val="hybridMultilevel"/>
    <w:lvl w:ilvl="0">
      <w:lvlJc w:val="left"/>
      <w:lvlText w:val="/"/>
      <w:numFmt w:val="bullet"/>
      <w:start w:val="1"/>
    </w:lvl>
  </w:abstractNum>
  <w:abstractNum w:abstractNumId="110">
    <w:nsid w:val="1816F8C4"/>
    <w:multiLevelType w:val="hybridMultilevel"/>
    <w:lvl w:ilvl="0">
      <w:lvlJc w:val="left"/>
      <w:lvlText w:val="%1."/>
      <w:numFmt w:val="lowerLetter"/>
      <w:start w:val="1"/>
    </w:lvl>
  </w:abstractNum>
  <w:abstractNum w:abstractNumId="111">
    <w:nsid w:val="37DF2233"/>
    <w:multiLevelType w:val="hybridMultilevel"/>
    <w:lvl w:ilvl="0">
      <w:lvlJc w:val="left"/>
      <w:lvlText w:val="%1."/>
      <w:numFmt w:val="lowerLetter"/>
      <w:start w:val="1"/>
    </w:lvl>
  </w:abstractNum>
  <w:abstractNum w:abstractNumId="112">
    <w:nsid w:val="7AB49DAF"/>
    <w:multiLevelType w:val="hybridMultilevel"/>
    <w:lvl w:ilvl="0">
      <w:lvlJc w:val="left"/>
      <w:lvlText w:val="%1"/>
      <w:numFmt w:val="lowerLetter"/>
      <w:start w:val="39"/>
    </w:lvl>
  </w:abstractNum>
  <w:abstractNum w:abstractNumId="113">
    <w:nsid w:val="759F82CD"/>
    <w:multiLevelType w:val="hybridMultilevel"/>
    <w:lvl w:ilvl="0">
      <w:lvlJc w:val="left"/>
      <w:lvlText w:val="%1."/>
      <w:numFmt w:val="lowerLetter"/>
      <w:start w:val="1"/>
    </w:lvl>
  </w:abstractNum>
  <w:abstractNum w:abstractNumId="114">
    <w:nsid w:val="61E74EA3"/>
    <w:multiLevelType w:val="hybridMultilevel"/>
    <w:lvl w:ilvl="0">
      <w:lvlJc w:val="left"/>
      <w:lvlText w:val="%1."/>
      <w:numFmt w:val="lowerLetter"/>
      <w:start w:val="1"/>
    </w:lvl>
  </w:abstractNum>
  <w:abstractNum w:abstractNumId="115">
    <w:nsid w:val="597B4D84"/>
    <w:multiLevelType w:val="hybridMultilevel"/>
    <w:lvl w:ilvl="0">
      <w:lvlJc w:val="left"/>
      <w:lvlText w:val="%1."/>
      <w:numFmt w:val="lowerLetter"/>
      <w:start w:val="2"/>
    </w:lvl>
  </w:abstractNum>
  <w:abstractNum w:abstractNumId="116">
    <w:nsid w:val="F819E7F"/>
    <w:multiLevelType w:val="hybridMultilevel"/>
    <w:lvl w:ilvl="0">
      <w:lvlJc w:val="left"/>
      <w:lvlText w:val="%1)"/>
      <w:numFmt w:val="decimal"/>
      <w:start w:val="200"/>
    </w:lvl>
  </w:abstractNum>
  <w:abstractNum w:abstractNumId="117">
    <w:nsid w:val="57C7D42D"/>
    <w:multiLevelType w:val="hybridMultilevel"/>
    <w:lvl w:ilvl="0">
      <w:lvlJc w:val="left"/>
      <w:lvlText w:val="%1)"/>
      <w:numFmt w:val="decimal"/>
      <w:start w:val="2"/>
    </w:lvl>
  </w:abstractNum>
  <w:abstractNum w:abstractNumId="118">
    <w:nsid w:val="312167AD"/>
    <w:multiLevelType w:val="hybridMultilevel"/>
    <w:lvl w:ilvl="0">
      <w:lvlJc w:val="left"/>
      <w:lvlText w:val="%1."/>
      <w:numFmt w:val="lowerLetter"/>
      <w:start w:val="1"/>
    </w:lvl>
  </w:abstractNum>
  <w:abstractNum w:abstractNumId="119">
    <w:nsid w:val="631B64D4"/>
    <w:multiLevelType w:val="hybridMultilevel"/>
    <w:lvl w:ilvl="0">
      <w:lvlJc w:val="left"/>
      <w:lvlText w:val="%1."/>
      <w:numFmt w:val="lowerLetter"/>
      <w:start w:val="1"/>
    </w:lvl>
  </w:abstractNum>
  <w:abstractNum w:abstractNumId="120">
    <w:nsid w:val="78B5E776"/>
    <w:multiLevelType w:val="hybridMultilevel"/>
    <w:lvl w:ilvl="0">
      <w:lvlJc w:val="left"/>
      <w:lvlText w:val="%1."/>
      <w:numFmt w:val="lowerLetter"/>
      <w:start w:val="1"/>
    </w:lvl>
  </w:abstractNum>
  <w:abstractNum w:abstractNumId="121">
    <w:nsid w:val="75486E47"/>
    <w:multiLevelType w:val="hybridMultilevel"/>
    <w:lvl w:ilvl="0">
      <w:lvlJc w:val="left"/>
      <w:lvlText w:val="%1."/>
      <w:numFmt w:val="lowerLetter"/>
      <w:start w:val="1"/>
    </w:lvl>
  </w:abstractNum>
  <w:abstractNum w:abstractNumId="122">
    <w:nsid w:val="6E534CDE"/>
    <w:multiLevelType w:val="hybridMultilevel"/>
    <w:lvl w:ilvl="0">
      <w:lvlJc w:val="left"/>
      <w:lvlText w:val="(%1)"/>
      <w:numFmt w:val="decimal"/>
      <w:start w:val="3"/>
    </w:lvl>
  </w:abstractNum>
  <w:abstractNum w:abstractNumId="123">
    <w:nsid w:val="1A0DDE32"/>
    <w:multiLevelType w:val="hybridMultilevel"/>
    <w:lvl w:ilvl="0">
      <w:lvlJc w:val="left"/>
      <w:lvlText w:val="%1."/>
      <w:numFmt w:val="lowerLetter"/>
      <w:start w:val="1"/>
    </w:lvl>
  </w:abstractNum>
  <w:abstractNum w:abstractNumId="124">
    <w:nsid w:val="65968C1C"/>
    <w:multiLevelType w:val="hybridMultilevel"/>
    <w:lvl w:ilvl="0">
      <w:lvlJc w:val="left"/>
      <w:lvlText w:val="%1."/>
      <w:numFmt w:val="lowerLetter"/>
      <w:start w:val="2"/>
    </w:lvl>
  </w:abstractNum>
  <w:abstractNum w:abstractNumId="125">
    <w:nsid w:val="46263DEC"/>
    <w:multiLevelType w:val="hybridMultilevel"/>
    <w:lvl w:ilvl="0">
      <w:lvlJc w:val="left"/>
      <w:lvlText w:val="%1."/>
      <w:numFmt w:val="lowerLetter"/>
      <w:start w:val="1"/>
    </w:lvl>
  </w:abstractNum>
  <w:abstractNum w:abstractNumId="126">
    <w:nsid w:val="260D8C4A"/>
    <w:multiLevelType w:val="hybridMultilevel"/>
    <w:lvl w:ilvl="0">
      <w:lvlJc w:val="left"/>
      <w:lvlText w:val="%1."/>
      <w:numFmt w:val="lowerLetter"/>
      <w:start w:val="2"/>
    </w:lvl>
  </w:abstractNum>
  <w:abstractNum w:abstractNumId="127">
    <w:nsid w:val="73D4D3C4"/>
    <w:multiLevelType w:val="hybridMultilevel"/>
    <w:lvl w:ilvl="0">
      <w:lvlJc w:val="left"/>
      <w:lvlText w:val="%1."/>
      <w:numFmt w:val="decimal"/>
      <w:start w:val="1"/>
    </w:lvl>
    <w:lvl w:ilvl="1">
      <w:lvlJc w:val="left"/>
      <w:lvlText w:val="%2."/>
      <w:numFmt w:val="lowerLetter"/>
      <w:start w:val="1"/>
    </w:lvl>
    <w:lvl w:ilvl="2">
      <w:lvlJc w:val="left"/>
      <w:lvlText w:val="%3."/>
      <w:numFmt w:val="upperLetter"/>
      <w:start w:val="1"/>
    </w:lvl>
  </w:abstractNum>
  <w:abstractNum w:abstractNumId="128">
    <w:nsid w:val="746F2E30"/>
    <w:multiLevelType w:val="hybridMultilevel"/>
    <w:lvl w:ilvl="0">
      <w:lvlJc w:val="left"/>
      <w:lvlText w:val="%1"/>
      <w:numFmt w:val="decimal"/>
      <w:start w:val="1"/>
    </w:lvl>
    <w:lvl w:ilvl="1">
      <w:lvlJc w:val="left"/>
      <w:lvlText w:val="%2."/>
      <w:numFmt w:val="lowerLetter"/>
      <w:start w:val="2"/>
    </w:lvl>
  </w:abstractNum>
  <w:abstractNum w:abstractNumId="129">
    <w:nsid w:val="6FDE8AF6"/>
    <w:multiLevelType w:val="hybridMultilevel"/>
    <w:lvl w:ilvl="0">
      <w:lvlJc w:val="left"/>
      <w:lvlText w:val="%1."/>
      <w:numFmt w:val="decimal"/>
      <w:start w:val="2"/>
    </w:lvl>
    <w:lvl w:ilvl="1">
      <w:lvlJc w:val="left"/>
      <w:lvlText w:val="%2"/>
      <w:numFmt w:val="lowerLetter"/>
      <w:start w:val="1"/>
    </w:lvl>
  </w:abstractNum>
  <w:abstractNum w:abstractNumId="130">
    <w:nsid w:val="3FC32E20"/>
    <w:multiLevelType w:val="hybridMultilevel"/>
    <w:lvl w:ilvl="0">
      <w:lvlJc w:val="left"/>
      <w:lvlText w:val="%1."/>
      <w:numFmt w:val="lowerLetter"/>
      <w:start w:val="1"/>
    </w:lvl>
  </w:abstractNum>
  <w:abstractNum w:abstractNumId="131">
    <w:nsid w:val="49C0E823"/>
    <w:multiLevelType w:val="hybridMultilevel"/>
    <w:lvl w:ilvl="0">
      <w:lvlJc w:val="left"/>
      <w:lvlText w:val="%1."/>
      <w:numFmt w:val="decimal"/>
      <w:start w:val="3"/>
    </w:lvl>
  </w:abstractNum>
  <w:abstractNum w:abstractNumId="132">
    <w:nsid w:val="14D53685"/>
    <w:multiLevelType w:val="hybridMultilevel"/>
    <w:lvl w:ilvl="0">
      <w:lvlJc w:val="left"/>
      <w:lvlText w:val="%1"/>
      <w:numFmt w:val="decimal"/>
      <w:start w:val="1"/>
    </w:lvl>
    <w:lvl w:ilvl="1">
      <w:lvlJc w:val="left"/>
      <w:lvlText w:val="%2."/>
      <w:numFmt w:val="decimal"/>
      <w:start w:val="1"/>
    </w:lvl>
  </w:abstractNum>
  <w:abstractNum w:abstractNumId="133">
    <w:nsid w:val="230F856C"/>
    <w:multiLevelType w:val="hybridMultilevel"/>
    <w:lvl w:ilvl="0">
      <w:lvlJc w:val="left"/>
      <w:lvlText w:val="%1."/>
      <w:numFmt w:val="decimal"/>
      <w:start w:val="2"/>
    </w:lvl>
    <w:lvl w:ilvl="1">
      <w:lvlJc w:val="left"/>
      <w:lvlText w:val="%2"/>
      <w:numFmt w:val="decimal"/>
      <w:start w:val="1"/>
    </w:lvl>
  </w:abstractNum>
  <w:abstractNum w:abstractNumId="134">
    <w:nsid w:val="6EAA85FB"/>
    <w:multiLevelType w:val="hybridMultilevel"/>
    <w:lvl w:ilvl="0">
      <w:lvlJc w:val="left"/>
      <w:lvlText w:val="%1."/>
      <w:numFmt w:val="lowerLetter"/>
      <w:start w:val="1"/>
    </w:lvl>
  </w:abstractNum>
  <w:abstractNum w:abstractNumId="135">
    <w:nsid w:val="3F06ECB2"/>
    <w:multiLevelType w:val="hybridMultilevel"/>
    <w:lvl w:ilvl="0">
      <w:lvlJc w:val="left"/>
      <w:lvlText w:val="%1."/>
      <w:numFmt w:val="lowerLetter"/>
      <w:start w:val="3"/>
    </w:lvl>
  </w:abstractNum>
  <w:abstractNum w:abstractNumId="136">
    <w:nsid w:val="3B594807"/>
    <w:multiLevelType w:val="hybridMultilevel"/>
    <w:lvl w:ilvl="0">
      <w:lvlJc w:val="left"/>
      <w:lvlText w:val="%1."/>
      <w:numFmt w:val="lowerLetter"/>
      <w:start w:val="4"/>
    </w:lvl>
  </w:abstractNum>
  <w:abstractNum w:abstractNumId="137">
    <w:nsid w:val="6CAA2304"/>
    <w:multiLevelType w:val="hybridMultilevel"/>
    <w:lvl w:ilvl="0">
      <w:lvlJc w:val="left"/>
      <w:lvlText w:val="%1."/>
      <w:numFmt w:val="decimal"/>
      <w:start w:val="1"/>
    </w:lvl>
    <w:lvl w:ilvl="1">
      <w:lvlJc w:val="left"/>
      <w:lvlText w:val="%2."/>
      <w:numFmt w:val="decimal"/>
      <w:start w:val="2"/>
    </w:lvl>
  </w:abstractNum>
  <w:abstractNum w:abstractNumId="138">
    <w:nsid w:val="3F7C2FF4"/>
    <w:multiLevelType w:val="hybridMultilevel"/>
    <w:lvl w:ilvl="0">
      <w:lvlJc w:val="left"/>
      <w:lvlText w:val="%1."/>
      <w:numFmt w:val="decimal"/>
      <w:start w:val="4"/>
    </w:lvl>
  </w:abstractNum>
  <w:abstractNum w:abstractNumId="139">
    <w:nsid w:val="25413BEC"/>
    <w:multiLevelType w:val="hybridMultilevel"/>
    <w:lvl w:ilvl="0">
      <w:lvlJc w:val="left"/>
      <w:lvlText w:val="(%1)"/>
      <w:numFmt w:val="decimal"/>
      <w:start w:val="2"/>
    </w:lvl>
  </w:abstractNum>
  <w:abstractNum w:abstractNumId="140">
    <w:nsid w:val="17180B0B"/>
    <w:multiLevelType w:val="hybridMultilevel"/>
    <w:lvl w:ilvl="0">
      <w:lvlJc w:val="left"/>
      <w:lvlText w:val="(%1)"/>
      <w:numFmt w:val="decimal"/>
      <w:start w:val="2"/>
    </w:lvl>
  </w:abstractNum>
  <w:abstractNum w:abstractNumId="141">
    <w:nsid w:val="579328B9"/>
    <w:multiLevelType w:val="hybridMultilevel"/>
    <w:lvl w:ilvl="0">
      <w:lvlJc w:val="left"/>
      <w:lvlText w:val="%1."/>
      <w:numFmt w:val="decimal"/>
      <w:start w:val="1"/>
    </w:lvl>
  </w:abstractNum>
  <w:abstractNum w:abstractNumId="142">
    <w:nsid w:val="5D205E20"/>
    <w:multiLevelType w:val="hybridMultilevel"/>
    <w:lvl w:ilvl="0">
      <w:lvlJc w:val="left"/>
      <w:lvlText w:val="%1."/>
      <w:numFmt w:val="decimal"/>
      <w:start w:val="1"/>
    </w:lvl>
  </w:abstractNum>
  <w:abstractNum w:abstractNumId="143">
    <w:nsid w:val="11CCA8BA"/>
    <w:multiLevelType w:val="hybridMultilevel"/>
    <w:lvl w:ilvl="0">
      <w:lvlJc w:val="left"/>
      <w:lvlText w:val="%1."/>
      <w:numFmt w:val="decimal"/>
      <w:start w:val="3"/>
    </w:lvl>
  </w:abstractNum>
  <w:abstractNum w:abstractNumId="144">
    <w:nsid w:val="4D32AB86"/>
    <w:multiLevelType w:val="hybridMultilevel"/>
    <w:lvl w:ilvl="0">
      <w:lvlJc w:val="left"/>
      <w:lvlText w:val="%1."/>
      <w:numFmt w:val="decimal"/>
      <w:start w:val="1"/>
    </w:lvl>
  </w:abstractNum>
  <w:abstractNum w:abstractNumId="145">
    <w:nsid w:val="3F07ACC3"/>
    <w:multiLevelType w:val="hybridMultilevel"/>
    <w:lvl w:ilvl="0">
      <w:lvlJc w:val="left"/>
      <w:lvlText w:val="(%1)"/>
      <w:numFmt w:val="decimal"/>
      <w:start w:val="2"/>
    </w:lvl>
  </w:abstractNum>
  <w:abstractNum w:abstractNumId="146">
    <w:nsid w:val="6B47F63E"/>
    <w:multiLevelType w:val="hybridMultilevel"/>
    <w:lvl w:ilvl="0">
      <w:lvlJc w:val="left"/>
      <w:lvlText w:val="%1"/>
      <w:numFmt w:val="decimal"/>
      <w:start w:val="1"/>
    </w:lvl>
    <w:lvl w:ilvl="1">
      <w:lvlJc w:val="left"/>
      <w:lvlText w:val="%2."/>
      <w:numFmt w:val="lowerLetter"/>
      <w:start w:val="1"/>
    </w:lvl>
  </w:abstractNum>
  <w:abstractNum w:abstractNumId="147">
    <w:nsid w:val="5CB44A05"/>
    <w:multiLevelType w:val="hybridMultilevel"/>
    <w:lvl w:ilvl="0">
      <w:lvlJc w:val="left"/>
      <w:lvlText w:val="%1."/>
      <w:numFmt w:val="decimal"/>
      <w:start w:val="2"/>
    </w:lvl>
    <w:lvl w:ilvl="1">
      <w:lvlJc w:val="left"/>
      <w:lvlText w:val="%2"/>
      <w:numFmt w:val="lowerLetter"/>
      <w:start w:val="1"/>
    </w:lvl>
  </w:abstractNum>
  <w:abstractNum w:abstractNumId="148">
    <w:nsid w:val="16CF80F1"/>
    <w:multiLevelType w:val="hybridMultilevel"/>
    <w:lvl w:ilvl="0">
      <w:lvlJc w:val="left"/>
      <w:lvlText w:val="%1."/>
      <w:numFmt w:val="lowerLetter"/>
      <w:start w:val="1"/>
    </w:lvl>
  </w:abstractNum>
  <w:abstractNum w:abstractNumId="149">
    <w:nsid w:val="1C695DEC"/>
    <w:multiLevelType w:val="hybridMultilevel"/>
    <w:lvl w:ilvl="0">
      <w:lvlJc w:val="left"/>
      <w:lvlText w:val="%1."/>
      <w:numFmt w:val="decimal"/>
      <w:start w:val="1"/>
    </w:lvl>
  </w:abstractNum>
  <w:abstractNum w:abstractNumId="150">
    <w:nsid w:val="3FCFAED9"/>
    <w:multiLevelType w:val="hybridMultilevel"/>
    <w:lvl w:ilvl="0">
      <w:lvlJc w:val="left"/>
      <w:lvlText w:val="%1"/>
      <w:numFmt w:val="lowerLetter"/>
      <w:start w:val="1"/>
    </w:lvl>
    <w:lvl w:ilvl="1">
      <w:lvlJc w:val="left"/>
      <w:lvlText w:val="(%2)"/>
      <w:numFmt w:val="decimal"/>
      <w:start w:val="3"/>
    </w:lvl>
  </w:abstractNum>
  <w:abstractNum w:abstractNumId="151">
    <w:nsid w:val="F856867"/>
    <w:multiLevelType w:val="hybridMultilevel"/>
    <w:lvl w:ilvl="0">
      <w:lvlJc w:val="left"/>
      <w:lvlText w:val="%1."/>
      <w:numFmt w:val="lowerLetter"/>
      <w:start w:val="1"/>
    </w:lvl>
    <w:lvl w:ilvl="1">
      <w:lvlJc w:val="left"/>
      <w:lvlText w:val="%2"/>
      <w:numFmt w:val="decimal"/>
      <w:start w:val="1"/>
    </w:lvl>
  </w:abstractNum>
  <w:abstractNum w:abstractNumId="152">
    <w:nsid w:val="11B1CC33"/>
    <w:multiLevelType w:val="hybridMultilevel"/>
    <w:lvl w:ilvl="0">
      <w:lvlJc w:val="left"/>
      <w:lvlText w:val="%1."/>
      <w:numFmt w:val="lowerLetter"/>
      <w:start w:val="2"/>
    </w:lvl>
  </w:abstractNum>
  <w:abstractNum w:abstractNumId="153">
    <w:nsid w:val="2E22FBB7"/>
    <w:multiLevelType w:val="hybridMultilevel"/>
    <w:lvl w:ilvl="0">
      <w:lvlJc w:val="left"/>
      <w:lvlText w:val="%1."/>
      <w:numFmt w:val="lowerLetter"/>
      <w:start w:val="3"/>
    </w:lvl>
  </w:abstractNum>
  <w:abstractNum w:abstractNumId="154">
    <w:nsid w:val="29934699"/>
    <w:multiLevelType w:val="hybridMultilevel"/>
    <w:lvl w:ilvl="0">
      <w:lvlJc w:val="left"/>
      <w:lvlText w:val="%1."/>
      <w:numFmt w:val="decimal"/>
      <w:start w:val="1"/>
    </w:lvl>
  </w:abstractNum>
  <w:abstractNum w:abstractNumId="155">
    <w:nsid w:val="77485850"/>
    <w:multiLevelType w:val="hybridMultilevel"/>
    <w:lvl w:ilvl="0">
      <w:lvlJc w:val="left"/>
      <w:lvlText w:val="%1"/>
      <w:numFmt w:val="lowerLetter"/>
      <w:start w:val="1"/>
    </w:lvl>
    <w:lvl w:ilvl="1">
      <w:lvlJc w:val="left"/>
      <w:lvlText w:val="%2."/>
      <w:numFmt w:val="decimal"/>
      <w:start w:val="5"/>
    </w:lvl>
  </w:abstractNum>
  <w:abstractNum w:abstractNumId="156">
    <w:nsid w:val="744939A3"/>
    <w:multiLevelType w:val="hybridMultilevel"/>
    <w:lvl w:ilvl="0">
      <w:lvlJc w:val="left"/>
      <w:lvlText w:val="%1."/>
      <w:numFmt w:val="lowerLetter"/>
      <w:start w:val="2"/>
    </w:lvl>
    <w:lvl w:ilvl="1">
      <w:lvlJc w:val="left"/>
      <w:lvlText w:val="%2"/>
      <w:numFmt w:val="decimal"/>
      <w:start w:val="1"/>
    </w:lvl>
  </w:abstractNum>
  <w:abstractNum w:abstractNumId="157">
    <w:nsid w:val="4FA0D2E3"/>
    <w:multiLevelType w:val="hybridMultilevel"/>
    <w:lvl w:ilvl="0">
      <w:lvlJc w:val="left"/>
      <w:lvlText w:val="%1."/>
      <w:numFmt w:val="lowerLetter"/>
      <w:start w:val="9"/>
    </w:lvl>
  </w:abstractNum>
  <w:abstractNum w:abstractNumId="158">
    <w:nsid w:val="6B1D2C14"/>
    <w:multiLevelType w:val="hybridMultilevel"/>
    <w:lvl w:ilvl="0">
      <w:lvlJc w:val="left"/>
      <w:lvlText w:val="%1"/>
      <w:numFmt w:val="upperLetter"/>
      <w:start w:val="45"/>
    </w:lvl>
  </w:abstractNum>
  <w:abstractNum w:abstractNumId="159">
    <w:nsid w:val="68B867D3"/>
    <w:multiLevelType w:val="hybridMultilevel"/>
    <w:lvl w:ilvl="0">
      <w:lvlJc w:val="left"/>
      <w:lvlText w:val="%1"/>
      <w:numFmt w:val="upperLetter"/>
      <w:start w:val="45"/>
    </w:lvl>
  </w:abstractNum>
  <w:abstractNum w:abstractNumId="160">
    <w:nsid w:val="3F7F5DD9"/>
    <w:multiLevelType w:val="hybridMultilevel"/>
    <w:lvl w:ilvl="0">
      <w:lvlJc w:val="left"/>
      <w:lvlText w:val="%1"/>
      <w:numFmt w:val="upperLetter"/>
      <w:start w:val="45"/>
    </w:lvl>
  </w:abstractNum>
  <w:abstractNum w:abstractNumId="161">
    <w:nsid w:val="2AE05A34"/>
    <w:multiLevelType w:val="hybridMultilevel"/>
    <w:lvl w:ilvl="0">
      <w:lvlJc w:val="left"/>
      <w:lvlText w:val="%1"/>
      <w:numFmt w:val="upperLetter"/>
      <w:start w:val="45"/>
    </w:lvl>
  </w:abstractNum>
  <w:abstractNum w:abstractNumId="162">
    <w:nsid w:val="32794FF7"/>
    <w:multiLevelType w:val="hybridMultilevel"/>
    <w:lvl w:ilvl="0">
      <w:lvlJc w:val="left"/>
      <w:lvlText w:val="%1"/>
      <w:numFmt w:val="upperLetter"/>
      <w:start w:val="45"/>
    </w:lvl>
  </w:abstractNum>
  <w:abstractNum w:abstractNumId="163">
    <w:nsid w:val="5454945E"/>
    <w:multiLevelType w:val="hybridMultilevel"/>
    <w:lvl w:ilvl="0">
      <w:lvlJc w:val="left"/>
      <w:lvlText w:val="%1"/>
      <w:numFmt w:val="decimal"/>
      <w:start w:val="1"/>
    </w:lvl>
    <w:lvl w:ilvl="1">
      <w:lvlJc w:val="left"/>
      <w:lvlText w:val="(%2)"/>
      <w:numFmt w:val="lowerLetter"/>
      <w:start w:val="1"/>
    </w:lvl>
  </w:abstractNum>
  <w:abstractNum w:abstractNumId="164">
    <w:nsid w:val="4DEFDFA0"/>
    <w:multiLevelType w:val="hybridMultilevel"/>
    <w:lvl w:ilvl="0">
      <w:lvlJc w:val="left"/>
      <w:lvlText w:val="(%1)"/>
      <w:numFmt w:val="decimal"/>
      <w:start w:val="2"/>
    </w:lvl>
    <w:lvl w:ilvl="1">
      <w:lvlJc w:val="left"/>
      <w:lvlText w:val="%2"/>
      <w:numFmt w:val="lowerLetter"/>
      <w:start w:val="1"/>
    </w:lvl>
  </w:abstractNum>
  <w:abstractNum w:abstractNumId="165">
    <w:nsid w:val="2123D5F2"/>
    <w:multiLevelType w:val="hybridMultilevel"/>
    <w:lvl w:ilvl="0">
      <w:lvlJc w:val="left"/>
      <w:lvlText w:val="%1."/>
      <w:numFmt w:val="lowerLetter"/>
      <w:start w:val="1"/>
    </w:lvl>
  </w:abstractNum>
  <w:abstractNum w:abstractNumId="166">
    <w:nsid w:val="135B8110"/>
    <w:multiLevelType w:val="hybridMultilevel"/>
    <w:lvl w:ilvl="0">
      <w:lvlJc w:val="left"/>
      <w:lvlText w:val="%1."/>
      <w:numFmt w:val="lowerLetter"/>
      <w:start w:val="1"/>
    </w:lvl>
  </w:abstractNum>
  <w:abstractNum w:abstractNumId="167">
    <w:nsid w:val="94927A8"/>
    <w:multiLevelType w:val="hybridMultilevel"/>
    <w:lvl w:ilvl="0">
      <w:lvlJc w:val="left"/>
      <w:lvlText w:val="%1."/>
      <w:numFmt w:val="lowerLetter"/>
      <w:start w:val="2"/>
    </w:lvl>
  </w:abstractNum>
  <w:abstractNum w:abstractNumId="168">
    <w:nsid w:val="DCDF8F6"/>
    <w:multiLevelType w:val="hybridMultilevel"/>
    <w:lvl w:ilvl="0">
      <w:lvlJc w:val="left"/>
      <w:lvlText w:val="%1."/>
      <w:numFmt w:val="lowerLetter"/>
      <w:start w:val="5"/>
    </w:lvl>
  </w:abstractNum>
  <w:abstractNum w:abstractNumId="169">
    <w:nsid w:val="52D7B105"/>
    <w:multiLevelType w:val="hybridMultilevel"/>
    <w:lvl w:ilvl="0">
      <w:lvlJc w:val="left"/>
      <w:lvlText w:val="%1."/>
      <w:numFmt w:val="decimal"/>
      <w:start w:val="1"/>
    </w:lvl>
  </w:abstractNum>
  <w:abstractNum w:abstractNumId="170">
    <w:nsid w:val="2E8A6394"/>
    <w:multiLevelType w:val="hybridMultilevel"/>
    <w:lvl w:ilvl="0">
      <w:lvlJc w:val="left"/>
      <w:lvlText w:val="%1."/>
      <w:numFmt w:val="decimal"/>
      <w:start w:val="3"/>
    </w:lvl>
  </w:abstractNum>
  <w:abstractNum w:abstractNumId="171">
    <w:nsid w:val="24E60401"/>
    <w:multiLevelType w:val="hybridMultilevel"/>
    <w:lvl w:ilvl="0">
      <w:lvlJc w:val="left"/>
      <w:lvlText w:val="%1."/>
      <w:numFmt w:val="lowerLetter"/>
      <w:start w:val="1"/>
    </w:lvl>
  </w:abstractNum>
  <w:abstractNum w:abstractNumId="172">
    <w:nsid w:val="2A6AD9BE"/>
    <w:multiLevelType w:val="hybridMultilevel"/>
    <w:lvl w:ilvl="0">
      <w:lvlJc w:val="left"/>
      <w:lvlText w:val="%1."/>
      <w:numFmt w:val="lowerLetter"/>
      <w:start w:val="1"/>
    </w:lvl>
  </w:abstractNum>
  <w:abstractNum w:abstractNumId="173">
    <w:nsid w:val="BAAC1B4"/>
    <w:multiLevelType w:val="hybridMultilevel"/>
    <w:lvl w:ilvl="0">
      <w:lvlJc w:val="left"/>
      <w:lvlText w:val="%1."/>
      <w:numFmt w:val="lowerLetter"/>
      <w:start w:val="1"/>
    </w:lvl>
    <w:lvl w:ilvl="1">
      <w:lvlJc w:val="left"/>
      <w:lvlText w:val="%2"/>
      <w:numFmt w:val="upp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2020-05-27T05:27:04Z</dcterms:created>
  <dcterms:modified xsi:type="dcterms:W3CDTF">2020-05-27T05:27:04Z</dcterms:modified>
</cp:coreProperties>
</file>