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ind w:left="100"/>
        <w:spacing w:after="0"/>
        <w:tabs>
          <w:tab w:leader="none" w:pos="3640" w:val="left"/>
          <w:tab w:leader="none" w:pos="79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1</w:t>
      </w:r>
    </w:p>
    <w:p>
      <w:pPr>
        <w:sectPr>
          <w:pgSz w:w="12240" w:h="15840" w:orient="portrait"/>
          <w:cols w:equalWidth="0" w:num="1">
            <w:col w:w="9560"/>
          </w:cols>
          <w:pgMar w:left="1340" w:top="1062" w:right="1340" w:bottom="892" w:gutter="0" w:footer="0" w:header="0"/>
        </w:sectPr>
      </w:pPr>
    </w:p>
    <w:p>
      <w:pPr>
        <w:spacing w:after="0" w:line="239" w:lineRule="exact"/>
        <w:rPr>
          <w:sz w:val="24"/>
          <w:szCs w:val="24"/>
          <w:color w:val="auto"/>
        </w:rPr>
      </w:pPr>
    </w:p>
    <w:p>
      <w:pPr>
        <w:ind w:left="600"/>
        <w:spacing w:after="0"/>
        <w:rPr>
          <w:sz w:val="20"/>
          <w:szCs w:val="20"/>
          <w:color w:val="auto"/>
        </w:rPr>
      </w:pPr>
      <w:r>
        <w:rPr>
          <w:rFonts w:ascii="Times New Roman" w:cs="Times New Roman" w:eastAsia="Times New Roman" w:hAnsi="Times New Roman"/>
          <w:sz w:val="24"/>
          <w:szCs w:val="24"/>
          <w:b w:val="1"/>
          <w:bCs w:val="1"/>
          <w:i w:val="1"/>
          <w:iCs w:val="1"/>
          <w:color w:val="auto"/>
        </w:rPr>
        <w:t>CATEGORY 3 - ELECTRONICS</w:t>
      </w:r>
    </w:p>
    <w:p>
      <w:pPr>
        <w:spacing w:after="0" w:line="298" w:lineRule="exact"/>
        <w:rPr>
          <w:sz w:val="24"/>
          <w:szCs w:val="24"/>
          <w:color w:val="auto"/>
        </w:rPr>
      </w:pPr>
    </w:p>
    <w:p>
      <w:pPr>
        <w:ind w:left="320" w:right="320" w:firstLine="168"/>
        <w:spacing w:after="0" w:line="243" w:lineRule="auto"/>
        <w:tabs>
          <w:tab w:leader="none" w:pos="842" w:val="left"/>
        </w:tabs>
        <w:numPr>
          <w:ilvl w:val="0"/>
          <w:numId w:val="1"/>
        </w:numPr>
        <w:rPr>
          <w:rFonts w:ascii="Times New Roman" w:cs="Times New Roman" w:eastAsia="Times New Roman" w:hAnsi="Times New Roman"/>
          <w:sz w:val="23"/>
          <w:szCs w:val="23"/>
          <w:b w:val="1"/>
          <w:bCs w:val="1"/>
          <w:color w:val="auto"/>
        </w:rPr>
      </w:pPr>
      <w:r>
        <w:rPr>
          <w:rFonts w:ascii="Times New Roman" w:cs="Times New Roman" w:eastAsia="Times New Roman" w:hAnsi="Times New Roman"/>
          <w:sz w:val="21"/>
          <w:szCs w:val="21"/>
          <w:b w:val="1"/>
          <w:bCs w:val="1"/>
          <w:color w:val="auto"/>
        </w:rPr>
        <w:t>“END ITEMS,” “EQUIPMENT,” “ACCESSORIES,” “ATTACHMENTS,”</w:t>
      </w:r>
    </w:p>
    <w:p>
      <w:pPr>
        <w:spacing w:after="0" w:line="1" w:lineRule="exact"/>
        <w:rPr>
          <w:rFonts w:ascii="Times New Roman" w:cs="Times New Roman" w:eastAsia="Times New Roman" w:hAnsi="Times New Roman"/>
          <w:sz w:val="23"/>
          <w:szCs w:val="23"/>
          <w:b w:val="1"/>
          <w:bCs w:val="1"/>
          <w:color w:val="auto"/>
        </w:rPr>
      </w:pPr>
    </w:p>
    <w:p>
      <w:pPr>
        <w:ind w:left="540"/>
        <w:spacing w:after="0"/>
        <w:rPr>
          <w:rFonts w:ascii="Times New Roman" w:cs="Times New Roman" w:eastAsia="Times New Roman" w:hAnsi="Times New Roman"/>
          <w:sz w:val="23"/>
          <w:szCs w:val="23"/>
          <w:b w:val="1"/>
          <w:bCs w:val="1"/>
          <w:color w:val="auto"/>
        </w:rPr>
      </w:pPr>
      <w:r>
        <w:rPr>
          <w:rFonts w:ascii="Times New Roman" w:cs="Times New Roman" w:eastAsia="Times New Roman" w:hAnsi="Times New Roman"/>
          <w:sz w:val="22"/>
          <w:szCs w:val="22"/>
          <w:b w:val="1"/>
          <w:bCs w:val="1"/>
          <w:color w:val="auto"/>
        </w:rPr>
        <w:t>“PARTS,” “COMPONENTS,” AND</w:t>
      </w:r>
    </w:p>
    <w:p>
      <w:pPr>
        <w:ind w:left="1640"/>
        <w:spacing w:after="0"/>
        <w:rPr>
          <w:rFonts w:ascii="Times New Roman" w:cs="Times New Roman" w:eastAsia="Times New Roman" w:hAnsi="Times New Roman"/>
          <w:sz w:val="23"/>
          <w:szCs w:val="23"/>
          <w:b w:val="1"/>
          <w:bCs w:val="1"/>
          <w:color w:val="auto"/>
        </w:rPr>
      </w:pPr>
      <w:r>
        <w:rPr>
          <w:rFonts w:ascii="Times New Roman" w:cs="Times New Roman" w:eastAsia="Times New Roman" w:hAnsi="Times New Roman"/>
          <w:sz w:val="22"/>
          <w:szCs w:val="22"/>
          <w:b w:val="1"/>
          <w:bCs w:val="1"/>
          <w:color w:val="auto"/>
        </w:rPr>
        <w:t>“SYSTEMS”</w:t>
      </w:r>
    </w:p>
    <w:p>
      <w:pPr>
        <w:spacing w:after="0" w:line="270" w:lineRule="exact"/>
        <w:rPr>
          <w:sz w:val="24"/>
          <w:szCs w:val="24"/>
          <w:color w:val="auto"/>
        </w:rPr>
      </w:pPr>
    </w:p>
    <w:p>
      <w:pPr>
        <w:jc w:val="both"/>
        <w:ind w:left="100" w:right="100" w:firstLine="144"/>
        <w:spacing w:after="0" w:line="245"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The control status of equipment and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“components” described in 3A001 or 3A002, other than those described in 3A001.a.3 to 3A001.a.10, or 3A001.a.12 to 3A001.a.14, which are “specially designed” for or which have the same functional characteristics as other equipment is determined by the control status of the other equipment.</w:t>
      </w:r>
    </w:p>
    <w:p>
      <w:pPr>
        <w:spacing w:after="0" w:line="212" w:lineRule="exact"/>
        <w:rPr>
          <w:sz w:val="24"/>
          <w:szCs w:val="24"/>
          <w:color w:val="auto"/>
        </w:rPr>
      </w:pPr>
    </w:p>
    <w:p>
      <w:pPr>
        <w:jc w:val="both"/>
        <w:ind w:left="100" w:right="100" w:firstLine="144"/>
        <w:spacing w:after="0" w:line="245"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2: </w:t>
      </w:r>
      <w:r>
        <w:rPr>
          <w:rFonts w:ascii="Times New Roman" w:cs="Times New Roman" w:eastAsia="Times New Roman" w:hAnsi="Times New Roman"/>
          <w:sz w:val="22"/>
          <w:szCs w:val="22"/>
          <w:i w:val="1"/>
          <w:iCs w:val="1"/>
          <w:color w:val="auto"/>
        </w:rPr>
        <w:t>The control status of integrated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circuits described in 3A001.a.3 to 3A001.a.9, or 3A001.a.12 to 3A001.a.14, which are unalterably programmed or designed for a specific function for other equipment is determined by the control status of the other equipment.</w:t>
      </w:r>
    </w:p>
    <w:p>
      <w:pPr>
        <w:spacing w:after="0" w:line="215" w:lineRule="exact"/>
        <w:rPr>
          <w:sz w:val="24"/>
          <w:szCs w:val="24"/>
          <w:color w:val="auto"/>
        </w:rPr>
      </w:pPr>
    </w:p>
    <w:p>
      <w:pPr>
        <w:jc w:val="both"/>
        <w:ind w:left="100" w:right="100" w:firstLine="144"/>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w:t>
      </w:r>
      <w:r>
        <w:rPr>
          <w:rFonts w:ascii="Times New Roman" w:cs="Times New Roman" w:eastAsia="Times New Roman" w:hAnsi="Times New Roman"/>
          <w:sz w:val="22"/>
          <w:szCs w:val="22"/>
          <w:i w:val="1"/>
          <w:iCs w:val="1"/>
          <w:color w:val="auto"/>
        </w:rPr>
        <w:t>When the manufacturer or applicant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cannot determine the control status of the other equipment, the control status of the integrated circuits is determined in 3A001.a.3 to 3A001.a.9, and 3A001.a.12 to 3A001.a.14.</w:t>
      </w:r>
    </w:p>
    <w:p>
      <w:pPr>
        <w:spacing w:after="0" w:line="200" w:lineRule="exact"/>
        <w:rPr>
          <w:sz w:val="24"/>
          <w:szCs w:val="24"/>
          <w:color w:val="auto"/>
        </w:rPr>
      </w:pPr>
    </w:p>
    <w:p>
      <w:pPr>
        <w:spacing w:after="0" w:line="261" w:lineRule="exact"/>
        <w:rPr>
          <w:sz w:val="24"/>
          <w:szCs w:val="24"/>
          <w:color w:val="auto"/>
        </w:rPr>
      </w:pPr>
    </w:p>
    <w:p>
      <w:pPr>
        <w:jc w:val="both"/>
        <w:ind w:left="100" w:right="100"/>
        <w:spacing w:after="0" w:line="274" w:lineRule="auto"/>
        <w:rPr>
          <w:sz w:val="20"/>
          <w:szCs w:val="20"/>
          <w:color w:val="auto"/>
        </w:rPr>
      </w:pPr>
      <w:r>
        <w:rPr>
          <w:rFonts w:ascii="Times New Roman" w:cs="Times New Roman" w:eastAsia="Times New Roman" w:hAnsi="Times New Roman"/>
          <w:sz w:val="22"/>
          <w:szCs w:val="22"/>
          <w:b w:val="1"/>
          <w:bCs w:val="1"/>
          <w:color w:val="auto"/>
        </w:rPr>
        <w:t>3A001 Electronic items as follows (see List of Items Controlled).</w:t>
      </w:r>
    </w:p>
    <w:p>
      <w:pPr>
        <w:spacing w:after="0" w:line="178" w:lineRule="exact"/>
        <w:rPr>
          <w:sz w:val="24"/>
          <w:szCs w:val="24"/>
          <w:color w:val="auto"/>
        </w:rPr>
      </w:pPr>
    </w:p>
    <w:p>
      <w:pPr>
        <w:ind w:left="240"/>
        <w:spacing w:after="0"/>
        <w:rPr>
          <w:sz w:val="20"/>
          <w:szCs w:val="20"/>
          <w:color w:val="auto"/>
        </w:rPr>
      </w:pPr>
      <w:r>
        <w:rPr>
          <w:rFonts w:ascii="Times New Roman" w:cs="Times New Roman" w:eastAsia="Times New Roman" w:hAnsi="Times New Roman"/>
          <w:sz w:val="22"/>
          <w:szCs w:val="22"/>
          <w:b w:val="1"/>
          <w:bCs w:val="1"/>
          <w:i w:val="1"/>
          <w:iCs w:val="1"/>
          <w:color w:val="auto"/>
        </w:rPr>
        <w:t>Reason for Control</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color w:val="auto"/>
        </w:rPr>
        <w:t>NS, RS, MT, NP, AT</w:t>
      </w:r>
    </w:p>
    <w:p>
      <w:pPr>
        <w:spacing w:after="0" w:line="250" w:lineRule="exact"/>
        <w:rPr>
          <w:sz w:val="24"/>
          <w:szCs w:val="24"/>
          <w:color w:val="auto"/>
        </w:rPr>
      </w:pPr>
    </w:p>
    <w:tbl>
      <w:tblPr>
        <w:tblLayout w:type="fixed"/>
        <w:tblInd w:w="10" w:type="dxa"/>
        <w:tblCellMar>
          <w:top w:w="0" w:type="dxa"/>
          <w:left w:w="0" w:type="dxa"/>
          <w:bottom w:w="0" w:type="dxa"/>
          <w:right w:w="0" w:type="dxa"/>
        </w:tblCellMar>
      </w:tblPr>
      <w:tr>
        <w:trPr>
          <w:trHeight w:val="249"/>
        </w:trPr>
        <w:tc>
          <w:tcPr>
            <w:tcW w:w="620" w:type="dxa"/>
            <w:vAlign w:val="bottom"/>
            <w:tcBorders>
              <w:top w:val="single" w:sz="8" w:color="auto"/>
              <w:left w:val="single" w:sz="8" w:color="auto"/>
            </w:tcBorders>
          </w:tcPr>
          <w:p>
            <w:pPr>
              <w:spacing w:after="0"/>
              <w:rPr>
                <w:sz w:val="21"/>
                <w:szCs w:val="21"/>
                <w:color w:val="auto"/>
              </w:rPr>
            </w:pPr>
          </w:p>
        </w:tc>
        <w:tc>
          <w:tcPr>
            <w:tcW w:w="1460" w:type="dxa"/>
            <w:vAlign w:val="bottom"/>
            <w:tcBorders>
              <w:top w:val="single" w:sz="8" w:color="auto"/>
            </w:tcBorders>
            <w:gridSpan w:val="2"/>
            <w:vMerge w:val="restart"/>
          </w:tcPr>
          <w:p>
            <w:pPr>
              <w:ind w:left="1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60" w:type="dxa"/>
            <w:vAlign w:val="bottom"/>
            <w:tcBorders>
              <w:top w:val="single" w:sz="8" w:color="auto"/>
              <w:right w:val="single" w:sz="8" w:color="auto"/>
            </w:tcBorders>
          </w:tcPr>
          <w:p>
            <w:pPr>
              <w:spacing w:after="0"/>
              <w:rPr>
                <w:sz w:val="21"/>
                <w:szCs w:val="21"/>
                <w:color w:val="auto"/>
              </w:rPr>
            </w:pPr>
          </w:p>
        </w:tc>
        <w:tc>
          <w:tcPr>
            <w:tcW w:w="2180" w:type="dxa"/>
            <w:vAlign w:val="bottom"/>
            <w:tcBorders>
              <w:top w:val="single" w:sz="8" w:color="auto"/>
              <w:right w:val="single" w:sz="8" w:color="auto"/>
            </w:tcBorders>
          </w:tcPr>
          <w:p>
            <w:pPr>
              <w:ind w:left="220"/>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 (See</w:t>
            </w:r>
          </w:p>
        </w:tc>
        <w:tc>
          <w:tcPr>
            <w:tcW w:w="0" w:type="dxa"/>
            <w:vAlign w:val="bottom"/>
          </w:tcPr>
          <w:p>
            <w:pPr>
              <w:spacing w:after="0"/>
              <w:rPr>
                <w:sz w:val="1"/>
                <w:szCs w:val="1"/>
                <w:color w:val="auto"/>
              </w:rPr>
            </w:pPr>
          </w:p>
        </w:tc>
      </w:tr>
      <w:tr>
        <w:trPr>
          <w:trHeight w:val="164"/>
        </w:trPr>
        <w:tc>
          <w:tcPr>
            <w:tcW w:w="620" w:type="dxa"/>
            <w:vAlign w:val="bottom"/>
            <w:tcBorders>
              <w:left w:val="single" w:sz="8" w:color="auto"/>
            </w:tcBorders>
          </w:tcPr>
          <w:p>
            <w:pPr>
              <w:spacing w:after="0"/>
              <w:rPr>
                <w:sz w:val="14"/>
                <w:szCs w:val="14"/>
                <w:color w:val="auto"/>
              </w:rPr>
            </w:pPr>
          </w:p>
        </w:tc>
        <w:tc>
          <w:tcPr>
            <w:tcW w:w="1460" w:type="dxa"/>
            <w:vAlign w:val="bottom"/>
            <w:gridSpan w:val="2"/>
            <w:vMerge w:val="continue"/>
          </w:tcPr>
          <w:p>
            <w:pPr>
              <w:spacing w:after="0"/>
              <w:rPr>
                <w:sz w:val="14"/>
                <w:szCs w:val="14"/>
                <w:color w:val="auto"/>
              </w:rPr>
            </w:pPr>
          </w:p>
        </w:tc>
        <w:tc>
          <w:tcPr>
            <w:tcW w:w="260" w:type="dxa"/>
            <w:vAlign w:val="bottom"/>
            <w:tcBorders>
              <w:right w:val="single" w:sz="8" w:color="auto"/>
            </w:tcBorders>
          </w:tcPr>
          <w:p>
            <w:pPr>
              <w:spacing w:after="0"/>
              <w:rPr>
                <w:sz w:val="14"/>
                <w:szCs w:val="14"/>
                <w:color w:val="auto"/>
              </w:rPr>
            </w:pPr>
          </w:p>
        </w:tc>
        <w:tc>
          <w:tcPr>
            <w:tcW w:w="2180" w:type="dxa"/>
            <w:vAlign w:val="bottom"/>
            <w:tcBorders>
              <w:right w:val="single" w:sz="8" w:color="auto"/>
            </w:tcBorders>
            <w:vMerge w:val="restart"/>
          </w:tcPr>
          <w:p>
            <w:pPr>
              <w:ind w:left="20"/>
              <w:spacing w:after="0"/>
              <w:rPr>
                <w:sz w:val="20"/>
                <w:szCs w:val="20"/>
                <w:color w:val="auto"/>
              </w:rPr>
            </w:pPr>
            <w:r>
              <w:rPr>
                <w:rFonts w:ascii="Times New Roman" w:cs="Times New Roman" w:eastAsia="Times New Roman" w:hAnsi="Times New Roman"/>
                <w:sz w:val="22"/>
                <w:szCs w:val="22"/>
                <w:i w:val="1"/>
                <w:iCs w:val="1"/>
                <w:color w:val="auto"/>
                <w:w w:val="99"/>
              </w:rPr>
              <w:t>Supp. No. 1 to part 738)</w:t>
            </w:r>
          </w:p>
        </w:tc>
        <w:tc>
          <w:tcPr>
            <w:tcW w:w="0" w:type="dxa"/>
            <w:vAlign w:val="bottom"/>
          </w:tcPr>
          <w:p>
            <w:pPr>
              <w:spacing w:after="0"/>
              <w:rPr>
                <w:sz w:val="1"/>
                <w:szCs w:val="1"/>
                <w:color w:val="auto"/>
              </w:rPr>
            </w:pPr>
          </w:p>
        </w:tc>
      </w:tr>
      <w:tr>
        <w:trPr>
          <w:trHeight w:val="108"/>
        </w:trPr>
        <w:tc>
          <w:tcPr>
            <w:tcW w:w="620" w:type="dxa"/>
            <w:vAlign w:val="bottom"/>
            <w:tcBorders>
              <w:left w:val="single" w:sz="8" w:color="auto"/>
              <w:bottom w:val="single" w:sz="8" w:color="auto"/>
            </w:tcBorders>
          </w:tcPr>
          <w:p>
            <w:pPr>
              <w:spacing w:after="0"/>
              <w:rPr>
                <w:sz w:val="9"/>
                <w:szCs w:val="9"/>
                <w:color w:val="auto"/>
              </w:rPr>
            </w:pPr>
          </w:p>
        </w:tc>
        <w:tc>
          <w:tcPr>
            <w:tcW w:w="480" w:type="dxa"/>
            <w:vAlign w:val="bottom"/>
            <w:tcBorders>
              <w:bottom w:val="single" w:sz="8" w:color="auto"/>
            </w:tcBorders>
          </w:tcPr>
          <w:p>
            <w:pPr>
              <w:spacing w:after="0"/>
              <w:rPr>
                <w:sz w:val="9"/>
                <w:szCs w:val="9"/>
                <w:color w:val="auto"/>
              </w:rPr>
            </w:pPr>
          </w:p>
        </w:tc>
        <w:tc>
          <w:tcPr>
            <w:tcW w:w="980" w:type="dxa"/>
            <w:vAlign w:val="bottom"/>
            <w:tcBorders>
              <w:bottom w:val="single" w:sz="8" w:color="auto"/>
            </w:tcBorders>
          </w:tcPr>
          <w:p>
            <w:pPr>
              <w:spacing w:after="0"/>
              <w:rPr>
                <w:sz w:val="9"/>
                <w:szCs w:val="9"/>
                <w:color w:val="auto"/>
              </w:rPr>
            </w:pPr>
          </w:p>
        </w:tc>
        <w:tc>
          <w:tcPr>
            <w:tcW w:w="260" w:type="dxa"/>
            <w:vAlign w:val="bottom"/>
            <w:tcBorders>
              <w:bottom w:val="single" w:sz="8" w:color="auto"/>
              <w:right w:val="single" w:sz="8" w:color="auto"/>
            </w:tcBorders>
          </w:tcPr>
          <w:p>
            <w:pPr>
              <w:spacing w:after="0"/>
              <w:rPr>
                <w:sz w:val="9"/>
                <w:szCs w:val="9"/>
                <w:color w:val="auto"/>
              </w:rPr>
            </w:pPr>
          </w:p>
        </w:tc>
        <w:tc>
          <w:tcPr>
            <w:tcW w:w="2180" w:type="dxa"/>
            <w:vAlign w:val="bottom"/>
            <w:tcBorders>
              <w:bottom w:val="single" w:sz="8" w:color="auto"/>
              <w:right w:val="single" w:sz="8" w:color="auto"/>
            </w:tcBorders>
            <w:vMerge w:val="continue"/>
          </w:tcPr>
          <w:p>
            <w:pPr>
              <w:spacing w:after="0"/>
              <w:rPr>
                <w:sz w:val="9"/>
                <w:szCs w:val="9"/>
                <w:color w:val="auto"/>
              </w:rPr>
            </w:pPr>
          </w:p>
        </w:tc>
        <w:tc>
          <w:tcPr>
            <w:tcW w:w="0" w:type="dxa"/>
            <w:vAlign w:val="bottom"/>
          </w:tcPr>
          <w:p>
            <w:pPr>
              <w:spacing w:after="0"/>
              <w:rPr>
                <w:sz w:val="1"/>
                <w:szCs w:val="1"/>
                <w:color w:val="auto"/>
              </w:rPr>
            </w:pPr>
          </w:p>
        </w:tc>
      </w:tr>
      <w:tr>
        <w:trPr>
          <w:trHeight w:val="227"/>
        </w:trPr>
        <w:tc>
          <w:tcPr>
            <w:tcW w:w="620" w:type="dxa"/>
            <w:vAlign w:val="bottom"/>
            <w:tcBorders>
              <w:left w:val="single" w:sz="8" w:color="auto"/>
            </w:tcBorders>
          </w:tcPr>
          <w:p>
            <w:pPr>
              <w:ind w:left="20"/>
              <w:spacing w:after="0" w:line="227" w:lineRule="exact"/>
              <w:rPr>
                <w:sz w:val="20"/>
                <w:szCs w:val="20"/>
                <w:color w:val="auto"/>
              </w:rPr>
            </w:pPr>
            <w:r>
              <w:rPr>
                <w:rFonts w:ascii="Times New Roman" w:cs="Times New Roman" w:eastAsia="Times New Roman" w:hAnsi="Times New Roman"/>
                <w:sz w:val="22"/>
                <w:szCs w:val="22"/>
                <w:color w:val="auto"/>
              </w:rPr>
              <w:t>NS</w:t>
            </w:r>
          </w:p>
        </w:tc>
        <w:tc>
          <w:tcPr>
            <w:tcW w:w="1460" w:type="dxa"/>
            <w:vAlign w:val="bottom"/>
            <w:gridSpan w:val="2"/>
          </w:tcPr>
          <w:p>
            <w:pPr>
              <w:ind w:left="300"/>
              <w:spacing w:after="0" w:line="227" w:lineRule="exact"/>
              <w:rPr>
                <w:sz w:val="20"/>
                <w:szCs w:val="20"/>
                <w:color w:val="auto"/>
              </w:rPr>
            </w:pPr>
            <w:r>
              <w:rPr>
                <w:rFonts w:ascii="Times New Roman" w:cs="Times New Roman" w:eastAsia="Times New Roman" w:hAnsi="Times New Roman"/>
                <w:sz w:val="22"/>
                <w:szCs w:val="22"/>
                <w:color w:val="auto"/>
              </w:rPr>
              <w:t>applies</w:t>
            </w:r>
          </w:p>
        </w:tc>
        <w:tc>
          <w:tcPr>
            <w:tcW w:w="260" w:type="dxa"/>
            <w:vAlign w:val="bottom"/>
            <w:tcBorders>
              <w:right w:val="single" w:sz="8" w:color="auto"/>
            </w:tcBorders>
          </w:tcPr>
          <w:p>
            <w:pPr>
              <w:jc w:val="right"/>
              <w:spacing w:after="0" w:line="227" w:lineRule="exact"/>
              <w:rPr>
                <w:sz w:val="20"/>
                <w:szCs w:val="20"/>
                <w:color w:val="auto"/>
              </w:rPr>
            </w:pPr>
            <w:r>
              <w:rPr>
                <w:rFonts w:ascii="Times New Roman" w:cs="Times New Roman" w:eastAsia="Times New Roman" w:hAnsi="Times New Roman"/>
                <w:sz w:val="22"/>
                <w:szCs w:val="22"/>
                <w:color w:val="auto"/>
              </w:rPr>
              <w:t>to</w:t>
            </w:r>
          </w:p>
        </w:tc>
        <w:tc>
          <w:tcPr>
            <w:tcW w:w="2180" w:type="dxa"/>
            <w:vAlign w:val="bottom"/>
            <w:tcBorders>
              <w:right w:val="single" w:sz="8" w:color="auto"/>
            </w:tcBorders>
          </w:tcPr>
          <w:p>
            <w:pPr>
              <w:spacing w:after="0" w:line="227" w:lineRule="exact"/>
              <w:rPr>
                <w:sz w:val="20"/>
                <w:szCs w:val="20"/>
                <w:color w:val="auto"/>
              </w:rPr>
            </w:pPr>
            <w:r>
              <w:rPr>
                <w:rFonts w:ascii="Times New Roman" w:cs="Times New Roman" w:eastAsia="Times New Roman" w:hAnsi="Times New Roman"/>
                <w:sz w:val="22"/>
                <w:szCs w:val="22"/>
                <w:color w:val="auto"/>
              </w:rPr>
              <w:t>NS Column 1</w:t>
            </w:r>
          </w:p>
        </w:tc>
        <w:tc>
          <w:tcPr>
            <w:tcW w:w="0" w:type="dxa"/>
            <w:vAlign w:val="bottom"/>
          </w:tcPr>
          <w:p>
            <w:pPr>
              <w:spacing w:after="0"/>
              <w:rPr>
                <w:sz w:val="1"/>
                <w:szCs w:val="1"/>
                <w:color w:val="auto"/>
              </w:rPr>
            </w:pPr>
          </w:p>
        </w:tc>
      </w:tr>
      <w:tr>
        <w:trPr>
          <w:trHeight w:val="253"/>
        </w:trPr>
        <w:tc>
          <w:tcPr>
            <w:tcW w:w="1100" w:type="dxa"/>
            <w:vAlign w:val="bottom"/>
            <w:tcBorders>
              <w:lef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w w:val="98"/>
              </w:rPr>
              <w:t>“Monolithic</w:t>
            </w:r>
          </w:p>
        </w:tc>
        <w:tc>
          <w:tcPr>
            <w:tcW w:w="1240" w:type="dxa"/>
            <w:vAlign w:val="bottom"/>
            <w:tcBorders>
              <w:right w:val="single" w:sz="8" w:color="auto"/>
            </w:tcBorders>
            <w:gridSpan w:val="2"/>
          </w:tcPr>
          <w:p>
            <w:pPr>
              <w:jc w:val="right"/>
              <w:spacing w:after="0"/>
              <w:rPr>
                <w:sz w:val="20"/>
                <w:szCs w:val="20"/>
                <w:color w:val="auto"/>
              </w:rPr>
            </w:pPr>
            <w:r>
              <w:rPr>
                <w:rFonts w:ascii="Times New Roman" w:cs="Times New Roman" w:eastAsia="Times New Roman" w:hAnsi="Times New Roman"/>
                <w:sz w:val="22"/>
                <w:szCs w:val="22"/>
                <w:color w:val="auto"/>
              </w:rPr>
              <w:t>Microwave</w:t>
            </w:r>
          </w:p>
        </w:tc>
        <w:tc>
          <w:tcPr>
            <w:tcW w:w="218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1100" w:type="dxa"/>
            <w:vAlign w:val="bottom"/>
            <w:tcBorders>
              <w:lef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Integrated</w:t>
            </w:r>
          </w:p>
        </w:tc>
        <w:tc>
          <w:tcPr>
            <w:tcW w:w="1240" w:type="dxa"/>
            <w:vAlign w:val="bottom"/>
            <w:tcBorders>
              <w:right w:val="single" w:sz="8" w:color="auto"/>
            </w:tcBorders>
            <w:gridSpan w:val="2"/>
          </w:tcPr>
          <w:p>
            <w:pPr>
              <w:jc w:val="right"/>
              <w:spacing w:after="0"/>
              <w:rPr>
                <w:sz w:val="20"/>
                <w:szCs w:val="20"/>
                <w:color w:val="auto"/>
              </w:rPr>
            </w:pPr>
            <w:r>
              <w:rPr>
                <w:rFonts w:ascii="Times New Roman" w:cs="Times New Roman" w:eastAsia="Times New Roman" w:hAnsi="Times New Roman"/>
                <w:sz w:val="22"/>
                <w:szCs w:val="22"/>
                <w:color w:val="auto"/>
              </w:rPr>
              <w:t>Circuit”</w:t>
            </w:r>
          </w:p>
        </w:tc>
        <w:tc>
          <w:tcPr>
            <w:tcW w:w="218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2"/>
        </w:trPr>
        <w:tc>
          <w:tcPr>
            <w:tcW w:w="1100" w:type="dxa"/>
            <w:vAlign w:val="bottom"/>
            <w:tcBorders>
              <w:lef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(“MMIC”)</w:t>
            </w:r>
          </w:p>
        </w:tc>
        <w:tc>
          <w:tcPr>
            <w:tcW w:w="980" w:type="dxa"/>
            <w:vAlign w:val="bottom"/>
          </w:tcPr>
          <w:p>
            <w:pPr>
              <w:ind w:left="20"/>
              <w:spacing w:after="0"/>
              <w:rPr>
                <w:sz w:val="20"/>
                <w:szCs w:val="20"/>
                <w:color w:val="auto"/>
              </w:rPr>
            </w:pPr>
            <w:r>
              <w:rPr>
                <w:rFonts w:ascii="Times New Roman" w:cs="Times New Roman" w:eastAsia="Times New Roman" w:hAnsi="Times New Roman"/>
                <w:sz w:val="22"/>
                <w:szCs w:val="22"/>
                <w:color w:val="auto"/>
              </w:rPr>
              <w:t>amplifiers</w:t>
            </w:r>
          </w:p>
        </w:tc>
        <w:tc>
          <w:tcPr>
            <w:tcW w:w="26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in</w:t>
            </w:r>
          </w:p>
        </w:tc>
        <w:tc>
          <w:tcPr>
            <w:tcW w:w="218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1100" w:type="dxa"/>
            <w:vAlign w:val="bottom"/>
            <w:tcBorders>
              <w:lef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3A001.b.2</w:t>
            </w:r>
          </w:p>
        </w:tc>
        <w:tc>
          <w:tcPr>
            <w:tcW w:w="1240" w:type="dxa"/>
            <w:vAlign w:val="bottom"/>
            <w:tcBorders>
              <w:right w:val="single" w:sz="8" w:color="auto"/>
            </w:tcBorders>
            <w:gridSpan w:val="2"/>
          </w:tcPr>
          <w:p>
            <w:pPr>
              <w:jc w:val="right"/>
              <w:spacing w:after="0"/>
              <w:rPr>
                <w:sz w:val="20"/>
                <w:szCs w:val="20"/>
                <w:color w:val="auto"/>
              </w:rPr>
            </w:pPr>
            <w:r>
              <w:rPr>
                <w:rFonts w:ascii="Times New Roman" w:cs="Times New Roman" w:eastAsia="Times New Roman" w:hAnsi="Times New Roman"/>
                <w:sz w:val="22"/>
                <w:szCs w:val="22"/>
                <w:color w:val="auto"/>
              </w:rPr>
              <w:t>and  discrete</w:t>
            </w:r>
          </w:p>
        </w:tc>
        <w:tc>
          <w:tcPr>
            <w:tcW w:w="218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1100" w:type="dxa"/>
            <w:vAlign w:val="bottom"/>
            <w:tcBorders>
              <w:lef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microwave</w:t>
            </w:r>
          </w:p>
        </w:tc>
        <w:tc>
          <w:tcPr>
            <w:tcW w:w="980" w:type="dxa"/>
            <w:vAlign w:val="bottom"/>
          </w:tcPr>
          <w:p>
            <w:pPr>
              <w:ind w:left="20"/>
              <w:spacing w:after="0"/>
              <w:rPr>
                <w:sz w:val="20"/>
                <w:szCs w:val="20"/>
                <w:color w:val="auto"/>
              </w:rPr>
            </w:pPr>
            <w:r>
              <w:rPr>
                <w:rFonts w:ascii="Times New Roman" w:cs="Times New Roman" w:eastAsia="Times New Roman" w:hAnsi="Times New Roman"/>
                <w:sz w:val="22"/>
                <w:szCs w:val="22"/>
                <w:color w:val="auto"/>
              </w:rPr>
              <w:t>transistors</w:t>
            </w:r>
          </w:p>
        </w:tc>
        <w:tc>
          <w:tcPr>
            <w:tcW w:w="26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in</w:t>
            </w:r>
          </w:p>
        </w:tc>
        <w:tc>
          <w:tcPr>
            <w:tcW w:w="218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1100" w:type="dxa"/>
            <w:vAlign w:val="bottom"/>
            <w:tcBorders>
              <w:lef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3A001.b.3,</w:t>
            </w:r>
          </w:p>
        </w:tc>
        <w:tc>
          <w:tcPr>
            <w:tcW w:w="1240" w:type="dxa"/>
            <w:vAlign w:val="bottom"/>
            <w:tcBorders>
              <w:right w:val="single" w:sz="8" w:color="auto"/>
            </w:tcBorders>
            <w:gridSpan w:val="2"/>
          </w:tcPr>
          <w:p>
            <w:pPr>
              <w:jc w:val="right"/>
              <w:spacing w:after="0"/>
              <w:rPr>
                <w:sz w:val="20"/>
                <w:szCs w:val="20"/>
                <w:color w:val="auto"/>
              </w:rPr>
            </w:pPr>
            <w:r>
              <w:rPr>
                <w:rFonts w:ascii="Times New Roman" w:cs="Times New Roman" w:eastAsia="Times New Roman" w:hAnsi="Times New Roman"/>
                <w:sz w:val="22"/>
                <w:szCs w:val="22"/>
                <w:color w:val="auto"/>
              </w:rPr>
              <w:t>except those</w:t>
            </w:r>
          </w:p>
        </w:tc>
        <w:tc>
          <w:tcPr>
            <w:tcW w:w="218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2340" w:type="dxa"/>
            <w:vAlign w:val="bottom"/>
            <w:tcBorders>
              <w:left w:val="single" w:sz="8" w:color="auto"/>
              <w:right w:val="single" w:sz="8" w:color="auto"/>
            </w:tcBorders>
            <w:gridSpan w:val="4"/>
          </w:tcPr>
          <w:p>
            <w:pPr>
              <w:ind w:left="20"/>
              <w:spacing w:after="0"/>
              <w:rPr>
                <w:sz w:val="20"/>
                <w:szCs w:val="20"/>
                <w:color w:val="auto"/>
              </w:rPr>
            </w:pPr>
            <w:r>
              <w:rPr>
                <w:rFonts w:ascii="Times New Roman" w:cs="Times New Roman" w:eastAsia="Times New Roman" w:hAnsi="Times New Roman"/>
                <w:sz w:val="22"/>
                <w:szCs w:val="22"/>
                <w:color w:val="auto"/>
              </w:rPr>
              <w:t>3A001.b.2 and b.3 items</w:t>
            </w:r>
          </w:p>
        </w:tc>
        <w:tc>
          <w:tcPr>
            <w:tcW w:w="218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2"/>
        </w:trPr>
        <w:tc>
          <w:tcPr>
            <w:tcW w:w="62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being</w:t>
            </w:r>
          </w:p>
        </w:tc>
        <w:tc>
          <w:tcPr>
            <w:tcW w:w="1460" w:type="dxa"/>
            <w:vAlign w:val="bottom"/>
            <w:gridSpan w:val="2"/>
          </w:tcPr>
          <w:p>
            <w:pPr>
              <w:ind w:left="320"/>
              <w:spacing w:after="0"/>
              <w:rPr>
                <w:sz w:val="20"/>
                <w:szCs w:val="20"/>
                <w:color w:val="auto"/>
              </w:rPr>
            </w:pPr>
            <w:r>
              <w:rPr>
                <w:rFonts w:ascii="Times New Roman" w:cs="Times New Roman" w:eastAsia="Times New Roman" w:hAnsi="Times New Roman"/>
                <w:sz w:val="22"/>
                <w:szCs w:val="22"/>
                <w:color w:val="auto"/>
              </w:rPr>
              <w:t>exported</w:t>
            </w:r>
          </w:p>
        </w:tc>
        <w:tc>
          <w:tcPr>
            <w:tcW w:w="26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or</w:t>
            </w:r>
          </w:p>
        </w:tc>
        <w:tc>
          <w:tcPr>
            <w:tcW w:w="218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70"/>
        </w:trPr>
        <w:tc>
          <w:tcPr>
            <w:tcW w:w="2340" w:type="dxa"/>
            <w:vAlign w:val="bottom"/>
            <w:tcBorders>
              <w:left w:val="single" w:sz="8" w:color="auto"/>
              <w:bottom w:val="single" w:sz="8" w:color="auto"/>
              <w:right w:val="single" w:sz="8" w:color="auto"/>
            </w:tcBorders>
            <w:gridSpan w:val="4"/>
          </w:tcPr>
          <w:p>
            <w:pPr>
              <w:ind w:left="20"/>
              <w:spacing w:after="0"/>
              <w:rPr>
                <w:sz w:val="20"/>
                <w:szCs w:val="20"/>
                <w:color w:val="auto"/>
              </w:rPr>
            </w:pPr>
            <w:r>
              <w:rPr>
                <w:rFonts w:ascii="Times New Roman" w:cs="Times New Roman" w:eastAsia="Times New Roman" w:hAnsi="Times New Roman"/>
                <w:sz w:val="22"/>
                <w:szCs w:val="22"/>
                <w:color w:val="auto"/>
              </w:rPr>
              <w:t>reexported for use in civil</w:t>
            </w:r>
          </w:p>
        </w:tc>
        <w:tc>
          <w:tcPr>
            <w:tcW w:w="2180" w:type="dxa"/>
            <w:vAlign w:val="bottom"/>
            <w:tcBorders>
              <w:bottom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bl>
    <w:p>
      <w:pPr>
        <w:spacing w:after="0" w:line="20" w:lineRule="exact"/>
        <w:rPr>
          <w:sz w:val="24"/>
          <w:szCs w:val="24"/>
          <w:color w:val="auto"/>
        </w:rPr>
      </w:pPr>
      <w:r>
        <w:rPr>
          <w:sz w:val="24"/>
          <w:szCs w:val="24"/>
          <w:color w:val="auto"/>
        </w:rPr>
        <w:br w:type="column"/>
      </w:r>
    </w:p>
    <w:p>
      <w:pPr>
        <w:spacing w:after="0" w:line="214" w:lineRule="exact"/>
        <w:rPr>
          <w:sz w:val="24"/>
          <w:szCs w:val="24"/>
          <w:color w:val="auto"/>
        </w:rPr>
      </w:pPr>
    </w:p>
    <w:p>
      <w:pPr>
        <w:spacing w:after="0" w:line="1" w:lineRule="exact"/>
        <w:rPr>
          <w:sz w:val="1"/>
          <w:szCs w:val="1"/>
          <w:color w:val="auto"/>
        </w:rPr>
      </w:pPr>
    </w:p>
    <w:tbl>
      <w:tblPr>
        <w:tblLayout w:type="fixed"/>
        <w:tblInd w:w="10" w:type="dxa"/>
        <w:tblCellMar>
          <w:top w:w="0" w:type="dxa"/>
          <w:left w:w="0" w:type="dxa"/>
          <w:bottom w:w="0" w:type="dxa"/>
          <w:right w:w="0" w:type="dxa"/>
        </w:tblCellMar>
      </w:tblPr>
      <w:tr>
        <w:trPr>
          <w:trHeight w:val="253"/>
        </w:trPr>
        <w:tc>
          <w:tcPr>
            <w:tcW w:w="1820" w:type="dxa"/>
            <w:vAlign w:val="bottom"/>
            <w:tcBorders>
              <w:top w:val="single" w:sz="8" w:color="auto"/>
              <w:left w:val="single" w:sz="8" w:color="auto"/>
            </w:tcBorders>
            <w:gridSpan w:val="5"/>
          </w:tcPr>
          <w:p>
            <w:pPr>
              <w:ind w:left="20"/>
              <w:spacing w:after="0"/>
              <w:rPr>
                <w:sz w:val="20"/>
                <w:szCs w:val="20"/>
                <w:color w:val="auto"/>
              </w:rPr>
            </w:pPr>
            <w:r>
              <w:rPr>
                <w:rFonts w:ascii="Times New Roman" w:cs="Times New Roman" w:eastAsia="Times New Roman" w:hAnsi="Times New Roman"/>
                <w:sz w:val="22"/>
                <w:szCs w:val="22"/>
                <w:color w:val="auto"/>
              </w:rPr>
              <w:t>telecommunications</w:t>
            </w:r>
          </w:p>
        </w:tc>
        <w:tc>
          <w:tcPr>
            <w:tcW w:w="140" w:type="dxa"/>
            <w:vAlign w:val="bottom"/>
            <w:tcBorders>
              <w:top w:val="single" w:sz="8" w:color="auto"/>
            </w:tcBorders>
          </w:tcPr>
          <w:p>
            <w:pPr>
              <w:spacing w:after="0"/>
              <w:rPr>
                <w:sz w:val="22"/>
                <w:szCs w:val="22"/>
                <w:color w:val="auto"/>
              </w:rPr>
            </w:pPr>
          </w:p>
        </w:tc>
        <w:tc>
          <w:tcPr>
            <w:tcW w:w="380" w:type="dxa"/>
            <w:vAlign w:val="bottom"/>
            <w:tcBorders>
              <w:top w:val="single" w:sz="8" w:color="auto"/>
              <w:right w:val="single" w:sz="8" w:color="auto"/>
            </w:tcBorders>
          </w:tcPr>
          <w:p>
            <w:pPr>
              <w:spacing w:after="0"/>
              <w:rPr>
                <w:sz w:val="22"/>
                <w:szCs w:val="22"/>
                <w:color w:val="auto"/>
              </w:rPr>
            </w:pPr>
          </w:p>
        </w:tc>
        <w:tc>
          <w:tcPr>
            <w:tcW w:w="2180" w:type="dxa"/>
            <w:vAlign w:val="bottom"/>
            <w:tcBorders>
              <w:top w:val="single" w:sz="8" w:color="auto"/>
              <w:right w:val="single" w:sz="8" w:color="auto"/>
            </w:tcBorders>
          </w:tcPr>
          <w:p>
            <w:pPr>
              <w:spacing w:after="0"/>
              <w:rPr>
                <w:sz w:val="22"/>
                <w:szCs w:val="22"/>
                <w:color w:val="auto"/>
              </w:rPr>
            </w:pPr>
          </w:p>
        </w:tc>
      </w:tr>
      <w:tr>
        <w:trPr>
          <w:trHeight w:val="269"/>
        </w:trPr>
        <w:tc>
          <w:tcPr>
            <w:tcW w:w="1240" w:type="dxa"/>
            <w:vAlign w:val="bottom"/>
            <w:tcBorders>
              <w:left w:val="single" w:sz="8" w:color="auto"/>
              <w:bottom w:val="single" w:sz="8" w:color="auto"/>
            </w:tcBorders>
            <w:gridSpan w:val="3"/>
          </w:tcPr>
          <w:p>
            <w:pPr>
              <w:ind w:left="20"/>
              <w:spacing w:after="0"/>
              <w:rPr>
                <w:sz w:val="20"/>
                <w:szCs w:val="20"/>
                <w:color w:val="auto"/>
              </w:rPr>
            </w:pPr>
            <w:r>
              <w:rPr>
                <w:rFonts w:ascii="Times New Roman" w:cs="Times New Roman" w:eastAsia="Times New Roman" w:hAnsi="Times New Roman"/>
                <w:sz w:val="22"/>
                <w:szCs w:val="22"/>
                <w:color w:val="auto"/>
              </w:rPr>
              <w:t>applications</w:t>
            </w:r>
          </w:p>
        </w:tc>
        <w:tc>
          <w:tcPr>
            <w:tcW w:w="140" w:type="dxa"/>
            <w:vAlign w:val="bottom"/>
            <w:tcBorders>
              <w:bottom w:val="single" w:sz="8" w:color="auto"/>
            </w:tcBorders>
          </w:tcPr>
          <w:p>
            <w:pPr>
              <w:spacing w:after="0"/>
              <w:rPr>
                <w:sz w:val="23"/>
                <w:szCs w:val="23"/>
                <w:color w:val="auto"/>
              </w:rPr>
            </w:pPr>
          </w:p>
        </w:tc>
        <w:tc>
          <w:tcPr>
            <w:tcW w:w="440" w:type="dxa"/>
            <w:vAlign w:val="bottom"/>
            <w:tcBorders>
              <w:bottom w:val="single" w:sz="8" w:color="auto"/>
            </w:tcBorders>
          </w:tcPr>
          <w:p>
            <w:pPr>
              <w:spacing w:after="0"/>
              <w:rPr>
                <w:sz w:val="23"/>
                <w:szCs w:val="23"/>
                <w:color w:val="auto"/>
              </w:rPr>
            </w:pPr>
          </w:p>
        </w:tc>
        <w:tc>
          <w:tcPr>
            <w:tcW w:w="140" w:type="dxa"/>
            <w:vAlign w:val="bottom"/>
            <w:tcBorders>
              <w:bottom w:val="single" w:sz="8" w:color="auto"/>
            </w:tcBorders>
          </w:tcPr>
          <w:p>
            <w:pPr>
              <w:spacing w:after="0"/>
              <w:rPr>
                <w:sz w:val="23"/>
                <w:szCs w:val="23"/>
                <w:color w:val="auto"/>
              </w:rPr>
            </w:pPr>
          </w:p>
        </w:tc>
        <w:tc>
          <w:tcPr>
            <w:tcW w:w="380" w:type="dxa"/>
            <w:vAlign w:val="bottom"/>
            <w:tcBorders>
              <w:bottom w:val="single" w:sz="8" w:color="auto"/>
              <w:right w:val="single" w:sz="8" w:color="auto"/>
            </w:tcBorders>
          </w:tcPr>
          <w:p>
            <w:pPr>
              <w:spacing w:after="0"/>
              <w:rPr>
                <w:sz w:val="23"/>
                <w:szCs w:val="23"/>
                <w:color w:val="auto"/>
              </w:rPr>
            </w:pPr>
          </w:p>
        </w:tc>
        <w:tc>
          <w:tcPr>
            <w:tcW w:w="2180" w:type="dxa"/>
            <w:vAlign w:val="bottom"/>
            <w:tcBorders>
              <w:bottom w:val="single" w:sz="8" w:color="auto"/>
              <w:right w:val="single" w:sz="8" w:color="auto"/>
            </w:tcBorders>
          </w:tcPr>
          <w:p>
            <w:pPr>
              <w:spacing w:after="0"/>
              <w:rPr>
                <w:sz w:val="23"/>
                <w:szCs w:val="23"/>
                <w:color w:val="auto"/>
              </w:rPr>
            </w:pPr>
          </w:p>
        </w:tc>
      </w:tr>
      <w:tr>
        <w:trPr>
          <w:trHeight w:val="243"/>
        </w:trPr>
        <w:tc>
          <w:tcPr>
            <w:tcW w:w="2340" w:type="dxa"/>
            <w:vAlign w:val="bottom"/>
            <w:tcBorders>
              <w:left w:val="single" w:sz="8" w:color="auto"/>
              <w:bottom w:val="single" w:sz="8" w:color="auto"/>
              <w:right w:val="single" w:sz="8" w:color="auto"/>
            </w:tcBorders>
            <w:gridSpan w:val="7"/>
          </w:tcPr>
          <w:p>
            <w:pPr>
              <w:ind w:left="20"/>
              <w:spacing w:after="0" w:line="243" w:lineRule="exact"/>
              <w:rPr>
                <w:sz w:val="20"/>
                <w:szCs w:val="20"/>
                <w:color w:val="auto"/>
              </w:rPr>
            </w:pPr>
            <w:r>
              <w:rPr>
                <w:rFonts w:ascii="Times New Roman" w:cs="Times New Roman" w:eastAsia="Times New Roman" w:hAnsi="Times New Roman"/>
                <w:sz w:val="22"/>
                <w:szCs w:val="22"/>
                <w:color w:val="auto"/>
              </w:rPr>
              <w:t>NS applies to entire entry</w:t>
            </w:r>
          </w:p>
        </w:tc>
        <w:tc>
          <w:tcPr>
            <w:tcW w:w="2180" w:type="dxa"/>
            <w:vAlign w:val="bottom"/>
            <w:tcBorders>
              <w:bottom w:val="single" w:sz="8" w:color="auto"/>
              <w:right w:val="single" w:sz="8" w:color="auto"/>
            </w:tcBorders>
          </w:tcPr>
          <w:p>
            <w:pPr>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27"/>
        </w:trPr>
        <w:tc>
          <w:tcPr>
            <w:tcW w:w="380" w:type="dxa"/>
            <w:vAlign w:val="bottom"/>
            <w:tcBorders>
              <w:left w:val="single" w:sz="8" w:color="auto"/>
            </w:tcBorders>
          </w:tcPr>
          <w:p>
            <w:pPr>
              <w:ind w:left="20"/>
              <w:spacing w:after="0" w:line="227" w:lineRule="exact"/>
              <w:rPr>
                <w:sz w:val="20"/>
                <w:szCs w:val="20"/>
                <w:color w:val="auto"/>
              </w:rPr>
            </w:pPr>
            <w:r>
              <w:rPr>
                <w:rFonts w:ascii="Times New Roman" w:cs="Times New Roman" w:eastAsia="Times New Roman" w:hAnsi="Times New Roman"/>
                <w:sz w:val="22"/>
                <w:szCs w:val="22"/>
                <w:color w:val="auto"/>
              </w:rPr>
              <w:t>RS</w:t>
            </w:r>
          </w:p>
        </w:tc>
        <w:tc>
          <w:tcPr>
            <w:tcW w:w="860" w:type="dxa"/>
            <w:vAlign w:val="bottom"/>
            <w:gridSpan w:val="2"/>
          </w:tcPr>
          <w:p>
            <w:pPr>
              <w:jc w:val="right"/>
              <w:ind w:right="50"/>
              <w:spacing w:after="0" w:line="227" w:lineRule="exact"/>
              <w:rPr>
                <w:sz w:val="20"/>
                <w:szCs w:val="20"/>
                <w:color w:val="auto"/>
              </w:rPr>
            </w:pPr>
            <w:r>
              <w:rPr>
                <w:rFonts w:ascii="Times New Roman" w:cs="Times New Roman" w:eastAsia="Times New Roman" w:hAnsi="Times New Roman"/>
                <w:sz w:val="22"/>
                <w:szCs w:val="22"/>
                <w:color w:val="auto"/>
              </w:rPr>
              <w:t>applies</w:t>
            </w:r>
          </w:p>
        </w:tc>
        <w:tc>
          <w:tcPr>
            <w:tcW w:w="1100" w:type="dxa"/>
            <w:vAlign w:val="bottom"/>
            <w:tcBorders>
              <w:right w:val="single" w:sz="8" w:color="auto"/>
            </w:tcBorders>
            <w:gridSpan w:val="4"/>
          </w:tcPr>
          <w:p>
            <w:pPr>
              <w:jc w:val="right"/>
              <w:spacing w:after="0" w:line="227" w:lineRule="exact"/>
              <w:rPr>
                <w:sz w:val="20"/>
                <w:szCs w:val="20"/>
                <w:color w:val="auto"/>
              </w:rPr>
            </w:pPr>
            <w:r>
              <w:rPr>
                <w:rFonts w:ascii="Times New Roman" w:cs="Times New Roman" w:eastAsia="Times New Roman" w:hAnsi="Times New Roman"/>
                <w:sz w:val="22"/>
                <w:szCs w:val="22"/>
                <w:color w:val="auto"/>
                <w:w w:val="98"/>
              </w:rPr>
              <w:t>“Monolithic</w:t>
            </w:r>
          </w:p>
        </w:tc>
        <w:tc>
          <w:tcPr>
            <w:tcW w:w="2180" w:type="dxa"/>
            <w:vAlign w:val="bottom"/>
            <w:tcBorders>
              <w:right w:val="single" w:sz="8" w:color="auto"/>
            </w:tcBorders>
          </w:tcPr>
          <w:p>
            <w:pPr>
              <w:spacing w:after="0" w:line="227" w:lineRule="exact"/>
              <w:rPr>
                <w:sz w:val="20"/>
                <w:szCs w:val="20"/>
                <w:color w:val="auto"/>
              </w:rPr>
            </w:pPr>
            <w:r>
              <w:rPr>
                <w:rFonts w:ascii="Times New Roman" w:cs="Times New Roman" w:eastAsia="Times New Roman" w:hAnsi="Times New Roman"/>
                <w:sz w:val="22"/>
                <w:szCs w:val="22"/>
                <w:color w:val="auto"/>
              </w:rPr>
              <w:t>RS Column 1</w:t>
            </w:r>
          </w:p>
        </w:tc>
      </w:tr>
      <w:tr>
        <w:trPr>
          <w:trHeight w:val="253"/>
        </w:trPr>
        <w:tc>
          <w:tcPr>
            <w:tcW w:w="1240" w:type="dxa"/>
            <w:vAlign w:val="bottom"/>
            <w:tcBorders>
              <w:left w:val="single" w:sz="8" w:color="auto"/>
            </w:tcBorders>
            <w:gridSpan w:val="3"/>
          </w:tcPr>
          <w:p>
            <w:pPr>
              <w:ind w:left="20"/>
              <w:spacing w:after="0"/>
              <w:rPr>
                <w:sz w:val="20"/>
                <w:szCs w:val="20"/>
                <w:color w:val="auto"/>
              </w:rPr>
            </w:pPr>
            <w:r>
              <w:rPr>
                <w:rFonts w:ascii="Times New Roman" w:cs="Times New Roman" w:eastAsia="Times New Roman" w:hAnsi="Times New Roman"/>
                <w:sz w:val="22"/>
                <w:szCs w:val="22"/>
                <w:color w:val="auto"/>
              </w:rPr>
              <w:t>Microwave</w:t>
            </w:r>
          </w:p>
        </w:tc>
        <w:tc>
          <w:tcPr>
            <w:tcW w:w="140" w:type="dxa"/>
            <w:vAlign w:val="bottom"/>
          </w:tcPr>
          <w:p>
            <w:pPr>
              <w:spacing w:after="0"/>
              <w:rPr>
                <w:sz w:val="22"/>
                <w:szCs w:val="22"/>
                <w:color w:val="auto"/>
              </w:rPr>
            </w:pPr>
          </w:p>
        </w:tc>
        <w:tc>
          <w:tcPr>
            <w:tcW w:w="960" w:type="dxa"/>
            <w:vAlign w:val="bottom"/>
            <w:tcBorders>
              <w:right w:val="single" w:sz="8" w:color="auto"/>
            </w:tcBorders>
            <w:gridSpan w:val="3"/>
          </w:tcPr>
          <w:p>
            <w:pPr>
              <w:jc w:val="right"/>
              <w:spacing w:after="0"/>
              <w:rPr>
                <w:sz w:val="20"/>
                <w:szCs w:val="20"/>
                <w:color w:val="auto"/>
              </w:rPr>
            </w:pPr>
            <w:r>
              <w:rPr>
                <w:rFonts w:ascii="Times New Roman" w:cs="Times New Roman" w:eastAsia="Times New Roman" w:hAnsi="Times New Roman"/>
                <w:sz w:val="22"/>
                <w:szCs w:val="22"/>
                <w:color w:val="auto"/>
              </w:rPr>
              <w:t>Integrated</w:t>
            </w:r>
          </w:p>
        </w:tc>
        <w:tc>
          <w:tcPr>
            <w:tcW w:w="2180" w:type="dxa"/>
            <w:vAlign w:val="bottom"/>
            <w:tcBorders>
              <w:right w:val="single" w:sz="8" w:color="auto"/>
            </w:tcBorders>
          </w:tcPr>
          <w:p>
            <w:pPr>
              <w:spacing w:after="0"/>
              <w:rPr>
                <w:sz w:val="22"/>
                <w:szCs w:val="22"/>
                <w:color w:val="auto"/>
              </w:rPr>
            </w:pPr>
          </w:p>
        </w:tc>
      </w:tr>
      <w:tr>
        <w:trPr>
          <w:trHeight w:val="253"/>
        </w:trPr>
        <w:tc>
          <w:tcPr>
            <w:tcW w:w="940" w:type="dxa"/>
            <w:vAlign w:val="bottom"/>
            <w:tcBorders>
              <w:lef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Circuit”</w:t>
            </w:r>
          </w:p>
        </w:tc>
        <w:tc>
          <w:tcPr>
            <w:tcW w:w="300" w:type="dxa"/>
            <w:vAlign w:val="bottom"/>
          </w:tcPr>
          <w:p>
            <w:pPr>
              <w:spacing w:after="0"/>
              <w:rPr>
                <w:sz w:val="22"/>
                <w:szCs w:val="22"/>
                <w:color w:val="auto"/>
              </w:rPr>
            </w:pPr>
          </w:p>
        </w:tc>
        <w:tc>
          <w:tcPr>
            <w:tcW w:w="1100" w:type="dxa"/>
            <w:vAlign w:val="bottom"/>
            <w:tcBorders>
              <w:right w:val="single" w:sz="8" w:color="auto"/>
            </w:tcBorders>
            <w:gridSpan w:val="4"/>
          </w:tcPr>
          <w:p>
            <w:pPr>
              <w:jc w:val="right"/>
              <w:spacing w:after="0"/>
              <w:rPr>
                <w:sz w:val="20"/>
                <w:szCs w:val="20"/>
                <w:color w:val="auto"/>
              </w:rPr>
            </w:pPr>
            <w:r>
              <w:rPr>
                <w:rFonts w:ascii="Times New Roman" w:cs="Times New Roman" w:eastAsia="Times New Roman" w:hAnsi="Times New Roman"/>
                <w:sz w:val="22"/>
                <w:szCs w:val="22"/>
                <w:color w:val="auto"/>
              </w:rPr>
              <w:t>(“MMIC”)</w:t>
            </w:r>
          </w:p>
        </w:tc>
        <w:tc>
          <w:tcPr>
            <w:tcW w:w="2180" w:type="dxa"/>
            <w:vAlign w:val="bottom"/>
            <w:tcBorders>
              <w:right w:val="single" w:sz="8" w:color="auto"/>
            </w:tcBorders>
          </w:tcPr>
          <w:p>
            <w:pPr>
              <w:spacing w:after="0"/>
              <w:rPr>
                <w:sz w:val="22"/>
                <w:szCs w:val="22"/>
                <w:color w:val="auto"/>
              </w:rPr>
            </w:pPr>
          </w:p>
        </w:tc>
      </w:tr>
      <w:tr>
        <w:trPr>
          <w:trHeight w:val="253"/>
        </w:trPr>
        <w:tc>
          <w:tcPr>
            <w:tcW w:w="940" w:type="dxa"/>
            <w:vAlign w:val="bottom"/>
            <w:tcBorders>
              <w:lef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amplifiers</w:t>
            </w:r>
          </w:p>
        </w:tc>
        <w:tc>
          <w:tcPr>
            <w:tcW w:w="300" w:type="dxa"/>
            <w:vAlign w:val="bottom"/>
          </w:tcPr>
          <w:p>
            <w:pPr>
              <w:ind w:left="120"/>
              <w:spacing w:after="0"/>
              <w:rPr>
                <w:sz w:val="20"/>
                <w:szCs w:val="20"/>
                <w:color w:val="auto"/>
              </w:rPr>
            </w:pPr>
            <w:r>
              <w:rPr>
                <w:rFonts w:ascii="Times New Roman" w:cs="Times New Roman" w:eastAsia="Times New Roman" w:hAnsi="Times New Roman"/>
                <w:sz w:val="22"/>
                <w:szCs w:val="22"/>
                <w:color w:val="auto"/>
                <w:w w:val="93"/>
              </w:rPr>
              <w:t>in</w:t>
            </w:r>
          </w:p>
        </w:tc>
        <w:tc>
          <w:tcPr>
            <w:tcW w:w="140" w:type="dxa"/>
            <w:vAlign w:val="bottom"/>
          </w:tcPr>
          <w:p>
            <w:pPr>
              <w:spacing w:after="0"/>
              <w:rPr>
                <w:sz w:val="22"/>
                <w:szCs w:val="22"/>
                <w:color w:val="auto"/>
              </w:rPr>
            </w:pPr>
          </w:p>
        </w:tc>
        <w:tc>
          <w:tcPr>
            <w:tcW w:w="960" w:type="dxa"/>
            <w:vAlign w:val="bottom"/>
            <w:tcBorders>
              <w:right w:val="single" w:sz="8" w:color="auto"/>
            </w:tcBorders>
            <w:gridSpan w:val="3"/>
          </w:tcPr>
          <w:p>
            <w:pPr>
              <w:jc w:val="right"/>
              <w:spacing w:after="0"/>
              <w:rPr>
                <w:sz w:val="20"/>
                <w:szCs w:val="20"/>
                <w:color w:val="auto"/>
              </w:rPr>
            </w:pPr>
            <w:r>
              <w:rPr>
                <w:rFonts w:ascii="Times New Roman" w:cs="Times New Roman" w:eastAsia="Times New Roman" w:hAnsi="Times New Roman"/>
                <w:sz w:val="22"/>
                <w:szCs w:val="22"/>
                <w:color w:val="auto"/>
                <w:w w:val="98"/>
              </w:rPr>
              <w:t>3A001.b.2</w:t>
            </w:r>
          </w:p>
        </w:tc>
        <w:tc>
          <w:tcPr>
            <w:tcW w:w="2180" w:type="dxa"/>
            <w:vAlign w:val="bottom"/>
            <w:tcBorders>
              <w:right w:val="single" w:sz="8" w:color="auto"/>
            </w:tcBorders>
          </w:tcPr>
          <w:p>
            <w:pPr>
              <w:spacing w:after="0"/>
              <w:rPr>
                <w:sz w:val="22"/>
                <w:szCs w:val="22"/>
                <w:color w:val="auto"/>
              </w:rPr>
            </w:pPr>
          </w:p>
        </w:tc>
      </w:tr>
      <w:tr>
        <w:trPr>
          <w:trHeight w:val="252"/>
        </w:trPr>
        <w:tc>
          <w:tcPr>
            <w:tcW w:w="38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and</w:t>
            </w:r>
          </w:p>
        </w:tc>
        <w:tc>
          <w:tcPr>
            <w:tcW w:w="860" w:type="dxa"/>
            <w:vAlign w:val="bottom"/>
            <w:gridSpan w:val="2"/>
          </w:tcPr>
          <w:p>
            <w:pPr>
              <w:jc w:val="right"/>
              <w:spacing w:after="0"/>
              <w:rPr>
                <w:sz w:val="20"/>
                <w:szCs w:val="20"/>
                <w:color w:val="auto"/>
              </w:rPr>
            </w:pPr>
            <w:r>
              <w:rPr>
                <w:rFonts w:ascii="Times New Roman" w:cs="Times New Roman" w:eastAsia="Times New Roman" w:hAnsi="Times New Roman"/>
                <w:sz w:val="22"/>
                <w:szCs w:val="22"/>
                <w:color w:val="auto"/>
              </w:rPr>
              <w:t>discrete</w:t>
            </w:r>
          </w:p>
        </w:tc>
        <w:tc>
          <w:tcPr>
            <w:tcW w:w="1100" w:type="dxa"/>
            <w:vAlign w:val="bottom"/>
            <w:tcBorders>
              <w:right w:val="single" w:sz="8" w:color="auto"/>
            </w:tcBorders>
            <w:gridSpan w:val="4"/>
          </w:tcPr>
          <w:p>
            <w:pPr>
              <w:jc w:val="right"/>
              <w:spacing w:after="0"/>
              <w:rPr>
                <w:sz w:val="20"/>
                <w:szCs w:val="20"/>
                <w:color w:val="auto"/>
              </w:rPr>
            </w:pPr>
            <w:r>
              <w:rPr>
                <w:rFonts w:ascii="Times New Roman" w:cs="Times New Roman" w:eastAsia="Times New Roman" w:hAnsi="Times New Roman"/>
                <w:sz w:val="22"/>
                <w:szCs w:val="22"/>
                <w:color w:val="auto"/>
              </w:rPr>
              <w:t>microwave</w:t>
            </w:r>
          </w:p>
        </w:tc>
        <w:tc>
          <w:tcPr>
            <w:tcW w:w="2180" w:type="dxa"/>
            <w:vAlign w:val="bottom"/>
            <w:tcBorders>
              <w:right w:val="single" w:sz="8" w:color="auto"/>
            </w:tcBorders>
          </w:tcPr>
          <w:p>
            <w:pPr>
              <w:spacing w:after="0"/>
              <w:rPr>
                <w:sz w:val="21"/>
                <w:szCs w:val="21"/>
                <w:color w:val="auto"/>
              </w:rPr>
            </w:pPr>
          </w:p>
        </w:tc>
      </w:tr>
      <w:tr>
        <w:trPr>
          <w:trHeight w:val="253"/>
        </w:trPr>
        <w:tc>
          <w:tcPr>
            <w:tcW w:w="940" w:type="dxa"/>
            <w:vAlign w:val="bottom"/>
            <w:tcBorders>
              <w:lef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w w:val="99"/>
              </w:rPr>
              <w:t>transistors</w:t>
            </w:r>
          </w:p>
        </w:tc>
        <w:tc>
          <w:tcPr>
            <w:tcW w:w="300" w:type="dxa"/>
            <w:vAlign w:val="bottom"/>
          </w:tcPr>
          <w:p>
            <w:pPr>
              <w:ind w:left="100"/>
              <w:spacing w:after="0"/>
              <w:rPr>
                <w:sz w:val="20"/>
                <w:szCs w:val="20"/>
                <w:color w:val="auto"/>
              </w:rPr>
            </w:pPr>
            <w:r>
              <w:rPr>
                <w:rFonts w:ascii="Times New Roman" w:cs="Times New Roman" w:eastAsia="Times New Roman" w:hAnsi="Times New Roman"/>
                <w:sz w:val="22"/>
                <w:szCs w:val="22"/>
                <w:color w:val="auto"/>
              </w:rPr>
              <w:t>in</w:t>
            </w:r>
          </w:p>
        </w:tc>
        <w:tc>
          <w:tcPr>
            <w:tcW w:w="1100" w:type="dxa"/>
            <w:vAlign w:val="bottom"/>
            <w:tcBorders>
              <w:right w:val="single" w:sz="8" w:color="auto"/>
            </w:tcBorders>
            <w:gridSpan w:val="4"/>
          </w:tcPr>
          <w:p>
            <w:pPr>
              <w:jc w:val="right"/>
              <w:spacing w:after="0"/>
              <w:rPr>
                <w:sz w:val="20"/>
                <w:szCs w:val="20"/>
                <w:color w:val="auto"/>
              </w:rPr>
            </w:pPr>
            <w:r>
              <w:rPr>
                <w:rFonts w:ascii="Times New Roman" w:cs="Times New Roman" w:eastAsia="Times New Roman" w:hAnsi="Times New Roman"/>
                <w:sz w:val="22"/>
                <w:szCs w:val="22"/>
                <w:color w:val="auto"/>
              </w:rPr>
              <w:t>3A001.b.3,</w:t>
            </w:r>
          </w:p>
        </w:tc>
        <w:tc>
          <w:tcPr>
            <w:tcW w:w="2180" w:type="dxa"/>
            <w:vAlign w:val="bottom"/>
            <w:tcBorders>
              <w:right w:val="single" w:sz="8" w:color="auto"/>
            </w:tcBorders>
          </w:tcPr>
          <w:p>
            <w:pPr>
              <w:spacing w:after="0"/>
              <w:rPr>
                <w:sz w:val="22"/>
                <w:szCs w:val="22"/>
                <w:color w:val="auto"/>
              </w:rPr>
            </w:pPr>
          </w:p>
        </w:tc>
      </w:tr>
      <w:tr>
        <w:trPr>
          <w:trHeight w:val="253"/>
        </w:trPr>
        <w:tc>
          <w:tcPr>
            <w:tcW w:w="1240" w:type="dxa"/>
            <w:vAlign w:val="bottom"/>
            <w:tcBorders>
              <w:left w:val="single" w:sz="8" w:color="auto"/>
            </w:tcBorders>
            <w:gridSpan w:val="3"/>
          </w:tcPr>
          <w:p>
            <w:pPr>
              <w:ind w:left="20"/>
              <w:spacing w:after="0"/>
              <w:rPr>
                <w:sz w:val="20"/>
                <w:szCs w:val="20"/>
                <w:color w:val="auto"/>
              </w:rPr>
            </w:pPr>
            <w:r>
              <w:rPr>
                <w:rFonts w:ascii="Times New Roman" w:cs="Times New Roman" w:eastAsia="Times New Roman" w:hAnsi="Times New Roman"/>
                <w:sz w:val="22"/>
                <w:szCs w:val="22"/>
                <w:color w:val="auto"/>
              </w:rPr>
              <w:t>except  those</w:t>
            </w:r>
          </w:p>
        </w:tc>
        <w:tc>
          <w:tcPr>
            <w:tcW w:w="140" w:type="dxa"/>
            <w:vAlign w:val="bottom"/>
          </w:tcPr>
          <w:p>
            <w:pPr>
              <w:spacing w:after="0"/>
              <w:rPr>
                <w:sz w:val="22"/>
                <w:szCs w:val="22"/>
                <w:color w:val="auto"/>
              </w:rPr>
            </w:pPr>
          </w:p>
        </w:tc>
        <w:tc>
          <w:tcPr>
            <w:tcW w:w="960" w:type="dxa"/>
            <w:vAlign w:val="bottom"/>
            <w:tcBorders>
              <w:right w:val="single" w:sz="8" w:color="auto"/>
            </w:tcBorders>
            <w:gridSpan w:val="3"/>
          </w:tcPr>
          <w:p>
            <w:pPr>
              <w:jc w:val="right"/>
              <w:spacing w:after="0"/>
              <w:rPr>
                <w:sz w:val="20"/>
                <w:szCs w:val="20"/>
                <w:color w:val="auto"/>
              </w:rPr>
            </w:pPr>
            <w:r>
              <w:rPr>
                <w:rFonts w:ascii="Times New Roman" w:cs="Times New Roman" w:eastAsia="Times New Roman" w:hAnsi="Times New Roman"/>
                <w:sz w:val="22"/>
                <w:szCs w:val="22"/>
                <w:color w:val="auto"/>
                <w:w w:val="98"/>
              </w:rPr>
              <w:t>3A001.b.2</w:t>
            </w:r>
          </w:p>
        </w:tc>
        <w:tc>
          <w:tcPr>
            <w:tcW w:w="2180" w:type="dxa"/>
            <w:vAlign w:val="bottom"/>
            <w:tcBorders>
              <w:right w:val="single" w:sz="8" w:color="auto"/>
            </w:tcBorders>
          </w:tcPr>
          <w:p>
            <w:pPr>
              <w:spacing w:after="0"/>
              <w:rPr>
                <w:sz w:val="22"/>
                <w:szCs w:val="22"/>
                <w:color w:val="auto"/>
              </w:rPr>
            </w:pPr>
          </w:p>
        </w:tc>
      </w:tr>
      <w:tr>
        <w:trPr>
          <w:trHeight w:val="253"/>
        </w:trPr>
        <w:tc>
          <w:tcPr>
            <w:tcW w:w="38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and</w:t>
            </w:r>
          </w:p>
        </w:tc>
        <w:tc>
          <w:tcPr>
            <w:tcW w:w="560" w:type="dxa"/>
            <w:vAlign w:val="bottom"/>
          </w:tcPr>
          <w:p>
            <w:pPr>
              <w:ind w:left="200"/>
              <w:spacing w:after="0"/>
              <w:rPr>
                <w:sz w:val="20"/>
                <w:szCs w:val="20"/>
                <w:color w:val="auto"/>
              </w:rPr>
            </w:pPr>
            <w:r>
              <w:rPr>
                <w:rFonts w:ascii="Times New Roman" w:cs="Times New Roman" w:eastAsia="Times New Roman" w:hAnsi="Times New Roman"/>
                <w:sz w:val="22"/>
                <w:szCs w:val="22"/>
                <w:color w:val="auto"/>
              </w:rPr>
              <w:t>b.3</w:t>
            </w:r>
          </w:p>
        </w:tc>
        <w:tc>
          <w:tcPr>
            <w:tcW w:w="880" w:type="dxa"/>
            <w:vAlign w:val="bottom"/>
            <w:gridSpan w:val="3"/>
          </w:tcPr>
          <w:p>
            <w:pPr>
              <w:ind w:left="160"/>
              <w:spacing w:after="0"/>
              <w:rPr>
                <w:sz w:val="20"/>
                <w:szCs w:val="20"/>
                <w:color w:val="auto"/>
              </w:rPr>
            </w:pPr>
            <w:r>
              <w:rPr>
                <w:rFonts w:ascii="Times New Roman" w:cs="Times New Roman" w:eastAsia="Times New Roman" w:hAnsi="Times New Roman"/>
                <w:sz w:val="22"/>
                <w:szCs w:val="22"/>
                <w:color w:val="auto"/>
              </w:rPr>
              <w:t>items</w:t>
            </w:r>
          </w:p>
        </w:tc>
        <w:tc>
          <w:tcPr>
            <w:tcW w:w="520" w:type="dxa"/>
            <w:vAlign w:val="bottom"/>
            <w:tcBorders>
              <w:right w:val="single" w:sz="8" w:color="auto"/>
            </w:tcBorders>
            <w:gridSpan w:val="2"/>
          </w:tcPr>
          <w:p>
            <w:pPr>
              <w:jc w:val="right"/>
              <w:spacing w:after="0"/>
              <w:rPr>
                <w:sz w:val="20"/>
                <w:szCs w:val="20"/>
                <w:color w:val="auto"/>
              </w:rPr>
            </w:pPr>
            <w:r>
              <w:rPr>
                <w:rFonts w:ascii="Times New Roman" w:cs="Times New Roman" w:eastAsia="Times New Roman" w:hAnsi="Times New Roman"/>
                <w:sz w:val="22"/>
                <w:szCs w:val="22"/>
                <w:color w:val="auto"/>
                <w:w w:val="98"/>
              </w:rPr>
              <w:t>being</w:t>
            </w:r>
          </w:p>
        </w:tc>
        <w:tc>
          <w:tcPr>
            <w:tcW w:w="2180" w:type="dxa"/>
            <w:vAlign w:val="bottom"/>
            <w:tcBorders>
              <w:right w:val="single" w:sz="8" w:color="auto"/>
            </w:tcBorders>
          </w:tcPr>
          <w:p>
            <w:pPr>
              <w:spacing w:after="0"/>
              <w:rPr>
                <w:sz w:val="22"/>
                <w:szCs w:val="22"/>
                <w:color w:val="auto"/>
              </w:rPr>
            </w:pPr>
          </w:p>
        </w:tc>
      </w:tr>
      <w:tr>
        <w:trPr>
          <w:trHeight w:val="253"/>
        </w:trPr>
        <w:tc>
          <w:tcPr>
            <w:tcW w:w="940" w:type="dxa"/>
            <w:vAlign w:val="bottom"/>
            <w:tcBorders>
              <w:lef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exported</w:t>
            </w:r>
          </w:p>
        </w:tc>
        <w:tc>
          <w:tcPr>
            <w:tcW w:w="300" w:type="dxa"/>
            <w:vAlign w:val="bottom"/>
          </w:tcPr>
          <w:p>
            <w:pPr>
              <w:jc w:val="right"/>
              <w:spacing w:after="0"/>
              <w:rPr>
                <w:sz w:val="20"/>
                <w:szCs w:val="20"/>
                <w:color w:val="auto"/>
              </w:rPr>
            </w:pPr>
            <w:r>
              <w:rPr>
                <w:rFonts w:ascii="Times New Roman" w:cs="Times New Roman" w:eastAsia="Times New Roman" w:hAnsi="Times New Roman"/>
                <w:sz w:val="22"/>
                <w:szCs w:val="22"/>
                <w:color w:val="auto"/>
              </w:rPr>
              <w:t>or</w:t>
            </w:r>
          </w:p>
        </w:tc>
        <w:tc>
          <w:tcPr>
            <w:tcW w:w="1100" w:type="dxa"/>
            <w:vAlign w:val="bottom"/>
            <w:tcBorders>
              <w:right w:val="single" w:sz="8" w:color="auto"/>
            </w:tcBorders>
            <w:gridSpan w:val="4"/>
          </w:tcPr>
          <w:p>
            <w:pPr>
              <w:jc w:val="right"/>
              <w:spacing w:after="0"/>
              <w:rPr>
                <w:sz w:val="20"/>
                <w:szCs w:val="20"/>
                <w:color w:val="auto"/>
              </w:rPr>
            </w:pPr>
            <w:r>
              <w:rPr>
                <w:rFonts w:ascii="Times New Roman" w:cs="Times New Roman" w:eastAsia="Times New Roman" w:hAnsi="Times New Roman"/>
                <w:sz w:val="22"/>
                <w:szCs w:val="22"/>
                <w:color w:val="auto"/>
              </w:rPr>
              <w:t>reexported</w:t>
            </w:r>
          </w:p>
        </w:tc>
        <w:tc>
          <w:tcPr>
            <w:tcW w:w="2180" w:type="dxa"/>
            <w:vAlign w:val="bottom"/>
            <w:tcBorders>
              <w:right w:val="single" w:sz="8" w:color="auto"/>
            </w:tcBorders>
          </w:tcPr>
          <w:p>
            <w:pPr>
              <w:spacing w:after="0"/>
              <w:rPr>
                <w:sz w:val="22"/>
                <w:szCs w:val="22"/>
                <w:color w:val="auto"/>
              </w:rPr>
            </w:pPr>
          </w:p>
        </w:tc>
      </w:tr>
      <w:tr>
        <w:trPr>
          <w:trHeight w:val="252"/>
        </w:trPr>
        <w:tc>
          <w:tcPr>
            <w:tcW w:w="38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for</w:t>
            </w:r>
          </w:p>
        </w:tc>
        <w:tc>
          <w:tcPr>
            <w:tcW w:w="860" w:type="dxa"/>
            <w:vAlign w:val="bottom"/>
            <w:gridSpan w:val="2"/>
          </w:tcPr>
          <w:p>
            <w:pPr>
              <w:jc w:val="right"/>
              <w:ind w:right="170"/>
              <w:spacing w:after="0"/>
              <w:rPr>
                <w:sz w:val="20"/>
                <w:szCs w:val="20"/>
                <w:color w:val="auto"/>
              </w:rPr>
            </w:pPr>
            <w:r>
              <w:rPr>
                <w:rFonts w:ascii="Times New Roman" w:cs="Times New Roman" w:eastAsia="Times New Roman" w:hAnsi="Times New Roman"/>
                <w:sz w:val="22"/>
                <w:szCs w:val="22"/>
                <w:color w:val="auto"/>
              </w:rPr>
              <w:t>use</w:t>
            </w:r>
          </w:p>
        </w:tc>
        <w:tc>
          <w:tcPr>
            <w:tcW w:w="580" w:type="dxa"/>
            <w:vAlign w:val="bottom"/>
            <w:gridSpan w:val="2"/>
          </w:tcPr>
          <w:p>
            <w:pPr>
              <w:ind w:left="120"/>
              <w:spacing w:after="0"/>
              <w:rPr>
                <w:sz w:val="20"/>
                <w:szCs w:val="20"/>
                <w:color w:val="auto"/>
              </w:rPr>
            </w:pPr>
            <w:r>
              <w:rPr>
                <w:rFonts w:ascii="Times New Roman" w:cs="Times New Roman" w:eastAsia="Times New Roman" w:hAnsi="Times New Roman"/>
                <w:sz w:val="22"/>
                <w:szCs w:val="22"/>
                <w:color w:val="auto"/>
              </w:rPr>
              <w:t>in</w:t>
            </w:r>
          </w:p>
        </w:tc>
        <w:tc>
          <w:tcPr>
            <w:tcW w:w="520" w:type="dxa"/>
            <w:vAlign w:val="bottom"/>
            <w:tcBorders>
              <w:right w:val="single" w:sz="8" w:color="auto"/>
            </w:tcBorders>
            <w:gridSpan w:val="2"/>
          </w:tcPr>
          <w:p>
            <w:pPr>
              <w:jc w:val="right"/>
              <w:spacing w:after="0"/>
              <w:rPr>
                <w:sz w:val="20"/>
                <w:szCs w:val="20"/>
                <w:color w:val="auto"/>
              </w:rPr>
            </w:pPr>
            <w:r>
              <w:rPr>
                <w:rFonts w:ascii="Times New Roman" w:cs="Times New Roman" w:eastAsia="Times New Roman" w:hAnsi="Times New Roman"/>
                <w:sz w:val="22"/>
                <w:szCs w:val="22"/>
                <w:color w:val="auto"/>
              </w:rPr>
              <w:t>civil</w:t>
            </w:r>
          </w:p>
        </w:tc>
        <w:tc>
          <w:tcPr>
            <w:tcW w:w="2180" w:type="dxa"/>
            <w:vAlign w:val="bottom"/>
            <w:tcBorders>
              <w:right w:val="single" w:sz="8" w:color="auto"/>
            </w:tcBorders>
          </w:tcPr>
          <w:p>
            <w:pPr>
              <w:spacing w:after="0"/>
              <w:rPr>
                <w:sz w:val="21"/>
                <w:szCs w:val="21"/>
                <w:color w:val="auto"/>
              </w:rPr>
            </w:pPr>
          </w:p>
        </w:tc>
      </w:tr>
      <w:tr>
        <w:trPr>
          <w:trHeight w:val="253"/>
        </w:trPr>
        <w:tc>
          <w:tcPr>
            <w:tcW w:w="1820" w:type="dxa"/>
            <w:vAlign w:val="bottom"/>
            <w:tcBorders>
              <w:left w:val="single" w:sz="8" w:color="auto"/>
            </w:tcBorders>
            <w:gridSpan w:val="5"/>
          </w:tcPr>
          <w:p>
            <w:pPr>
              <w:ind w:left="20"/>
              <w:spacing w:after="0"/>
              <w:rPr>
                <w:sz w:val="20"/>
                <w:szCs w:val="20"/>
                <w:color w:val="auto"/>
              </w:rPr>
            </w:pPr>
            <w:r>
              <w:rPr>
                <w:rFonts w:ascii="Times New Roman" w:cs="Times New Roman" w:eastAsia="Times New Roman" w:hAnsi="Times New Roman"/>
                <w:sz w:val="22"/>
                <w:szCs w:val="22"/>
                <w:color w:val="auto"/>
              </w:rPr>
              <w:t>telecommunications</w:t>
            </w:r>
          </w:p>
        </w:tc>
        <w:tc>
          <w:tcPr>
            <w:tcW w:w="140" w:type="dxa"/>
            <w:vAlign w:val="bottom"/>
          </w:tcPr>
          <w:p>
            <w:pPr>
              <w:spacing w:after="0"/>
              <w:rPr>
                <w:sz w:val="22"/>
                <w:szCs w:val="22"/>
                <w:color w:val="auto"/>
              </w:rPr>
            </w:pPr>
          </w:p>
        </w:tc>
        <w:tc>
          <w:tcPr>
            <w:tcW w:w="380" w:type="dxa"/>
            <w:vAlign w:val="bottom"/>
            <w:tcBorders>
              <w:right w:val="single" w:sz="8" w:color="auto"/>
            </w:tcBorders>
          </w:tcPr>
          <w:p>
            <w:pPr>
              <w:spacing w:after="0"/>
              <w:rPr>
                <w:sz w:val="22"/>
                <w:szCs w:val="22"/>
                <w:color w:val="auto"/>
              </w:rPr>
            </w:pPr>
          </w:p>
        </w:tc>
        <w:tc>
          <w:tcPr>
            <w:tcW w:w="2180" w:type="dxa"/>
            <w:vAlign w:val="bottom"/>
            <w:tcBorders>
              <w:right w:val="single" w:sz="8" w:color="auto"/>
            </w:tcBorders>
          </w:tcPr>
          <w:p>
            <w:pPr>
              <w:spacing w:after="0"/>
              <w:rPr>
                <w:sz w:val="22"/>
                <w:szCs w:val="22"/>
                <w:color w:val="auto"/>
              </w:rPr>
            </w:pPr>
          </w:p>
        </w:tc>
      </w:tr>
      <w:tr>
        <w:trPr>
          <w:trHeight w:val="269"/>
        </w:trPr>
        <w:tc>
          <w:tcPr>
            <w:tcW w:w="1240" w:type="dxa"/>
            <w:vAlign w:val="bottom"/>
            <w:tcBorders>
              <w:left w:val="single" w:sz="8" w:color="auto"/>
              <w:bottom w:val="single" w:sz="8" w:color="auto"/>
            </w:tcBorders>
            <w:gridSpan w:val="3"/>
          </w:tcPr>
          <w:p>
            <w:pPr>
              <w:ind w:left="20"/>
              <w:spacing w:after="0"/>
              <w:rPr>
                <w:sz w:val="20"/>
                <w:szCs w:val="20"/>
                <w:color w:val="auto"/>
              </w:rPr>
            </w:pPr>
            <w:r>
              <w:rPr>
                <w:rFonts w:ascii="Times New Roman" w:cs="Times New Roman" w:eastAsia="Times New Roman" w:hAnsi="Times New Roman"/>
                <w:sz w:val="22"/>
                <w:szCs w:val="22"/>
                <w:color w:val="auto"/>
              </w:rPr>
              <w:t>applications</w:t>
            </w:r>
          </w:p>
        </w:tc>
        <w:tc>
          <w:tcPr>
            <w:tcW w:w="140" w:type="dxa"/>
            <w:vAlign w:val="bottom"/>
            <w:tcBorders>
              <w:bottom w:val="single" w:sz="8" w:color="auto"/>
            </w:tcBorders>
          </w:tcPr>
          <w:p>
            <w:pPr>
              <w:spacing w:after="0"/>
              <w:rPr>
                <w:sz w:val="23"/>
                <w:szCs w:val="23"/>
                <w:color w:val="auto"/>
              </w:rPr>
            </w:pPr>
          </w:p>
        </w:tc>
        <w:tc>
          <w:tcPr>
            <w:tcW w:w="440" w:type="dxa"/>
            <w:vAlign w:val="bottom"/>
            <w:tcBorders>
              <w:bottom w:val="single" w:sz="8" w:color="auto"/>
            </w:tcBorders>
          </w:tcPr>
          <w:p>
            <w:pPr>
              <w:spacing w:after="0"/>
              <w:rPr>
                <w:sz w:val="23"/>
                <w:szCs w:val="23"/>
                <w:color w:val="auto"/>
              </w:rPr>
            </w:pPr>
          </w:p>
        </w:tc>
        <w:tc>
          <w:tcPr>
            <w:tcW w:w="140" w:type="dxa"/>
            <w:vAlign w:val="bottom"/>
            <w:tcBorders>
              <w:bottom w:val="single" w:sz="8" w:color="auto"/>
            </w:tcBorders>
          </w:tcPr>
          <w:p>
            <w:pPr>
              <w:spacing w:after="0"/>
              <w:rPr>
                <w:sz w:val="23"/>
                <w:szCs w:val="23"/>
                <w:color w:val="auto"/>
              </w:rPr>
            </w:pPr>
          </w:p>
        </w:tc>
        <w:tc>
          <w:tcPr>
            <w:tcW w:w="380" w:type="dxa"/>
            <w:vAlign w:val="bottom"/>
            <w:tcBorders>
              <w:bottom w:val="single" w:sz="8" w:color="auto"/>
              <w:right w:val="single" w:sz="8" w:color="auto"/>
            </w:tcBorders>
          </w:tcPr>
          <w:p>
            <w:pPr>
              <w:spacing w:after="0"/>
              <w:rPr>
                <w:sz w:val="23"/>
                <w:szCs w:val="23"/>
                <w:color w:val="auto"/>
              </w:rPr>
            </w:pPr>
          </w:p>
        </w:tc>
        <w:tc>
          <w:tcPr>
            <w:tcW w:w="2180" w:type="dxa"/>
            <w:vAlign w:val="bottom"/>
            <w:tcBorders>
              <w:bottom w:val="single" w:sz="8" w:color="auto"/>
              <w:right w:val="single" w:sz="8" w:color="auto"/>
            </w:tcBorders>
          </w:tcPr>
          <w:p>
            <w:pPr>
              <w:spacing w:after="0"/>
              <w:rPr>
                <w:sz w:val="23"/>
                <w:szCs w:val="23"/>
                <w:color w:val="auto"/>
              </w:rPr>
            </w:pPr>
          </w:p>
        </w:tc>
      </w:tr>
      <w:tr>
        <w:trPr>
          <w:trHeight w:val="227"/>
        </w:trPr>
        <w:tc>
          <w:tcPr>
            <w:tcW w:w="380" w:type="dxa"/>
            <w:vAlign w:val="bottom"/>
            <w:tcBorders>
              <w:left w:val="single" w:sz="8" w:color="auto"/>
            </w:tcBorders>
          </w:tcPr>
          <w:p>
            <w:pPr>
              <w:ind w:left="20"/>
              <w:spacing w:after="0" w:line="227" w:lineRule="exact"/>
              <w:rPr>
                <w:sz w:val="20"/>
                <w:szCs w:val="20"/>
                <w:color w:val="auto"/>
              </w:rPr>
            </w:pPr>
            <w:r>
              <w:rPr>
                <w:rFonts w:ascii="Times New Roman" w:cs="Times New Roman" w:eastAsia="Times New Roman" w:hAnsi="Times New Roman"/>
                <w:sz w:val="22"/>
                <w:szCs w:val="22"/>
                <w:color w:val="auto"/>
              </w:rPr>
              <w:t>MT</w:t>
            </w:r>
          </w:p>
        </w:tc>
        <w:tc>
          <w:tcPr>
            <w:tcW w:w="560" w:type="dxa"/>
            <w:vAlign w:val="bottom"/>
          </w:tcPr>
          <w:p>
            <w:pPr>
              <w:spacing w:after="0"/>
              <w:rPr>
                <w:sz w:val="19"/>
                <w:szCs w:val="19"/>
                <w:color w:val="auto"/>
              </w:rPr>
            </w:pPr>
          </w:p>
        </w:tc>
        <w:tc>
          <w:tcPr>
            <w:tcW w:w="880" w:type="dxa"/>
            <w:vAlign w:val="bottom"/>
            <w:gridSpan w:val="3"/>
          </w:tcPr>
          <w:p>
            <w:pPr>
              <w:spacing w:after="0" w:line="227" w:lineRule="exact"/>
              <w:rPr>
                <w:sz w:val="20"/>
                <w:szCs w:val="20"/>
                <w:color w:val="auto"/>
              </w:rPr>
            </w:pPr>
            <w:r>
              <w:rPr>
                <w:rFonts w:ascii="Times New Roman" w:cs="Times New Roman" w:eastAsia="Times New Roman" w:hAnsi="Times New Roman"/>
                <w:sz w:val="22"/>
                <w:szCs w:val="22"/>
                <w:color w:val="auto"/>
              </w:rPr>
              <w:t>applies</w:t>
            </w:r>
          </w:p>
        </w:tc>
        <w:tc>
          <w:tcPr>
            <w:tcW w:w="140" w:type="dxa"/>
            <w:vAlign w:val="bottom"/>
          </w:tcPr>
          <w:p>
            <w:pPr>
              <w:spacing w:after="0"/>
              <w:rPr>
                <w:sz w:val="19"/>
                <w:szCs w:val="19"/>
                <w:color w:val="auto"/>
              </w:rPr>
            </w:pPr>
          </w:p>
        </w:tc>
        <w:tc>
          <w:tcPr>
            <w:tcW w:w="380" w:type="dxa"/>
            <w:vAlign w:val="bottom"/>
            <w:tcBorders>
              <w:right w:val="single" w:sz="8" w:color="auto"/>
            </w:tcBorders>
          </w:tcPr>
          <w:p>
            <w:pPr>
              <w:jc w:val="right"/>
              <w:spacing w:after="0" w:line="227" w:lineRule="exact"/>
              <w:rPr>
                <w:sz w:val="20"/>
                <w:szCs w:val="20"/>
                <w:color w:val="auto"/>
              </w:rPr>
            </w:pPr>
            <w:r>
              <w:rPr>
                <w:rFonts w:ascii="Times New Roman" w:cs="Times New Roman" w:eastAsia="Times New Roman" w:hAnsi="Times New Roman"/>
                <w:sz w:val="22"/>
                <w:szCs w:val="22"/>
                <w:color w:val="auto"/>
              </w:rPr>
              <w:t>to</w:t>
            </w:r>
          </w:p>
        </w:tc>
        <w:tc>
          <w:tcPr>
            <w:tcW w:w="2180" w:type="dxa"/>
            <w:vAlign w:val="bottom"/>
            <w:tcBorders>
              <w:right w:val="single" w:sz="8" w:color="auto"/>
            </w:tcBorders>
          </w:tcPr>
          <w:p>
            <w:pPr>
              <w:spacing w:after="0" w:line="227" w:lineRule="exact"/>
              <w:rPr>
                <w:sz w:val="20"/>
                <w:szCs w:val="20"/>
                <w:color w:val="auto"/>
              </w:rPr>
            </w:pPr>
            <w:r>
              <w:rPr>
                <w:rFonts w:ascii="Times New Roman" w:cs="Times New Roman" w:eastAsia="Times New Roman" w:hAnsi="Times New Roman"/>
                <w:sz w:val="22"/>
                <w:szCs w:val="22"/>
                <w:color w:val="auto"/>
              </w:rPr>
              <w:t>MT Column 1</w:t>
            </w:r>
          </w:p>
        </w:tc>
      </w:tr>
      <w:tr>
        <w:trPr>
          <w:trHeight w:val="253"/>
        </w:trPr>
        <w:tc>
          <w:tcPr>
            <w:tcW w:w="2340" w:type="dxa"/>
            <w:vAlign w:val="bottom"/>
            <w:tcBorders>
              <w:left w:val="single" w:sz="8" w:color="auto"/>
              <w:right w:val="single" w:sz="8" w:color="auto"/>
            </w:tcBorders>
            <w:gridSpan w:val="7"/>
          </w:tcPr>
          <w:p>
            <w:pPr>
              <w:ind w:left="20"/>
              <w:spacing w:after="0"/>
              <w:rPr>
                <w:sz w:val="20"/>
                <w:szCs w:val="20"/>
                <w:color w:val="auto"/>
              </w:rPr>
            </w:pPr>
            <w:r>
              <w:rPr>
                <w:rFonts w:ascii="Times New Roman" w:cs="Times New Roman" w:eastAsia="Times New Roman" w:hAnsi="Times New Roman"/>
                <w:sz w:val="22"/>
                <w:szCs w:val="22"/>
                <w:color w:val="auto"/>
              </w:rPr>
              <w:t>3A001.a.1.a when usable</w:t>
            </w:r>
          </w:p>
        </w:tc>
        <w:tc>
          <w:tcPr>
            <w:tcW w:w="2180" w:type="dxa"/>
            <w:vAlign w:val="bottom"/>
            <w:tcBorders>
              <w:right w:val="single" w:sz="8" w:color="auto"/>
            </w:tcBorders>
          </w:tcPr>
          <w:p>
            <w:pPr>
              <w:spacing w:after="0"/>
              <w:rPr>
                <w:sz w:val="22"/>
                <w:szCs w:val="22"/>
                <w:color w:val="auto"/>
              </w:rPr>
            </w:pPr>
          </w:p>
        </w:tc>
      </w:tr>
      <w:tr>
        <w:trPr>
          <w:trHeight w:val="253"/>
        </w:trPr>
        <w:tc>
          <w:tcPr>
            <w:tcW w:w="38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in</w:t>
            </w:r>
          </w:p>
        </w:tc>
        <w:tc>
          <w:tcPr>
            <w:tcW w:w="1000" w:type="dxa"/>
            <w:vAlign w:val="bottom"/>
            <w:gridSpan w:val="3"/>
          </w:tcPr>
          <w:p>
            <w:pPr>
              <w:ind w:left="40"/>
              <w:spacing w:after="0"/>
              <w:rPr>
                <w:sz w:val="20"/>
                <w:szCs w:val="20"/>
                <w:color w:val="auto"/>
              </w:rPr>
            </w:pPr>
            <w:r>
              <w:rPr>
                <w:rFonts w:ascii="Times New Roman" w:cs="Times New Roman" w:eastAsia="Times New Roman" w:hAnsi="Times New Roman"/>
                <w:sz w:val="22"/>
                <w:szCs w:val="22"/>
                <w:color w:val="auto"/>
                <w:w w:val="97"/>
              </w:rPr>
              <w:t>“missiles”;</w:t>
            </w:r>
          </w:p>
        </w:tc>
        <w:tc>
          <w:tcPr>
            <w:tcW w:w="580" w:type="dxa"/>
            <w:vAlign w:val="bottom"/>
            <w:gridSpan w:val="2"/>
          </w:tcPr>
          <w:p>
            <w:pPr>
              <w:ind w:left="220"/>
              <w:spacing w:after="0"/>
              <w:rPr>
                <w:sz w:val="20"/>
                <w:szCs w:val="20"/>
                <w:color w:val="auto"/>
              </w:rPr>
            </w:pPr>
            <w:r>
              <w:rPr>
                <w:rFonts w:ascii="Times New Roman" w:cs="Times New Roman" w:eastAsia="Times New Roman" w:hAnsi="Times New Roman"/>
                <w:sz w:val="22"/>
                <w:szCs w:val="22"/>
                <w:color w:val="auto"/>
              </w:rPr>
              <w:t>and</w:t>
            </w:r>
          </w:p>
        </w:tc>
        <w:tc>
          <w:tcPr>
            <w:tcW w:w="38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to</w:t>
            </w:r>
          </w:p>
        </w:tc>
        <w:tc>
          <w:tcPr>
            <w:tcW w:w="2180" w:type="dxa"/>
            <w:vAlign w:val="bottom"/>
            <w:tcBorders>
              <w:right w:val="single" w:sz="8" w:color="auto"/>
            </w:tcBorders>
          </w:tcPr>
          <w:p>
            <w:pPr>
              <w:spacing w:after="0"/>
              <w:rPr>
                <w:sz w:val="22"/>
                <w:szCs w:val="22"/>
                <w:color w:val="auto"/>
              </w:rPr>
            </w:pPr>
          </w:p>
        </w:tc>
      </w:tr>
      <w:tr>
        <w:trPr>
          <w:trHeight w:val="253"/>
        </w:trPr>
        <w:tc>
          <w:tcPr>
            <w:tcW w:w="1240" w:type="dxa"/>
            <w:vAlign w:val="bottom"/>
            <w:tcBorders>
              <w:left w:val="single" w:sz="8" w:color="auto"/>
            </w:tcBorders>
            <w:gridSpan w:val="3"/>
          </w:tcPr>
          <w:p>
            <w:pPr>
              <w:ind w:left="20"/>
              <w:spacing w:after="0"/>
              <w:rPr>
                <w:sz w:val="20"/>
                <w:szCs w:val="20"/>
                <w:color w:val="auto"/>
              </w:rPr>
            </w:pPr>
            <w:r>
              <w:rPr>
                <w:rFonts w:ascii="Times New Roman" w:cs="Times New Roman" w:eastAsia="Times New Roman" w:hAnsi="Times New Roman"/>
                <w:sz w:val="22"/>
                <w:szCs w:val="22"/>
                <w:color w:val="auto"/>
              </w:rPr>
              <w:t>3A001.a.5.a</w:t>
            </w:r>
          </w:p>
        </w:tc>
        <w:tc>
          <w:tcPr>
            <w:tcW w:w="140" w:type="dxa"/>
            <w:vAlign w:val="bottom"/>
          </w:tcPr>
          <w:p>
            <w:pPr>
              <w:spacing w:after="0"/>
              <w:rPr>
                <w:sz w:val="22"/>
                <w:szCs w:val="22"/>
                <w:color w:val="auto"/>
              </w:rPr>
            </w:pPr>
          </w:p>
        </w:tc>
        <w:tc>
          <w:tcPr>
            <w:tcW w:w="440" w:type="dxa"/>
            <w:vAlign w:val="bottom"/>
          </w:tcPr>
          <w:p>
            <w:pPr>
              <w:spacing w:after="0"/>
              <w:rPr>
                <w:sz w:val="22"/>
                <w:szCs w:val="22"/>
                <w:color w:val="auto"/>
              </w:rPr>
            </w:pPr>
          </w:p>
        </w:tc>
        <w:tc>
          <w:tcPr>
            <w:tcW w:w="520" w:type="dxa"/>
            <w:vAlign w:val="bottom"/>
            <w:tcBorders>
              <w:right w:val="single" w:sz="8" w:color="auto"/>
            </w:tcBorders>
            <w:gridSpan w:val="2"/>
          </w:tcPr>
          <w:p>
            <w:pPr>
              <w:jc w:val="right"/>
              <w:spacing w:after="0"/>
              <w:rPr>
                <w:sz w:val="20"/>
                <w:szCs w:val="20"/>
                <w:color w:val="auto"/>
              </w:rPr>
            </w:pPr>
            <w:r>
              <w:rPr>
                <w:rFonts w:ascii="Times New Roman" w:cs="Times New Roman" w:eastAsia="Times New Roman" w:hAnsi="Times New Roman"/>
                <w:sz w:val="22"/>
                <w:szCs w:val="22"/>
                <w:color w:val="auto"/>
              </w:rPr>
              <w:t>when</w:t>
            </w:r>
          </w:p>
        </w:tc>
        <w:tc>
          <w:tcPr>
            <w:tcW w:w="2180" w:type="dxa"/>
            <w:vAlign w:val="bottom"/>
            <w:tcBorders>
              <w:right w:val="single" w:sz="8" w:color="auto"/>
            </w:tcBorders>
          </w:tcPr>
          <w:p>
            <w:pPr>
              <w:spacing w:after="0"/>
              <w:rPr>
                <w:sz w:val="22"/>
                <w:szCs w:val="22"/>
                <w:color w:val="auto"/>
              </w:rPr>
            </w:pPr>
          </w:p>
        </w:tc>
      </w:tr>
      <w:tr>
        <w:trPr>
          <w:trHeight w:val="252"/>
        </w:trPr>
        <w:tc>
          <w:tcPr>
            <w:tcW w:w="940" w:type="dxa"/>
            <w:vAlign w:val="bottom"/>
            <w:tcBorders>
              <w:lef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“designed</w:t>
            </w:r>
          </w:p>
        </w:tc>
        <w:tc>
          <w:tcPr>
            <w:tcW w:w="440" w:type="dxa"/>
            <w:vAlign w:val="bottom"/>
            <w:gridSpan w:val="2"/>
          </w:tcPr>
          <w:p>
            <w:pPr>
              <w:ind w:left="140"/>
              <w:spacing w:after="0"/>
              <w:rPr>
                <w:sz w:val="20"/>
                <w:szCs w:val="20"/>
                <w:color w:val="auto"/>
              </w:rPr>
            </w:pPr>
            <w:r>
              <w:rPr>
                <w:rFonts w:ascii="Times New Roman" w:cs="Times New Roman" w:eastAsia="Times New Roman" w:hAnsi="Times New Roman"/>
                <w:sz w:val="22"/>
                <w:szCs w:val="22"/>
                <w:color w:val="auto"/>
              </w:rPr>
              <w:t>or</w:t>
            </w:r>
          </w:p>
        </w:tc>
        <w:tc>
          <w:tcPr>
            <w:tcW w:w="960" w:type="dxa"/>
            <w:vAlign w:val="bottom"/>
            <w:tcBorders>
              <w:right w:val="single" w:sz="8" w:color="auto"/>
            </w:tcBorders>
            <w:gridSpan w:val="3"/>
          </w:tcPr>
          <w:p>
            <w:pPr>
              <w:jc w:val="right"/>
              <w:spacing w:after="0"/>
              <w:rPr>
                <w:sz w:val="20"/>
                <w:szCs w:val="20"/>
                <w:color w:val="auto"/>
              </w:rPr>
            </w:pPr>
            <w:r>
              <w:rPr>
                <w:rFonts w:ascii="Times New Roman" w:cs="Times New Roman" w:eastAsia="Times New Roman" w:hAnsi="Times New Roman"/>
                <w:sz w:val="22"/>
                <w:szCs w:val="22"/>
                <w:color w:val="auto"/>
              </w:rPr>
              <w:t>modified”</w:t>
            </w:r>
          </w:p>
        </w:tc>
        <w:tc>
          <w:tcPr>
            <w:tcW w:w="2180" w:type="dxa"/>
            <w:vAlign w:val="bottom"/>
            <w:tcBorders>
              <w:right w:val="single" w:sz="8" w:color="auto"/>
            </w:tcBorders>
          </w:tcPr>
          <w:p>
            <w:pPr>
              <w:spacing w:after="0"/>
              <w:rPr>
                <w:sz w:val="21"/>
                <w:szCs w:val="21"/>
                <w:color w:val="auto"/>
              </w:rPr>
            </w:pPr>
          </w:p>
        </w:tc>
      </w:tr>
      <w:tr>
        <w:trPr>
          <w:trHeight w:val="253"/>
        </w:trPr>
        <w:tc>
          <w:tcPr>
            <w:tcW w:w="38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for</w:t>
            </w:r>
          </w:p>
        </w:tc>
        <w:tc>
          <w:tcPr>
            <w:tcW w:w="1440" w:type="dxa"/>
            <w:vAlign w:val="bottom"/>
            <w:gridSpan w:val="4"/>
          </w:tcPr>
          <w:p>
            <w:pPr>
              <w:ind w:left="400"/>
              <w:spacing w:after="0"/>
              <w:rPr>
                <w:sz w:val="20"/>
                <w:szCs w:val="20"/>
                <w:color w:val="auto"/>
              </w:rPr>
            </w:pPr>
            <w:r>
              <w:rPr>
                <w:rFonts w:ascii="Times New Roman" w:cs="Times New Roman" w:eastAsia="Times New Roman" w:hAnsi="Times New Roman"/>
                <w:sz w:val="22"/>
                <w:szCs w:val="22"/>
                <w:color w:val="auto"/>
              </w:rPr>
              <w:t>military</w:t>
            </w:r>
          </w:p>
        </w:tc>
        <w:tc>
          <w:tcPr>
            <w:tcW w:w="140" w:type="dxa"/>
            <w:vAlign w:val="bottom"/>
          </w:tcPr>
          <w:p>
            <w:pPr>
              <w:spacing w:after="0"/>
              <w:rPr>
                <w:sz w:val="22"/>
                <w:szCs w:val="22"/>
                <w:color w:val="auto"/>
              </w:rPr>
            </w:pPr>
          </w:p>
        </w:tc>
        <w:tc>
          <w:tcPr>
            <w:tcW w:w="38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w w:val="97"/>
              </w:rPr>
              <w:t>use,</w:t>
            </w:r>
          </w:p>
        </w:tc>
        <w:tc>
          <w:tcPr>
            <w:tcW w:w="2180" w:type="dxa"/>
            <w:vAlign w:val="bottom"/>
            <w:tcBorders>
              <w:right w:val="single" w:sz="8" w:color="auto"/>
            </w:tcBorders>
          </w:tcPr>
          <w:p>
            <w:pPr>
              <w:spacing w:after="0"/>
              <w:rPr>
                <w:sz w:val="22"/>
                <w:szCs w:val="22"/>
                <w:color w:val="auto"/>
              </w:rPr>
            </w:pPr>
          </w:p>
        </w:tc>
      </w:tr>
      <w:tr>
        <w:trPr>
          <w:trHeight w:val="253"/>
        </w:trPr>
        <w:tc>
          <w:tcPr>
            <w:tcW w:w="1240" w:type="dxa"/>
            <w:vAlign w:val="bottom"/>
            <w:tcBorders>
              <w:left w:val="single" w:sz="8" w:color="auto"/>
            </w:tcBorders>
            <w:gridSpan w:val="3"/>
          </w:tcPr>
          <w:p>
            <w:pPr>
              <w:ind w:left="20"/>
              <w:spacing w:after="0"/>
              <w:rPr>
                <w:sz w:val="20"/>
                <w:szCs w:val="20"/>
                <w:color w:val="auto"/>
              </w:rPr>
            </w:pPr>
            <w:r>
              <w:rPr>
                <w:rFonts w:ascii="Times New Roman" w:cs="Times New Roman" w:eastAsia="Times New Roman" w:hAnsi="Times New Roman"/>
                <w:sz w:val="22"/>
                <w:szCs w:val="22"/>
                <w:color w:val="auto"/>
              </w:rPr>
              <w:t>hermetically</w:t>
            </w:r>
          </w:p>
        </w:tc>
        <w:tc>
          <w:tcPr>
            <w:tcW w:w="720" w:type="dxa"/>
            <w:vAlign w:val="bottom"/>
            <w:gridSpan w:val="3"/>
          </w:tcPr>
          <w:p>
            <w:pPr>
              <w:ind w:left="40"/>
              <w:spacing w:after="0"/>
              <w:rPr>
                <w:sz w:val="20"/>
                <w:szCs w:val="20"/>
                <w:color w:val="auto"/>
              </w:rPr>
            </w:pPr>
            <w:r>
              <w:rPr>
                <w:rFonts w:ascii="Times New Roman" w:cs="Times New Roman" w:eastAsia="Times New Roman" w:hAnsi="Times New Roman"/>
                <w:sz w:val="22"/>
                <w:szCs w:val="22"/>
                <w:color w:val="auto"/>
              </w:rPr>
              <w:t>sealed</w:t>
            </w:r>
          </w:p>
        </w:tc>
        <w:tc>
          <w:tcPr>
            <w:tcW w:w="38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and</w:t>
            </w:r>
          </w:p>
        </w:tc>
        <w:tc>
          <w:tcPr>
            <w:tcW w:w="2180" w:type="dxa"/>
            <w:vAlign w:val="bottom"/>
            <w:tcBorders>
              <w:right w:val="single" w:sz="8" w:color="auto"/>
            </w:tcBorders>
          </w:tcPr>
          <w:p>
            <w:pPr>
              <w:spacing w:after="0"/>
              <w:rPr>
                <w:sz w:val="22"/>
                <w:szCs w:val="22"/>
                <w:color w:val="auto"/>
              </w:rPr>
            </w:pPr>
          </w:p>
        </w:tc>
      </w:tr>
      <w:tr>
        <w:trPr>
          <w:trHeight w:val="253"/>
        </w:trPr>
        <w:tc>
          <w:tcPr>
            <w:tcW w:w="2340" w:type="dxa"/>
            <w:vAlign w:val="bottom"/>
            <w:tcBorders>
              <w:left w:val="single" w:sz="8" w:color="auto"/>
              <w:right w:val="single" w:sz="8" w:color="auto"/>
            </w:tcBorders>
            <w:gridSpan w:val="7"/>
          </w:tcPr>
          <w:p>
            <w:pPr>
              <w:ind w:left="20"/>
              <w:spacing w:after="0"/>
              <w:rPr>
                <w:sz w:val="20"/>
                <w:szCs w:val="20"/>
                <w:color w:val="auto"/>
              </w:rPr>
            </w:pPr>
            <w:r>
              <w:rPr>
                <w:rFonts w:ascii="Times New Roman" w:cs="Times New Roman" w:eastAsia="Times New Roman" w:hAnsi="Times New Roman"/>
                <w:sz w:val="22"/>
                <w:szCs w:val="22"/>
                <w:color w:val="auto"/>
              </w:rPr>
              <w:t>rated for operation in the</w:t>
            </w:r>
          </w:p>
        </w:tc>
        <w:tc>
          <w:tcPr>
            <w:tcW w:w="2180" w:type="dxa"/>
            <w:vAlign w:val="bottom"/>
            <w:tcBorders>
              <w:right w:val="single" w:sz="8" w:color="auto"/>
            </w:tcBorders>
          </w:tcPr>
          <w:p>
            <w:pPr>
              <w:spacing w:after="0"/>
              <w:rPr>
                <w:sz w:val="22"/>
                <w:szCs w:val="22"/>
                <w:color w:val="auto"/>
              </w:rPr>
            </w:pPr>
          </w:p>
        </w:tc>
      </w:tr>
      <w:tr>
        <w:trPr>
          <w:trHeight w:val="253"/>
        </w:trPr>
        <w:tc>
          <w:tcPr>
            <w:tcW w:w="1240" w:type="dxa"/>
            <w:vAlign w:val="bottom"/>
            <w:tcBorders>
              <w:left w:val="single" w:sz="8" w:color="auto"/>
            </w:tcBorders>
            <w:gridSpan w:val="3"/>
          </w:tcPr>
          <w:p>
            <w:pPr>
              <w:ind w:left="20"/>
              <w:spacing w:after="0"/>
              <w:rPr>
                <w:sz w:val="20"/>
                <w:szCs w:val="20"/>
                <w:color w:val="auto"/>
              </w:rPr>
            </w:pPr>
            <w:r>
              <w:rPr>
                <w:rFonts w:ascii="Times New Roman" w:cs="Times New Roman" w:eastAsia="Times New Roman" w:hAnsi="Times New Roman"/>
                <w:sz w:val="22"/>
                <w:szCs w:val="22"/>
                <w:color w:val="auto"/>
              </w:rPr>
              <w:t>temperature</w:t>
            </w:r>
          </w:p>
        </w:tc>
        <w:tc>
          <w:tcPr>
            <w:tcW w:w="580" w:type="dxa"/>
            <w:vAlign w:val="bottom"/>
            <w:gridSpan w:val="2"/>
          </w:tcPr>
          <w:p>
            <w:pPr>
              <w:spacing w:after="0"/>
              <w:rPr>
                <w:sz w:val="20"/>
                <w:szCs w:val="20"/>
                <w:color w:val="auto"/>
              </w:rPr>
            </w:pPr>
            <w:r>
              <w:rPr>
                <w:rFonts w:ascii="Times New Roman" w:cs="Times New Roman" w:eastAsia="Times New Roman" w:hAnsi="Times New Roman"/>
                <w:sz w:val="22"/>
                <w:szCs w:val="22"/>
                <w:color w:val="auto"/>
              </w:rPr>
              <w:t>range</w:t>
            </w:r>
          </w:p>
        </w:tc>
        <w:tc>
          <w:tcPr>
            <w:tcW w:w="520" w:type="dxa"/>
            <w:vAlign w:val="bottom"/>
            <w:tcBorders>
              <w:right w:val="single" w:sz="8" w:color="auto"/>
            </w:tcBorders>
            <w:gridSpan w:val="2"/>
          </w:tcPr>
          <w:p>
            <w:pPr>
              <w:jc w:val="right"/>
              <w:spacing w:after="0"/>
              <w:rPr>
                <w:sz w:val="20"/>
                <w:szCs w:val="20"/>
                <w:color w:val="auto"/>
              </w:rPr>
            </w:pPr>
            <w:r>
              <w:rPr>
                <w:rFonts w:ascii="Times New Roman" w:cs="Times New Roman" w:eastAsia="Times New Roman" w:hAnsi="Times New Roman"/>
                <w:sz w:val="22"/>
                <w:szCs w:val="22"/>
                <w:color w:val="auto"/>
              </w:rPr>
              <w:t>from</w:t>
            </w:r>
          </w:p>
        </w:tc>
        <w:tc>
          <w:tcPr>
            <w:tcW w:w="2180" w:type="dxa"/>
            <w:vAlign w:val="bottom"/>
            <w:tcBorders>
              <w:right w:val="single" w:sz="8" w:color="auto"/>
            </w:tcBorders>
          </w:tcPr>
          <w:p>
            <w:pPr>
              <w:spacing w:after="0"/>
              <w:rPr>
                <w:sz w:val="22"/>
                <w:szCs w:val="22"/>
                <w:color w:val="auto"/>
              </w:rPr>
            </w:pPr>
          </w:p>
        </w:tc>
      </w:tr>
      <w:tr>
        <w:trPr>
          <w:trHeight w:val="253"/>
        </w:trPr>
        <w:tc>
          <w:tcPr>
            <w:tcW w:w="2340" w:type="dxa"/>
            <w:vAlign w:val="bottom"/>
            <w:tcBorders>
              <w:left w:val="single" w:sz="8" w:color="auto"/>
              <w:right w:val="single" w:sz="8" w:color="auto"/>
            </w:tcBorders>
            <w:gridSpan w:val="7"/>
          </w:tcPr>
          <w:p>
            <w:pPr>
              <w:ind w:left="20"/>
              <w:spacing w:after="0"/>
              <w:rPr>
                <w:sz w:val="20"/>
                <w:szCs w:val="20"/>
                <w:color w:val="auto"/>
              </w:rPr>
            </w:pPr>
            <w:r>
              <w:rPr>
                <w:rFonts w:ascii="Times New Roman" w:cs="Times New Roman" w:eastAsia="Times New Roman" w:hAnsi="Times New Roman"/>
                <w:sz w:val="22"/>
                <w:szCs w:val="22"/>
                <w:color w:val="auto"/>
              </w:rPr>
              <w:t>below  -54ºC  to  above</w:t>
            </w:r>
          </w:p>
        </w:tc>
        <w:tc>
          <w:tcPr>
            <w:tcW w:w="2180" w:type="dxa"/>
            <w:vAlign w:val="bottom"/>
            <w:tcBorders>
              <w:right w:val="single" w:sz="8" w:color="auto"/>
            </w:tcBorders>
          </w:tcPr>
          <w:p>
            <w:pPr>
              <w:spacing w:after="0"/>
              <w:rPr>
                <w:sz w:val="22"/>
                <w:szCs w:val="22"/>
                <w:color w:val="auto"/>
              </w:rPr>
            </w:pPr>
          </w:p>
        </w:tc>
      </w:tr>
      <w:tr>
        <w:trPr>
          <w:trHeight w:val="269"/>
        </w:trPr>
        <w:tc>
          <w:tcPr>
            <w:tcW w:w="940" w:type="dxa"/>
            <w:vAlign w:val="bottom"/>
            <w:tcBorders>
              <w:left w:val="single" w:sz="8" w:color="auto"/>
              <w:bottom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+125ºC</w:t>
            </w:r>
          </w:p>
        </w:tc>
        <w:tc>
          <w:tcPr>
            <w:tcW w:w="300" w:type="dxa"/>
            <w:vAlign w:val="bottom"/>
            <w:tcBorders>
              <w:bottom w:val="single" w:sz="8" w:color="auto"/>
            </w:tcBorders>
          </w:tcPr>
          <w:p>
            <w:pPr>
              <w:spacing w:after="0"/>
              <w:rPr>
                <w:sz w:val="23"/>
                <w:szCs w:val="23"/>
                <w:color w:val="auto"/>
              </w:rPr>
            </w:pPr>
          </w:p>
        </w:tc>
        <w:tc>
          <w:tcPr>
            <w:tcW w:w="140" w:type="dxa"/>
            <w:vAlign w:val="bottom"/>
            <w:tcBorders>
              <w:bottom w:val="single" w:sz="8" w:color="auto"/>
            </w:tcBorders>
          </w:tcPr>
          <w:p>
            <w:pPr>
              <w:spacing w:after="0"/>
              <w:rPr>
                <w:sz w:val="23"/>
                <w:szCs w:val="23"/>
                <w:color w:val="auto"/>
              </w:rPr>
            </w:pPr>
          </w:p>
        </w:tc>
        <w:tc>
          <w:tcPr>
            <w:tcW w:w="440" w:type="dxa"/>
            <w:vAlign w:val="bottom"/>
            <w:tcBorders>
              <w:bottom w:val="single" w:sz="8" w:color="auto"/>
            </w:tcBorders>
          </w:tcPr>
          <w:p>
            <w:pPr>
              <w:spacing w:after="0"/>
              <w:rPr>
                <w:sz w:val="23"/>
                <w:szCs w:val="23"/>
                <w:color w:val="auto"/>
              </w:rPr>
            </w:pPr>
          </w:p>
        </w:tc>
        <w:tc>
          <w:tcPr>
            <w:tcW w:w="140" w:type="dxa"/>
            <w:vAlign w:val="bottom"/>
            <w:tcBorders>
              <w:bottom w:val="single" w:sz="8" w:color="auto"/>
            </w:tcBorders>
          </w:tcPr>
          <w:p>
            <w:pPr>
              <w:spacing w:after="0"/>
              <w:rPr>
                <w:sz w:val="23"/>
                <w:szCs w:val="23"/>
                <w:color w:val="auto"/>
              </w:rPr>
            </w:pPr>
          </w:p>
        </w:tc>
        <w:tc>
          <w:tcPr>
            <w:tcW w:w="380" w:type="dxa"/>
            <w:vAlign w:val="bottom"/>
            <w:tcBorders>
              <w:bottom w:val="single" w:sz="8" w:color="auto"/>
              <w:right w:val="single" w:sz="8" w:color="auto"/>
            </w:tcBorders>
          </w:tcPr>
          <w:p>
            <w:pPr>
              <w:spacing w:after="0"/>
              <w:rPr>
                <w:sz w:val="23"/>
                <w:szCs w:val="23"/>
                <w:color w:val="auto"/>
              </w:rPr>
            </w:pPr>
          </w:p>
        </w:tc>
        <w:tc>
          <w:tcPr>
            <w:tcW w:w="2180" w:type="dxa"/>
            <w:vAlign w:val="bottom"/>
            <w:tcBorders>
              <w:bottom w:val="single" w:sz="8" w:color="auto"/>
              <w:right w:val="single" w:sz="8" w:color="auto"/>
            </w:tcBorders>
          </w:tcPr>
          <w:p>
            <w:pPr>
              <w:spacing w:after="0"/>
              <w:rPr>
                <w:sz w:val="23"/>
                <w:szCs w:val="23"/>
                <w:color w:val="auto"/>
              </w:rPr>
            </w:pPr>
          </w:p>
        </w:tc>
      </w:tr>
      <w:tr>
        <w:trPr>
          <w:trHeight w:val="226"/>
        </w:trPr>
        <w:tc>
          <w:tcPr>
            <w:tcW w:w="380" w:type="dxa"/>
            <w:vAlign w:val="bottom"/>
            <w:tcBorders>
              <w:left w:val="single" w:sz="8" w:color="auto"/>
            </w:tcBorders>
          </w:tcPr>
          <w:p>
            <w:pPr>
              <w:ind w:left="20"/>
              <w:spacing w:after="0" w:line="226" w:lineRule="exact"/>
              <w:rPr>
                <w:sz w:val="20"/>
                <w:szCs w:val="20"/>
                <w:color w:val="auto"/>
              </w:rPr>
            </w:pPr>
            <w:r>
              <w:rPr>
                <w:rFonts w:ascii="Times New Roman" w:cs="Times New Roman" w:eastAsia="Times New Roman" w:hAnsi="Times New Roman"/>
                <w:sz w:val="22"/>
                <w:szCs w:val="22"/>
                <w:color w:val="auto"/>
              </w:rPr>
              <w:t>NP</w:t>
            </w:r>
          </w:p>
        </w:tc>
        <w:tc>
          <w:tcPr>
            <w:tcW w:w="860" w:type="dxa"/>
            <w:vAlign w:val="bottom"/>
            <w:gridSpan w:val="2"/>
          </w:tcPr>
          <w:p>
            <w:pPr>
              <w:jc w:val="right"/>
              <w:spacing w:after="0" w:line="226" w:lineRule="exact"/>
              <w:rPr>
                <w:sz w:val="20"/>
                <w:szCs w:val="20"/>
                <w:color w:val="auto"/>
              </w:rPr>
            </w:pPr>
            <w:r>
              <w:rPr>
                <w:rFonts w:ascii="Times New Roman" w:cs="Times New Roman" w:eastAsia="Times New Roman" w:hAnsi="Times New Roman"/>
                <w:sz w:val="22"/>
                <w:szCs w:val="22"/>
                <w:color w:val="auto"/>
              </w:rPr>
              <w:t>applies</w:t>
            </w:r>
          </w:p>
        </w:tc>
        <w:tc>
          <w:tcPr>
            <w:tcW w:w="140" w:type="dxa"/>
            <w:vAlign w:val="bottom"/>
          </w:tcPr>
          <w:p>
            <w:pPr>
              <w:spacing w:after="0"/>
              <w:rPr>
                <w:sz w:val="19"/>
                <w:szCs w:val="19"/>
                <w:color w:val="auto"/>
              </w:rPr>
            </w:pPr>
          </w:p>
        </w:tc>
        <w:tc>
          <w:tcPr>
            <w:tcW w:w="440" w:type="dxa"/>
            <w:vAlign w:val="bottom"/>
          </w:tcPr>
          <w:p>
            <w:pPr>
              <w:ind w:left="60"/>
              <w:spacing w:after="0" w:line="226" w:lineRule="exact"/>
              <w:rPr>
                <w:sz w:val="20"/>
                <w:szCs w:val="20"/>
                <w:color w:val="auto"/>
              </w:rPr>
            </w:pPr>
            <w:r>
              <w:rPr>
                <w:rFonts w:ascii="Times New Roman" w:cs="Times New Roman" w:eastAsia="Times New Roman" w:hAnsi="Times New Roman"/>
                <w:sz w:val="22"/>
                <w:szCs w:val="22"/>
                <w:color w:val="auto"/>
              </w:rPr>
              <w:t>to</w:t>
            </w:r>
          </w:p>
        </w:tc>
        <w:tc>
          <w:tcPr>
            <w:tcW w:w="520" w:type="dxa"/>
            <w:vAlign w:val="bottom"/>
            <w:tcBorders>
              <w:right w:val="single" w:sz="8" w:color="auto"/>
            </w:tcBorders>
            <w:gridSpan w:val="2"/>
          </w:tcPr>
          <w:p>
            <w:pPr>
              <w:jc w:val="right"/>
              <w:spacing w:after="0" w:line="226" w:lineRule="exact"/>
              <w:rPr>
                <w:sz w:val="20"/>
                <w:szCs w:val="20"/>
                <w:color w:val="auto"/>
              </w:rPr>
            </w:pPr>
            <w:r>
              <w:rPr>
                <w:rFonts w:ascii="Times New Roman" w:cs="Times New Roman" w:eastAsia="Times New Roman" w:hAnsi="Times New Roman"/>
                <w:sz w:val="22"/>
                <w:szCs w:val="22"/>
                <w:color w:val="auto"/>
              </w:rPr>
              <w:t>pulse</w:t>
            </w:r>
          </w:p>
        </w:tc>
        <w:tc>
          <w:tcPr>
            <w:tcW w:w="2180" w:type="dxa"/>
            <w:vAlign w:val="bottom"/>
            <w:tcBorders>
              <w:right w:val="single" w:sz="8" w:color="auto"/>
            </w:tcBorders>
          </w:tcPr>
          <w:p>
            <w:pPr>
              <w:spacing w:after="0" w:line="226" w:lineRule="exact"/>
              <w:rPr>
                <w:sz w:val="20"/>
                <w:szCs w:val="20"/>
                <w:color w:val="auto"/>
              </w:rPr>
            </w:pPr>
            <w:r>
              <w:rPr>
                <w:rFonts w:ascii="Times New Roman" w:cs="Times New Roman" w:eastAsia="Times New Roman" w:hAnsi="Times New Roman"/>
                <w:sz w:val="22"/>
                <w:szCs w:val="22"/>
                <w:color w:val="auto"/>
              </w:rPr>
              <w:t>NP Column 1</w:t>
            </w:r>
          </w:p>
        </w:tc>
      </w:tr>
      <w:tr>
        <w:trPr>
          <w:trHeight w:val="253"/>
        </w:trPr>
        <w:tc>
          <w:tcPr>
            <w:tcW w:w="940" w:type="dxa"/>
            <w:vAlign w:val="bottom"/>
            <w:tcBorders>
              <w:lef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discharge</w:t>
            </w:r>
          </w:p>
        </w:tc>
        <w:tc>
          <w:tcPr>
            <w:tcW w:w="1020" w:type="dxa"/>
            <w:vAlign w:val="bottom"/>
            <w:gridSpan w:val="4"/>
          </w:tcPr>
          <w:p>
            <w:pPr>
              <w:ind w:left="120"/>
              <w:spacing w:after="0"/>
              <w:rPr>
                <w:sz w:val="20"/>
                <w:szCs w:val="20"/>
                <w:color w:val="auto"/>
              </w:rPr>
            </w:pPr>
            <w:r>
              <w:rPr>
                <w:rFonts w:ascii="Times New Roman" w:cs="Times New Roman" w:eastAsia="Times New Roman" w:hAnsi="Times New Roman"/>
                <w:sz w:val="22"/>
                <w:szCs w:val="22"/>
                <w:color w:val="auto"/>
                <w:w w:val="98"/>
              </w:rPr>
              <w:t>capacitors</w:t>
            </w:r>
          </w:p>
        </w:tc>
        <w:tc>
          <w:tcPr>
            <w:tcW w:w="38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in</w:t>
            </w:r>
          </w:p>
        </w:tc>
        <w:tc>
          <w:tcPr>
            <w:tcW w:w="2180" w:type="dxa"/>
            <w:vAlign w:val="bottom"/>
            <w:tcBorders>
              <w:right w:val="single" w:sz="8" w:color="auto"/>
            </w:tcBorders>
          </w:tcPr>
          <w:p>
            <w:pPr>
              <w:spacing w:after="0"/>
              <w:rPr>
                <w:sz w:val="22"/>
                <w:szCs w:val="22"/>
                <w:color w:val="auto"/>
              </w:rPr>
            </w:pPr>
          </w:p>
        </w:tc>
      </w:tr>
      <w:tr>
        <w:trPr>
          <w:trHeight w:val="253"/>
        </w:trPr>
        <w:tc>
          <w:tcPr>
            <w:tcW w:w="1240" w:type="dxa"/>
            <w:vAlign w:val="bottom"/>
            <w:tcBorders>
              <w:left w:val="single" w:sz="8" w:color="auto"/>
            </w:tcBorders>
            <w:gridSpan w:val="3"/>
          </w:tcPr>
          <w:p>
            <w:pPr>
              <w:ind w:left="20"/>
              <w:spacing w:after="0"/>
              <w:rPr>
                <w:sz w:val="20"/>
                <w:szCs w:val="20"/>
                <w:color w:val="auto"/>
              </w:rPr>
            </w:pPr>
            <w:r>
              <w:rPr>
                <w:rFonts w:ascii="Times New Roman" w:cs="Times New Roman" w:eastAsia="Times New Roman" w:hAnsi="Times New Roman"/>
                <w:sz w:val="22"/>
                <w:szCs w:val="22"/>
                <w:color w:val="auto"/>
              </w:rPr>
              <w:t>3A001.e.2</w:t>
            </w:r>
          </w:p>
        </w:tc>
        <w:tc>
          <w:tcPr>
            <w:tcW w:w="140" w:type="dxa"/>
            <w:vAlign w:val="bottom"/>
          </w:tcPr>
          <w:p>
            <w:pPr>
              <w:spacing w:after="0"/>
              <w:rPr>
                <w:sz w:val="22"/>
                <w:szCs w:val="22"/>
                <w:color w:val="auto"/>
              </w:rPr>
            </w:pPr>
          </w:p>
        </w:tc>
        <w:tc>
          <w:tcPr>
            <w:tcW w:w="440" w:type="dxa"/>
            <w:vAlign w:val="bottom"/>
          </w:tcPr>
          <w:p>
            <w:pPr>
              <w:spacing w:after="0"/>
              <w:rPr>
                <w:sz w:val="22"/>
                <w:szCs w:val="22"/>
                <w:color w:val="auto"/>
              </w:rPr>
            </w:pPr>
          </w:p>
        </w:tc>
        <w:tc>
          <w:tcPr>
            <w:tcW w:w="140" w:type="dxa"/>
            <w:vAlign w:val="bottom"/>
          </w:tcPr>
          <w:p>
            <w:pPr>
              <w:spacing w:after="0"/>
              <w:rPr>
                <w:sz w:val="22"/>
                <w:szCs w:val="22"/>
                <w:color w:val="auto"/>
              </w:rPr>
            </w:pPr>
          </w:p>
        </w:tc>
        <w:tc>
          <w:tcPr>
            <w:tcW w:w="38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and</w:t>
            </w:r>
          </w:p>
        </w:tc>
        <w:tc>
          <w:tcPr>
            <w:tcW w:w="2180" w:type="dxa"/>
            <w:vAlign w:val="bottom"/>
            <w:tcBorders>
              <w:right w:val="single" w:sz="8" w:color="auto"/>
            </w:tcBorders>
          </w:tcPr>
          <w:p>
            <w:pPr>
              <w:spacing w:after="0"/>
              <w:rPr>
                <w:sz w:val="22"/>
                <w:szCs w:val="22"/>
                <w:color w:val="auto"/>
              </w:rPr>
            </w:pPr>
          </w:p>
        </w:tc>
      </w:tr>
      <w:tr>
        <w:trPr>
          <w:trHeight w:val="253"/>
        </w:trPr>
        <w:tc>
          <w:tcPr>
            <w:tcW w:w="1820" w:type="dxa"/>
            <w:vAlign w:val="bottom"/>
            <w:tcBorders>
              <w:left w:val="single" w:sz="8" w:color="auto"/>
            </w:tcBorders>
            <w:gridSpan w:val="5"/>
          </w:tcPr>
          <w:p>
            <w:pPr>
              <w:ind w:left="20"/>
              <w:spacing w:after="0"/>
              <w:rPr>
                <w:sz w:val="20"/>
                <w:szCs w:val="20"/>
                <w:color w:val="auto"/>
              </w:rPr>
            </w:pPr>
            <w:r>
              <w:rPr>
                <w:rFonts w:ascii="Times New Roman" w:cs="Times New Roman" w:eastAsia="Times New Roman" w:hAnsi="Times New Roman"/>
                <w:sz w:val="22"/>
                <w:szCs w:val="22"/>
                <w:color w:val="auto"/>
              </w:rPr>
              <w:t>superconducting</w:t>
            </w:r>
          </w:p>
        </w:tc>
        <w:tc>
          <w:tcPr>
            <w:tcW w:w="140" w:type="dxa"/>
            <w:vAlign w:val="bottom"/>
          </w:tcPr>
          <w:p>
            <w:pPr>
              <w:spacing w:after="0"/>
              <w:rPr>
                <w:sz w:val="22"/>
                <w:szCs w:val="22"/>
                <w:color w:val="auto"/>
              </w:rPr>
            </w:pPr>
          </w:p>
        </w:tc>
        <w:tc>
          <w:tcPr>
            <w:tcW w:w="380" w:type="dxa"/>
            <w:vAlign w:val="bottom"/>
            <w:tcBorders>
              <w:right w:val="single" w:sz="8" w:color="auto"/>
            </w:tcBorders>
          </w:tcPr>
          <w:p>
            <w:pPr>
              <w:spacing w:after="0"/>
              <w:rPr>
                <w:sz w:val="22"/>
                <w:szCs w:val="22"/>
                <w:color w:val="auto"/>
              </w:rPr>
            </w:pPr>
          </w:p>
        </w:tc>
        <w:tc>
          <w:tcPr>
            <w:tcW w:w="2180" w:type="dxa"/>
            <w:vAlign w:val="bottom"/>
            <w:tcBorders>
              <w:right w:val="single" w:sz="8" w:color="auto"/>
            </w:tcBorders>
          </w:tcPr>
          <w:p>
            <w:pPr>
              <w:spacing w:after="0"/>
              <w:rPr>
                <w:sz w:val="22"/>
                <w:szCs w:val="22"/>
                <w:color w:val="auto"/>
              </w:rPr>
            </w:pPr>
          </w:p>
        </w:tc>
      </w:tr>
      <w:tr>
        <w:trPr>
          <w:trHeight w:val="253"/>
        </w:trPr>
        <w:tc>
          <w:tcPr>
            <w:tcW w:w="940" w:type="dxa"/>
            <w:vAlign w:val="bottom"/>
            <w:tcBorders>
              <w:lef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w w:val="99"/>
              </w:rPr>
              <w:t>solenoidal</w:t>
            </w:r>
          </w:p>
        </w:tc>
        <w:tc>
          <w:tcPr>
            <w:tcW w:w="300" w:type="dxa"/>
            <w:vAlign w:val="bottom"/>
          </w:tcPr>
          <w:p>
            <w:pPr>
              <w:spacing w:after="0"/>
              <w:rPr>
                <w:sz w:val="22"/>
                <w:szCs w:val="22"/>
                <w:color w:val="auto"/>
              </w:rPr>
            </w:pPr>
          </w:p>
        </w:tc>
        <w:tc>
          <w:tcPr>
            <w:tcW w:w="140" w:type="dxa"/>
            <w:vAlign w:val="bottom"/>
          </w:tcPr>
          <w:p>
            <w:pPr>
              <w:spacing w:after="0"/>
              <w:rPr>
                <w:sz w:val="22"/>
                <w:szCs w:val="22"/>
                <w:color w:val="auto"/>
              </w:rPr>
            </w:pPr>
          </w:p>
        </w:tc>
        <w:tc>
          <w:tcPr>
            <w:tcW w:w="440" w:type="dxa"/>
            <w:vAlign w:val="bottom"/>
          </w:tcPr>
          <w:p>
            <w:pPr>
              <w:spacing w:after="0"/>
              <w:rPr>
                <w:sz w:val="22"/>
                <w:szCs w:val="22"/>
                <w:color w:val="auto"/>
              </w:rPr>
            </w:pPr>
          </w:p>
        </w:tc>
        <w:tc>
          <w:tcPr>
            <w:tcW w:w="140" w:type="dxa"/>
            <w:vAlign w:val="bottom"/>
          </w:tcPr>
          <w:p>
            <w:pPr>
              <w:spacing w:after="0"/>
              <w:rPr>
                <w:sz w:val="22"/>
                <w:szCs w:val="22"/>
                <w:color w:val="auto"/>
              </w:rPr>
            </w:pPr>
          </w:p>
        </w:tc>
        <w:tc>
          <w:tcPr>
            <w:tcW w:w="380" w:type="dxa"/>
            <w:vAlign w:val="bottom"/>
            <w:tcBorders>
              <w:right w:val="single" w:sz="8" w:color="auto"/>
            </w:tcBorders>
          </w:tcPr>
          <w:p>
            <w:pPr>
              <w:spacing w:after="0"/>
              <w:rPr>
                <w:sz w:val="22"/>
                <w:szCs w:val="22"/>
                <w:color w:val="auto"/>
              </w:rPr>
            </w:pPr>
          </w:p>
        </w:tc>
        <w:tc>
          <w:tcPr>
            <w:tcW w:w="2180" w:type="dxa"/>
            <w:vAlign w:val="bottom"/>
            <w:tcBorders>
              <w:right w:val="single" w:sz="8" w:color="auto"/>
            </w:tcBorders>
          </w:tcPr>
          <w:p>
            <w:pPr>
              <w:spacing w:after="0"/>
              <w:rPr>
                <w:sz w:val="22"/>
                <w:szCs w:val="22"/>
                <w:color w:val="auto"/>
              </w:rPr>
            </w:pPr>
          </w:p>
        </w:tc>
      </w:tr>
      <w:tr>
        <w:trPr>
          <w:trHeight w:val="253"/>
        </w:trPr>
        <w:tc>
          <w:tcPr>
            <w:tcW w:w="1380" w:type="dxa"/>
            <w:vAlign w:val="bottom"/>
            <w:tcBorders>
              <w:left w:val="single" w:sz="8" w:color="auto"/>
            </w:tcBorders>
            <w:gridSpan w:val="4"/>
          </w:tcPr>
          <w:p>
            <w:pPr>
              <w:ind w:left="20"/>
              <w:spacing w:after="0"/>
              <w:rPr>
                <w:sz w:val="20"/>
                <w:szCs w:val="20"/>
                <w:color w:val="auto"/>
              </w:rPr>
            </w:pPr>
            <w:r>
              <w:rPr>
                <w:rFonts w:ascii="Times New Roman" w:cs="Times New Roman" w:eastAsia="Times New Roman" w:hAnsi="Times New Roman"/>
                <w:sz w:val="22"/>
                <w:szCs w:val="22"/>
                <w:color w:val="auto"/>
              </w:rPr>
              <w:t>electromagnets</w:t>
            </w:r>
          </w:p>
        </w:tc>
        <w:tc>
          <w:tcPr>
            <w:tcW w:w="440" w:type="dxa"/>
            <w:vAlign w:val="bottom"/>
          </w:tcPr>
          <w:p>
            <w:pPr>
              <w:spacing w:after="0"/>
              <w:rPr>
                <w:sz w:val="22"/>
                <w:szCs w:val="22"/>
                <w:color w:val="auto"/>
              </w:rPr>
            </w:pPr>
          </w:p>
        </w:tc>
        <w:tc>
          <w:tcPr>
            <w:tcW w:w="140" w:type="dxa"/>
            <w:vAlign w:val="bottom"/>
          </w:tcPr>
          <w:p>
            <w:pPr>
              <w:spacing w:after="0"/>
              <w:rPr>
                <w:sz w:val="22"/>
                <w:szCs w:val="22"/>
                <w:color w:val="auto"/>
              </w:rPr>
            </w:pPr>
          </w:p>
        </w:tc>
        <w:tc>
          <w:tcPr>
            <w:tcW w:w="38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in</w:t>
            </w:r>
          </w:p>
        </w:tc>
        <w:tc>
          <w:tcPr>
            <w:tcW w:w="2180" w:type="dxa"/>
            <w:vAlign w:val="bottom"/>
            <w:tcBorders>
              <w:right w:val="single" w:sz="8" w:color="auto"/>
            </w:tcBorders>
          </w:tcPr>
          <w:p>
            <w:pPr>
              <w:spacing w:after="0"/>
              <w:rPr>
                <w:sz w:val="22"/>
                <w:szCs w:val="22"/>
                <w:color w:val="auto"/>
              </w:rPr>
            </w:pPr>
          </w:p>
        </w:tc>
      </w:tr>
      <w:tr>
        <w:trPr>
          <w:trHeight w:val="252"/>
        </w:trPr>
        <w:tc>
          <w:tcPr>
            <w:tcW w:w="2340" w:type="dxa"/>
            <w:vAlign w:val="bottom"/>
            <w:tcBorders>
              <w:left w:val="single" w:sz="8" w:color="auto"/>
              <w:right w:val="single" w:sz="8" w:color="auto"/>
            </w:tcBorders>
            <w:gridSpan w:val="7"/>
          </w:tcPr>
          <w:p>
            <w:pPr>
              <w:ind w:left="20"/>
              <w:spacing w:after="0"/>
              <w:rPr>
                <w:sz w:val="20"/>
                <w:szCs w:val="20"/>
                <w:color w:val="auto"/>
              </w:rPr>
            </w:pPr>
            <w:r>
              <w:rPr>
                <w:rFonts w:ascii="Times New Roman" w:cs="Times New Roman" w:eastAsia="Times New Roman" w:hAnsi="Times New Roman"/>
                <w:sz w:val="22"/>
                <w:szCs w:val="22"/>
                <w:color w:val="auto"/>
              </w:rPr>
              <w:t>3A001.e.3  that  meet  or</w:t>
            </w:r>
          </w:p>
        </w:tc>
        <w:tc>
          <w:tcPr>
            <w:tcW w:w="2180" w:type="dxa"/>
            <w:vAlign w:val="bottom"/>
            <w:tcBorders>
              <w:right w:val="single" w:sz="8" w:color="auto"/>
            </w:tcBorders>
          </w:tcPr>
          <w:p>
            <w:pPr>
              <w:spacing w:after="0"/>
              <w:rPr>
                <w:sz w:val="21"/>
                <w:szCs w:val="21"/>
                <w:color w:val="auto"/>
              </w:rPr>
            </w:pPr>
          </w:p>
        </w:tc>
      </w:tr>
      <w:tr>
        <w:trPr>
          <w:trHeight w:val="253"/>
        </w:trPr>
        <w:tc>
          <w:tcPr>
            <w:tcW w:w="940" w:type="dxa"/>
            <w:vAlign w:val="bottom"/>
            <w:tcBorders>
              <w:lef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exceed</w:t>
            </w:r>
          </w:p>
        </w:tc>
        <w:tc>
          <w:tcPr>
            <w:tcW w:w="300" w:type="dxa"/>
            <w:vAlign w:val="bottom"/>
          </w:tcPr>
          <w:p>
            <w:pPr>
              <w:spacing w:after="0"/>
              <w:rPr>
                <w:sz w:val="20"/>
                <w:szCs w:val="20"/>
                <w:color w:val="auto"/>
              </w:rPr>
            </w:pPr>
            <w:r>
              <w:rPr>
                <w:rFonts w:ascii="Times New Roman" w:cs="Times New Roman" w:eastAsia="Times New Roman" w:hAnsi="Times New Roman"/>
                <w:sz w:val="22"/>
                <w:szCs w:val="22"/>
                <w:color w:val="auto"/>
              </w:rPr>
              <w:t>the</w:t>
            </w:r>
          </w:p>
        </w:tc>
        <w:tc>
          <w:tcPr>
            <w:tcW w:w="140" w:type="dxa"/>
            <w:vAlign w:val="bottom"/>
          </w:tcPr>
          <w:p>
            <w:pPr>
              <w:spacing w:after="0"/>
              <w:rPr>
                <w:sz w:val="22"/>
                <w:szCs w:val="22"/>
                <w:color w:val="auto"/>
              </w:rPr>
            </w:pPr>
          </w:p>
        </w:tc>
        <w:tc>
          <w:tcPr>
            <w:tcW w:w="960" w:type="dxa"/>
            <w:vAlign w:val="bottom"/>
            <w:tcBorders>
              <w:right w:val="single" w:sz="8" w:color="auto"/>
            </w:tcBorders>
            <w:gridSpan w:val="3"/>
          </w:tcPr>
          <w:p>
            <w:pPr>
              <w:jc w:val="right"/>
              <w:spacing w:after="0"/>
              <w:rPr>
                <w:sz w:val="20"/>
                <w:szCs w:val="20"/>
                <w:color w:val="auto"/>
              </w:rPr>
            </w:pPr>
            <w:r>
              <w:rPr>
                <w:rFonts w:ascii="Times New Roman" w:cs="Times New Roman" w:eastAsia="Times New Roman" w:hAnsi="Times New Roman"/>
                <w:sz w:val="22"/>
                <w:szCs w:val="22"/>
                <w:color w:val="auto"/>
              </w:rPr>
              <w:t>technical</w:t>
            </w:r>
          </w:p>
        </w:tc>
        <w:tc>
          <w:tcPr>
            <w:tcW w:w="2180" w:type="dxa"/>
            <w:vAlign w:val="bottom"/>
            <w:tcBorders>
              <w:right w:val="single" w:sz="8" w:color="auto"/>
            </w:tcBorders>
          </w:tcPr>
          <w:p>
            <w:pPr>
              <w:spacing w:after="0"/>
              <w:rPr>
                <w:sz w:val="22"/>
                <w:szCs w:val="22"/>
                <w:color w:val="auto"/>
              </w:rPr>
            </w:pPr>
          </w:p>
        </w:tc>
      </w:tr>
      <w:tr>
        <w:trPr>
          <w:trHeight w:val="253"/>
        </w:trPr>
        <w:tc>
          <w:tcPr>
            <w:tcW w:w="1380" w:type="dxa"/>
            <w:vAlign w:val="bottom"/>
            <w:tcBorders>
              <w:left w:val="single" w:sz="8" w:color="auto"/>
            </w:tcBorders>
            <w:gridSpan w:val="4"/>
          </w:tcPr>
          <w:p>
            <w:pPr>
              <w:ind w:left="20"/>
              <w:spacing w:after="0"/>
              <w:rPr>
                <w:sz w:val="20"/>
                <w:szCs w:val="20"/>
                <w:color w:val="auto"/>
              </w:rPr>
            </w:pPr>
            <w:r>
              <w:rPr>
                <w:rFonts w:ascii="Times New Roman" w:cs="Times New Roman" w:eastAsia="Times New Roman" w:hAnsi="Times New Roman"/>
                <w:sz w:val="22"/>
                <w:szCs w:val="22"/>
                <w:color w:val="auto"/>
              </w:rPr>
              <w:t>parameters  in</w:t>
            </w:r>
          </w:p>
        </w:tc>
        <w:tc>
          <w:tcPr>
            <w:tcW w:w="960" w:type="dxa"/>
            <w:vAlign w:val="bottom"/>
            <w:tcBorders>
              <w:right w:val="single" w:sz="8" w:color="auto"/>
            </w:tcBorders>
            <w:gridSpan w:val="3"/>
          </w:tcPr>
          <w:p>
            <w:pPr>
              <w:jc w:val="right"/>
              <w:spacing w:after="0"/>
              <w:rPr>
                <w:sz w:val="20"/>
                <w:szCs w:val="20"/>
                <w:color w:val="auto"/>
              </w:rPr>
            </w:pPr>
            <w:r>
              <w:rPr>
                <w:rFonts w:ascii="Times New Roman" w:cs="Times New Roman" w:eastAsia="Times New Roman" w:hAnsi="Times New Roman"/>
                <w:sz w:val="22"/>
                <w:szCs w:val="22"/>
                <w:color w:val="auto"/>
              </w:rPr>
              <w:t>3A201.a</w:t>
            </w:r>
          </w:p>
        </w:tc>
        <w:tc>
          <w:tcPr>
            <w:tcW w:w="2180" w:type="dxa"/>
            <w:vAlign w:val="bottom"/>
            <w:tcBorders>
              <w:right w:val="single" w:sz="8" w:color="auto"/>
            </w:tcBorders>
          </w:tcPr>
          <w:p>
            <w:pPr>
              <w:spacing w:after="0"/>
              <w:rPr>
                <w:sz w:val="22"/>
                <w:szCs w:val="22"/>
                <w:color w:val="auto"/>
              </w:rPr>
            </w:pPr>
          </w:p>
        </w:tc>
      </w:tr>
      <w:tr>
        <w:trPr>
          <w:trHeight w:val="253"/>
        </w:trPr>
        <w:tc>
          <w:tcPr>
            <w:tcW w:w="38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and</w:t>
            </w:r>
          </w:p>
        </w:tc>
        <w:tc>
          <w:tcPr>
            <w:tcW w:w="560" w:type="dxa"/>
            <w:vAlign w:val="bottom"/>
          </w:tcPr>
          <w:p>
            <w:pPr>
              <w:spacing w:after="0"/>
              <w:rPr>
                <w:sz w:val="22"/>
                <w:szCs w:val="22"/>
                <w:color w:val="auto"/>
              </w:rPr>
            </w:pPr>
          </w:p>
        </w:tc>
        <w:tc>
          <w:tcPr>
            <w:tcW w:w="300" w:type="dxa"/>
            <w:vAlign w:val="bottom"/>
          </w:tcPr>
          <w:p>
            <w:pPr>
              <w:spacing w:after="0"/>
              <w:rPr>
                <w:sz w:val="22"/>
                <w:szCs w:val="22"/>
                <w:color w:val="auto"/>
              </w:rPr>
            </w:pPr>
          </w:p>
        </w:tc>
        <w:tc>
          <w:tcPr>
            <w:tcW w:w="140" w:type="dxa"/>
            <w:vAlign w:val="bottom"/>
          </w:tcPr>
          <w:p>
            <w:pPr>
              <w:spacing w:after="0"/>
              <w:rPr>
                <w:sz w:val="22"/>
                <w:szCs w:val="22"/>
                <w:color w:val="auto"/>
              </w:rPr>
            </w:pPr>
          </w:p>
        </w:tc>
        <w:tc>
          <w:tcPr>
            <w:tcW w:w="960" w:type="dxa"/>
            <w:vAlign w:val="bottom"/>
            <w:tcBorders>
              <w:right w:val="single" w:sz="8" w:color="auto"/>
            </w:tcBorders>
            <w:gridSpan w:val="3"/>
          </w:tcPr>
          <w:p>
            <w:pPr>
              <w:jc w:val="right"/>
              <w:spacing w:after="0"/>
              <w:rPr>
                <w:sz w:val="20"/>
                <w:szCs w:val="20"/>
                <w:color w:val="auto"/>
              </w:rPr>
            </w:pPr>
            <w:r>
              <w:rPr>
                <w:rFonts w:ascii="Times New Roman" w:cs="Times New Roman" w:eastAsia="Times New Roman" w:hAnsi="Times New Roman"/>
                <w:sz w:val="22"/>
                <w:szCs w:val="22"/>
                <w:color w:val="auto"/>
              </w:rPr>
              <w:t>3A201.b,</w:t>
            </w:r>
          </w:p>
        </w:tc>
        <w:tc>
          <w:tcPr>
            <w:tcW w:w="2180" w:type="dxa"/>
            <w:vAlign w:val="bottom"/>
            <w:tcBorders>
              <w:right w:val="single" w:sz="8" w:color="auto"/>
            </w:tcBorders>
          </w:tcPr>
          <w:p>
            <w:pPr>
              <w:spacing w:after="0"/>
              <w:rPr>
                <w:sz w:val="22"/>
                <w:szCs w:val="22"/>
                <w:color w:val="auto"/>
              </w:rPr>
            </w:pPr>
          </w:p>
        </w:tc>
      </w:tr>
      <w:tr>
        <w:trPr>
          <w:trHeight w:val="269"/>
        </w:trPr>
        <w:tc>
          <w:tcPr>
            <w:tcW w:w="1240" w:type="dxa"/>
            <w:vAlign w:val="bottom"/>
            <w:tcBorders>
              <w:left w:val="single" w:sz="8" w:color="auto"/>
              <w:bottom w:val="single" w:sz="8" w:color="auto"/>
            </w:tcBorders>
            <w:gridSpan w:val="3"/>
          </w:tcPr>
          <w:p>
            <w:pPr>
              <w:ind w:left="20"/>
              <w:spacing w:after="0"/>
              <w:rPr>
                <w:sz w:val="20"/>
                <w:szCs w:val="20"/>
                <w:color w:val="auto"/>
              </w:rPr>
            </w:pPr>
            <w:r>
              <w:rPr>
                <w:rFonts w:ascii="Times New Roman" w:cs="Times New Roman" w:eastAsia="Times New Roman" w:hAnsi="Times New Roman"/>
                <w:sz w:val="22"/>
                <w:szCs w:val="22"/>
                <w:color w:val="auto"/>
              </w:rPr>
              <w:t>respectively</w:t>
            </w:r>
          </w:p>
        </w:tc>
        <w:tc>
          <w:tcPr>
            <w:tcW w:w="140" w:type="dxa"/>
            <w:vAlign w:val="bottom"/>
            <w:tcBorders>
              <w:bottom w:val="single" w:sz="8" w:color="auto"/>
            </w:tcBorders>
          </w:tcPr>
          <w:p>
            <w:pPr>
              <w:spacing w:after="0"/>
              <w:rPr>
                <w:sz w:val="23"/>
                <w:szCs w:val="23"/>
                <w:color w:val="auto"/>
              </w:rPr>
            </w:pPr>
          </w:p>
        </w:tc>
        <w:tc>
          <w:tcPr>
            <w:tcW w:w="440" w:type="dxa"/>
            <w:vAlign w:val="bottom"/>
            <w:tcBorders>
              <w:bottom w:val="single" w:sz="8" w:color="auto"/>
            </w:tcBorders>
          </w:tcPr>
          <w:p>
            <w:pPr>
              <w:spacing w:after="0"/>
              <w:rPr>
                <w:sz w:val="23"/>
                <w:szCs w:val="23"/>
                <w:color w:val="auto"/>
              </w:rPr>
            </w:pPr>
          </w:p>
        </w:tc>
        <w:tc>
          <w:tcPr>
            <w:tcW w:w="140" w:type="dxa"/>
            <w:vAlign w:val="bottom"/>
            <w:tcBorders>
              <w:bottom w:val="single" w:sz="8" w:color="auto"/>
            </w:tcBorders>
          </w:tcPr>
          <w:p>
            <w:pPr>
              <w:spacing w:after="0"/>
              <w:rPr>
                <w:sz w:val="23"/>
                <w:szCs w:val="23"/>
                <w:color w:val="auto"/>
              </w:rPr>
            </w:pPr>
          </w:p>
        </w:tc>
        <w:tc>
          <w:tcPr>
            <w:tcW w:w="380" w:type="dxa"/>
            <w:vAlign w:val="bottom"/>
            <w:tcBorders>
              <w:bottom w:val="single" w:sz="8" w:color="auto"/>
              <w:right w:val="single" w:sz="8" w:color="auto"/>
            </w:tcBorders>
          </w:tcPr>
          <w:p>
            <w:pPr>
              <w:spacing w:after="0"/>
              <w:rPr>
                <w:sz w:val="23"/>
                <w:szCs w:val="23"/>
                <w:color w:val="auto"/>
              </w:rPr>
            </w:pPr>
          </w:p>
        </w:tc>
        <w:tc>
          <w:tcPr>
            <w:tcW w:w="2180" w:type="dxa"/>
            <w:vAlign w:val="bottom"/>
            <w:tcBorders>
              <w:bottom w:val="single" w:sz="8" w:color="auto"/>
              <w:right w:val="single" w:sz="8" w:color="auto"/>
            </w:tcBorders>
          </w:tcPr>
          <w:p>
            <w:pPr>
              <w:spacing w:after="0"/>
              <w:rPr>
                <w:sz w:val="23"/>
                <w:szCs w:val="23"/>
                <w:color w:val="auto"/>
              </w:rPr>
            </w:pPr>
          </w:p>
        </w:tc>
      </w:tr>
      <w:tr>
        <w:trPr>
          <w:trHeight w:val="243"/>
        </w:trPr>
        <w:tc>
          <w:tcPr>
            <w:tcW w:w="2340" w:type="dxa"/>
            <w:vAlign w:val="bottom"/>
            <w:tcBorders>
              <w:left w:val="single" w:sz="8" w:color="auto"/>
              <w:bottom w:val="single" w:sz="8" w:color="auto"/>
              <w:right w:val="single" w:sz="8" w:color="auto"/>
            </w:tcBorders>
            <w:gridSpan w:val="7"/>
          </w:tcPr>
          <w:p>
            <w:pPr>
              <w:ind w:left="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2180" w:type="dxa"/>
            <w:vAlign w:val="bottom"/>
            <w:tcBorders>
              <w:bottom w:val="single" w:sz="8" w:color="auto"/>
              <w:right w:val="single" w:sz="8" w:color="auto"/>
            </w:tcBorders>
          </w:tcPr>
          <w:p>
            <w:pPr>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3" w:lineRule="exact"/>
        <w:rPr>
          <w:sz w:val="24"/>
          <w:szCs w:val="24"/>
          <w:color w:val="auto"/>
        </w:rPr>
      </w:pPr>
    </w:p>
    <w:p>
      <w:pPr>
        <w:jc w:val="both"/>
        <w:ind w:left="100" w:right="100"/>
        <w:spacing w:after="0" w:line="244" w:lineRule="auto"/>
        <w:rPr>
          <w:sz w:val="20"/>
          <w:szCs w:val="20"/>
          <w:color w:val="auto"/>
        </w:rPr>
      </w:pPr>
      <w:r>
        <w:rPr>
          <w:rFonts w:ascii="Times New Roman" w:cs="Times New Roman" w:eastAsia="Times New Roman" w:hAnsi="Times New Roman"/>
          <w:sz w:val="22"/>
          <w:szCs w:val="22"/>
          <w:b w:val="1"/>
          <w:bCs w:val="1"/>
          <w:i w:val="1"/>
          <w:iCs w:val="1"/>
          <w:color w:val="auto"/>
        </w:rPr>
        <w:t>License Requirements Note</w:t>
      </w:r>
      <w:r>
        <w:rPr>
          <w:rFonts w:ascii="Times New Roman" w:cs="Times New Roman" w:eastAsia="Times New Roman" w:hAnsi="Times New Roman"/>
          <w:sz w:val="22"/>
          <w:szCs w:val="22"/>
          <w:i w:val="1"/>
          <w:iCs w:val="1"/>
          <w:color w:val="auto"/>
        </w:rPr>
        <w:t>: See § 744.17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the EAR for additional license requirements for microprocessors having a processing speed of 5 GFLOPS or more and an arithmetic logic unit with an access width of 32 bit or more, including those incorporating “information security” functionality, and associated “software” and “technology” for the “production” or “development” of such microprocessors.</w:t>
      </w:r>
    </w:p>
    <w:p>
      <w:pPr>
        <w:spacing w:after="0" w:line="234" w:lineRule="exact"/>
        <w:rPr>
          <w:sz w:val="24"/>
          <w:szCs w:val="24"/>
          <w:color w:val="auto"/>
        </w:rPr>
      </w:pPr>
    </w:p>
    <w:p>
      <w:pPr>
        <w:sectPr>
          <w:pgSz w:w="12240" w:h="15840" w:orient="portrait"/>
          <w:cols w:equalWidth="0" w:num="2">
            <w:col w:w="4520" w:space="520"/>
            <w:col w:w="4520"/>
          </w:cols>
          <w:pgMar w:left="1340" w:top="1062" w:right="1340" w:bottom="892" w:gutter="0" w:footer="0" w:header="0"/>
          <w:type w:val="continuous"/>
        </w:sectPr>
      </w:pPr>
    </w:p>
    <w:p>
      <w:pPr>
        <w:spacing w:after="0" w:line="181" w:lineRule="exact"/>
        <w:rPr>
          <w:sz w:val="24"/>
          <w:szCs w:val="24"/>
          <w:color w:val="auto"/>
        </w:rPr>
      </w:pPr>
    </w:p>
    <w:p>
      <w:pPr>
        <w:ind w:left="100"/>
        <w:spacing w:after="0"/>
        <w:tabs>
          <w:tab w:leader="none" w:pos="3520" w:val="left"/>
          <w:tab w:leader="none" w:pos="84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560"/>
          </w:cols>
          <w:pgMar w:left="1340" w:top="1062" w:right="1340" w:bottom="892" w:gutter="0" w:footer="0" w:header="0"/>
          <w:type w:val="continuous"/>
        </w:sectPr>
      </w:pPr>
    </w:p>
    <w:bookmarkStart w:id="1" w:name="page2"/>
    <w:bookmarkEnd w:id="1"/>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2</w:t>
      </w:r>
    </w:p>
    <w:p>
      <w:pPr>
        <w:sectPr>
          <w:pgSz w:w="12240" w:h="15840" w:orient="portrait"/>
          <w:cols w:equalWidth="0" w:num="1">
            <w:col w:w="9360"/>
          </w:cols>
          <w:pgMar w:left="1440" w:top="1062" w:right="1440" w:bottom="892" w:gutter="0" w:footer="0" w:header="0"/>
        </w:sectPr>
      </w:pPr>
    </w:p>
    <w:p>
      <w:pPr>
        <w:spacing w:after="0" w:line="200" w:lineRule="exact"/>
        <w:rPr>
          <w:sz w:val="20"/>
          <w:szCs w:val="20"/>
          <w:color w:val="auto"/>
        </w:rPr>
      </w:pPr>
    </w:p>
    <w:p>
      <w:pPr>
        <w:spacing w:after="0" w:line="294" w:lineRule="exact"/>
        <w:rPr>
          <w:sz w:val="20"/>
          <w:szCs w:val="20"/>
          <w:color w:val="auto"/>
        </w:rPr>
      </w:pPr>
    </w:p>
    <w:p>
      <w:pPr>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 for MT or NP; N/A for “Monolithic</w:t>
      </w:r>
    </w:p>
    <w:p>
      <w:pPr>
        <w:spacing w:after="0" w:line="4" w:lineRule="exact"/>
        <w:rPr>
          <w:sz w:val="20"/>
          <w:szCs w:val="20"/>
          <w:color w:val="auto"/>
        </w:rPr>
      </w:pPr>
    </w:p>
    <w:p>
      <w:pPr>
        <w:jc w:val="both"/>
        <w:ind w:left="720"/>
        <w:spacing w:after="0" w:line="246" w:lineRule="auto"/>
        <w:rPr>
          <w:sz w:val="20"/>
          <w:szCs w:val="20"/>
          <w:color w:val="auto"/>
        </w:rPr>
      </w:pPr>
      <w:r>
        <w:rPr>
          <w:rFonts w:ascii="Times New Roman" w:cs="Times New Roman" w:eastAsia="Times New Roman" w:hAnsi="Times New Roman"/>
          <w:sz w:val="22"/>
          <w:szCs w:val="22"/>
          <w:color w:val="auto"/>
        </w:rPr>
        <w:t>Microwave Integrated Circuit” (“MMIC”) amplifiers in 3A001.b.2 and discrete microwave transistors in 3A001.b.3, except those that are being exported or reexported for use in civil telecommunications applications</w:t>
      </w:r>
    </w:p>
    <w:p>
      <w:pPr>
        <w:spacing w:after="0" w:line="214"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Yes for:</w:t>
      </w:r>
    </w:p>
    <w:p>
      <w:pPr>
        <w:ind w:left="720"/>
        <w:spacing w:after="0"/>
        <w:rPr>
          <w:sz w:val="20"/>
          <w:szCs w:val="20"/>
          <w:color w:val="auto"/>
        </w:rPr>
      </w:pPr>
      <w:r>
        <w:rPr>
          <w:rFonts w:ascii="Times New Roman" w:cs="Times New Roman" w:eastAsia="Times New Roman" w:hAnsi="Times New Roman"/>
          <w:sz w:val="22"/>
          <w:szCs w:val="22"/>
          <w:color w:val="auto"/>
        </w:rPr>
        <w:t>$1500: 3A001.c</w:t>
      </w:r>
    </w:p>
    <w:p>
      <w:pPr>
        <w:jc w:val="both"/>
        <w:ind w:left="720"/>
        <w:spacing w:after="0" w:line="239" w:lineRule="auto"/>
        <w:rPr>
          <w:sz w:val="20"/>
          <w:szCs w:val="20"/>
          <w:color w:val="auto"/>
        </w:rPr>
      </w:pPr>
      <w:r>
        <w:rPr>
          <w:rFonts w:ascii="Times New Roman" w:cs="Times New Roman" w:eastAsia="Times New Roman" w:hAnsi="Times New Roman"/>
          <w:sz w:val="22"/>
          <w:szCs w:val="22"/>
          <w:color w:val="auto"/>
        </w:rPr>
        <w:t>$3000: 3A001.b.1, b.2 (exported or reexported for use in civil telecommunications applications), b.3 (exported or reexported for use in civil</w:t>
      </w:r>
    </w:p>
    <w:p>
      <w:pPr>
        <w:spacing w:after="0" w:line="4" w:lineRule="exact"/>
        <w:rPr>
          <w:sz w:val="20"/>
          <w:szCs w:val="20"/>
          <w:color w:val="auto"/>
        </w:rPr>
      </w:pPr>
    </w:p>
    <w:p>
      <w:pPr>
        <w:jc w:val="both"/>
        <w:ind w:left="720"/>
        <w:spacing w:after="0"/>
        <w:rPr>
          <w:sz w:val="20"/>
          <w:szCs w:val="20"/>
          <w:color w:val="auto"/>
        </w:rPr>
      </w:pPr>
      <w:r>
        <w:rPr>
          <w:rFonts w:ascii="Times New Roman" w:cs="Times New Roman" w:eastAsia="Times New Roman" w:hAnsi="Times New Roman"/>
          <w:sz w:val="22"/>
          <w:szCs w:val="22"/>
          <w:color w:val="auto"/>
        </w:rPr>
        <w:t>telecommunications applications), b.9, .d, .e, .f, and .g.</w:t>
      </w:r>
    </w:p>
    <w:p>
      <w:pPr>
        <w:jc w:val="both"/>
        <w:ind w:left="720"/>
        <w:spacing w:after="0" w:line="255" w:lineRule="auto"/>
        <w:rPr>
          <w:sz w:val="20"/>
          <w:szCs w:val="20"/>
          <w:color w:val="auto"/>
        </w:rPr>
      </w:pPr>
      <w:r>
        <w:rPr>
          <w:rFonts w:ascii="Times New Roman" w:cs="Times New Roman" w:eastAsia="Times New Roman" w:hAnsi="Times New Roman"/>
          <w:sz w:val="22"/>
          <w:szCs w:val="22"/>
          <w:color w:val="auto"/>
        </w:rPr>
        <w:t>$5000: 3A001.a (except a.1.a and a.5.a when controlled for MT), b.4 to b.7, and b.12.</w:t>
      </w:r>
    </w:p>
    <w:p>
      <w:pPr>
        <w:spacing w:after="0" w:line="201" w:lineRule="exact"/>
        <w:rPr>
          <w:sz w:val="20"/>
          <w:szCs w:val="20"/>
          <w:color w:val="auto"/>
        </w:rPr>
      </w:pPr>
    </w:p>
    <w:p>
      <w:pPr>
        <w:jc w:val="both"/>
        <w:ind w:left="720" w:hanging="575"/>
        <w:spacing w:after="0" w:line="245" w:lineRule="auto"/>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Yes</w:t>
      </w:r>
      <w:r>
        <w:rPr>
          <w:sz w:val="20"/>
          <w:szCs w:val="20"/>
          <w:color w:val="auto"/>
        </w:rPr>
        <w:t xml:space="preserve"> </w:t>
      </w:r>
      <w:r>
        <w:rPr>
          <w:rFonts w:ascii="Times New Roman" w:cs="Times New Roman" w:eastAsia="Times New Roman" w:hAnsi="Times New Roman"/>
          <w:sz w:val="22"/>
          <w:szCs w:val="22"/>
          <w:color w:val="auto"/>
        </w:rPr>
        <w:t>for 3A001.a.1.b, a.2 to a.14 (except .a.5.a when controlled for MT), b.2 (exported or reexported for use in civil telecommunications applications), b.8 (except for vacuum electronic device amplifiers exceeding 18 GHz), b.9, b.10, .g, .h, and .i.</w:t>
      </w:r>
    </w:p>
    <w:p>
      <w:pPr>
        <w:spacing w:after="0" w:line="217"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Yes for 3A001.a.3, a.7, and a.11.</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51" w:lineRule="exact"/>
        <w:rPr>
          <w:sz w:val="20"/>
          <w:szCs w:val="20"/>
          <w:color w:val="auto"/>
        </w:rPr>
      </w:pPr>
    </w:p>
    <w:p>
      <w:pPr>
        <w:jc w:val="both"/>
        <w:ind w:left="720" w:hanging="539"/>
        <w:spacing w:after="0" w:line="244" w:lineRule="auto"/>
        <w:tabs>
          <w:tab w:leader="none" w:pos="700" w:val="left"/>
        </w:tabs>
        <w:rPr>
          <w:sz w:val="20"/>
          <w:szCs w:val="20"/>
          <w:color w:val="auto"/>
        </w:rPr>
      </w:pPr>
      <w:r>
        <w:rPr>
          <w:rFonts w:ascii="Times New Roman" w:cs="Times New Roman" w:eastAsia="Times New Roman" w:hAnsi="Times New Roman"/>
          <w:sz w:val="22"/>
          <w:szCs w:val="22"/>
          <w:i w:val="1"/>
          <w:iCs w:val="1"/>
          <w:color w:val="auto"/>
        </w:rPr>
        <w:t>STA</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License Exception STA may not be used to ship any item in 3A001.b.2 or b.3, except those that are being exported or reexported for use in civil telecommunications applications, to any of the destinations listed in Country Group A:5 or A:6 (See Supplement No.1 to part 740 of the EAR).</w:t>
      </w:r>
    </w:p>
    <w:p>
      <w:pPr>
        <w:spacing w:after="0" w:line="22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0" w:lineRule="exact"/>
        <w:rPr>
          <w:sz w:val="20"/>
          <w:szCs w:val="20"/>
          <w:color w:val="auto"/>
        </w:rPr>
      </w:pPr>
      <w:r>
        <w:rPr>
          <w:sz w:val="20"/>
          <w:szCs w:val="20"/>
          <w:color w:val="auto"/>
        </w:rPr>
        <w:br w:type="column"/>
      </w:r>
    </w:p>
    <w:p>
      <w:pPr>
        <w:spacing w:after="0" w:line="221" w:lineRule="exact"/>
        <w:rPr>
          <w:sz w:val="20"/>
          <w:szCs w:val="20"/>
          <w:color w:val="auto"/>
        </w:rPr>
      </w:pPr>
    </w:p>
    <w:p>
      <w:pPr>
        <w:jc w:val="both"/>
        <w:ind w:left="180"/>
        <w:spacing w:after="0" w:line="245" w:lineRule="auto"/>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(1) See Category XV of the</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USML for certain “space-qualified” electronics and Category XI of the USML for certain ASICs, ‘transmit/receive modules,’ or ‘transmit modules’ “subject to the ITAR” (see 22 CFR parts 120 through 130) . (2) See also 3A101, 3A201, 3A611, 3A991, and 9A515.</w:t>
      </w:r>
    </w:p>
    <w:p>
      <w:pPr>
        <w:spacing w:after="0" w:line="215" w:lineRule="exact"/>
        <w:rPr>
          <w:sz w:val="20"/>
          <w:szCs w:val="20"/>
          <w:color w:val="auto"/>
        </w:rPr>
      </w:pPr>
    </w:p>
    <w:p>
      <w:pPr>
        <w:jc w:val="both"/>
        <w:ind w:left="180"/>
        <w:spacing w:after="0" w:line="239"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‘Microcircuit’ means a</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device in which a number of passive or active elements are considered as indivisibly associated on or within a continuous structure to perform the function of a circuit. For the purposes of integrated circuits in 3A001.a.1, 5 x 10</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Gy (Si) = 5 x 10</w:t>
      </w:r>
      <w:r>
        <w:rPr>
          <w:rFonts w:ascii="Times New Roman" w:cs="Times New Roman" w:eastAsia="Times New Roman" w:hAnsi="Times New Roman"/>
          <w:sz w:val="28"/>
          <w:szCs w:val="28"/>
          <w:color w:val="auto"/>
          <w:vertAlign w:val="superscript"/>
        </w:rPr>
        <w:t>5</w:t>
      </w:r>
      <w:r>
        <w:rPr>
          <w:rFonts w:ascii="Times New Roman" w:cs="Times New Roman" w:eastAsia="Times New Roman" w:hAnsi="Times New Roman"/>
          <w:sz w:val="22"/>
          <w:szCs w:val="22"/>
          <w:color w:val="auto"/>
        </w:rPr>
        <w:t xml:space="preserve"> Rads (Si); 5 x 10</w:t>
      </w:r>
      <w:r>
        <w:rPr>
          <w:rFonts w:ascii="Times New Roman" w:cs="Times New Roman" w:eastAsia="Times New Roman" w:hAnsi="Times New Roman"/>
          <w:sz w:val="28"/>
          <w:szCs w:val="28"/>
          <w:color w:val="auto"/>
          <w:vertAlign w:val="superscript"/>
        </w:rPr>
        <w:t>6</w:t>
      </w:r>
      <w:r>
        <w:rPr>
          <w:rFonts w:ascii="Times New Roman" w:cs="Times New Roman" w:eastAsia="Times New Roman" w:hAnsi="Times New Roman"/>
          <w:sz w:val="22"/>
          <w:szCs w:val="22"/>
          <w:color w:val="auto"/>
        </w:rPr>
        <w:t xml:space="preserve"> Gy (Si)/s = 5 x 10</w:t>
      </w:r>
      <w:r>
        <w:rPr>
          <w:rFonts w:ascii="Times New Roman" w:cs="Times New Roman" w:eastAsia="Times New Roman" w:hAnsi="Times New Roman"/>
          <w:sz w:val="28"/>
          <w:szCs w:val="28"/>
          <w:color w:val="auto"/>
          <w:vertAlign w:val="superscript"/>
        </w:rPr>
        <w:t>8</w:t>
      </w:r>
      <w:r>
        <w:rPr>
          <w:rFonts w:ascii="Times New Roman" w:cs="Times New Roman" w:eastAsia="Times New Roman" w:hAnsi="Times New Roman"/>
          <w:sz w:val="22"/>
          <w:szCs w:val="22"/>
          <w:color w:val="auto"/>
        </w:rPr>
        <w:t xml:space="preserve"> Rads (Si)/s.</w:t>
      </w:r>
    </w:p>
    <w:p>
      <w:pPr>
        <w:spacing w:after="0" w:line="125"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6" w:lineRule="exact"/>
        <w:rPr>
          <w:sz w:val="20"/>
          <w:szCs w:val="20"/>
          <w:color w:val="auto"/>
        </w:rPr>
      </w:pPr>
    </w:p>
    <w:p>
      <w:pPr>
        <w:spacing w:after="0" w:line="271" w:lineRule="auto"/>
        <w:tabs>
          <w:tab w:leader="none" w:pos="585" w:val="left"/>
        </w:tabs>
        <w:numPr>
          <w:ilvl w:val="0"/>
          <w:numId w:val="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General purpose integrated circuits, as follows:</w:t>
      </w:r>
    </w:p>
    <w:p>
      <w:pPr>
        <w:spacing w:after="0" w:line="183" w:lineRule="exact"/>
        <w:rPr>
          <w:sz w:val="20"/>
          <w:szCs w:val="20"/>
          <w:color w:val="auto"/>
        </w:rPr>
      </w:pPr>
    </w:p>
    <w:p>
      <w:pPr>
        <w:jc w:val="both"/>
        <w:ind w:firstLine="144"/>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Note 1</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The control status of wafers (finished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or unfinished), in which the function has been determined, is to be evaluated against the parameters of 3A001.a.</w:t>
      </w:r>
    </w:p>
    <w:p>
      <w:pPr>
        <w:spacing w:after="0" w:line="202" w:lineRule="exact"/>
        <w:rPr>
          <w:sz w:val="20"/>
          <w:szCs w:val="20"/>
          <w:color w:val="auto"/>
        </w:rPr>
      </w:pPr>
    </w:p>
    <w:p>
      <w:pPr>
        <w:jc w:val="both"/>
        <w:ind w:firstLine="144"/>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2: </w:t>
      </w:r>
      <w:r>
        <w:rPr>
          <w:rFonts w:ascii="Times New Roman" w:cs="Times New Roman" w:eastAsia="Times New Roman" w:hAnsi="Times New Roman"/>
          <w:sz w:val="22"/>
          <w:szCs w:val="22"/>
          <w:i w:val="1"/>
          <w:iCs w:val="1"/>
          <w:color w:val="auto"/>
        </w:rPr>
        <w:t>Integrated circuits include the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following types:</w:t>
      </w:r>
    </w:p>
    <w:p>
      <w:pPr>
        <w:spacing w:after="0" w:line="179" w:lineRule="exact"/>
        <w:rPr>
          <w:sz w:val="20"/>
          <w:szCs w:val="20"/>
          <w:color w:val="auto"/>
        </w:rPr>
      </w:pPr>
    </w:p>
    <w:p>
      <w:pPr>
        <w:ind w:left="380" w:hanging="236"/>
        <w:spacing w:after="0"/>
        <w:tabs>
          <w:tab w:leader="none" w:pos="380" w:val="left"/>
        </w:tabs>
        <w:numPr>
          <w:ilvl w:val="1"/>
          <w:numId w:val="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“Monolithic integrated circuits”;</w:t>
      </w:r>
    </w:p>
    <w:p>
      <w:pPr>
        <w:spacing w:after="0" w:line="4" w:lineRule="exact"/>
        <w:rPr>
          <w:rFonts w:ascii="Times New Roman" w:cs="Times New Roman" w:eastAsia="Times New Roman" w:hAnsi="Times New Roman"/>
          <w:sz w:val="22"/>
          <w:szCs w:val="22"/>
          <w:i w:val="1"/>
          <w:iCs w:val="1"/>
          <w:color w:val="auto"/>
        </w:rPr>
      </w:pPr>
    </w:p>
    <w:p>
      <w:pPr>
        <w:ind w:left="380" w:hanging="236"/>
        <w:spacing w:after="0"/>
        <w:tabs>
          <w:tab w:leader="none" w:pos="380" w:val="left"/>
        </w:tabs>
        <w:numPr>
          <w:ilvl w:val="1"/>
          <w:numId w:val="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“Hybrid integrated circuits”;</w:t>
      </w:r>
    </w:p>
    <w:p>
      <w:pPr>
        <w:ind w:left="380" w:hanging="236"/>
        <w:spacing w:after="0"/>
        <w:tabs>
          <w:tab w:leader="none" w:pos="380" w:val="left"/>
        </w:tabs>
        <w:numPr>
          <w:ilvl w:val="1"/>
          <w:numId w:val="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“Multichip integrated circuits”;</w:t>
      </w:r>
    </w:p>
    <w:p>
      <w:pPr>
        <w:ind w:left="460" w:hanging="350"/>
        <w:spacing w:after="0" w:line="239" w:lineRule="auto"/>
        <w:tabs>
          <w:tab w:leader="none" w:pos="414" w:val="left"/>
        </w:tabs>
        <w:numPr>
          <w:ilvl w:val="0"/>
          <w:numId w:val="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“Film type integrated circuits”, including silicon-on-sapphire integrated circuits;</w:t>
      </w:r>
    </w:p>
    <w:p>
      <w:pPr>
        <w:spacing w:after="0" w:line="1" w:lineRule="exact"/>
        <w:rPr>
          <w:rFonts w:ascii="Times New Roman" w:cs="Times New Roman" w:eastAsia="Times New Roman" w:hAnsi="Times New Roman"/>
          <w:sz w:val="22"/>
          <w:szCs w:val="22"/>
          <w:i w:val="1"/>
          <w:iCs w:val="1"/>
          <w:color w:val="auto"/>
        </w:rPr>
      </w:pPr>
    </w:p>
    <w:p>
      <w:pPr>
        <w:ind w:left="380" w:hanging="236"/>
        <w:spacing w:after="0"/>
        <w:tabs>
          <w:tab w:leader="none" w:pos="380" w:val="left"/>
        </w:tabs>
        <w:numPr>
          <w:ilvl w:val="1"/>
          <w:numId w:val="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“Optical integrated circuits”;</w:t>
      </w:r>
    </w:p>
    <w:p>
      <w:pPr>
        <w:ind w:left="280" w:hanging="136"/>
        <w:spacing w:after="0"/>
        <w:tabs>
          <w:tab w:leader="none" w:pos="280" w:val="left"/>
        </w:tabs>
        <w:numPr>
          <w:ilvl w:val="1"/>
          <w:numId w:val="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“Three dimensional integrated circuits”;</w:t>
      </w:r>
    </w:p>
    <w:p>
      <w:pPr>
        <w:ind w:left="360" w:hanging="194"/>
        <w:spacing w:after="0" w:line="271" w:lineRule="auto"/>
        <w:tabs>
          <w:tab w:leader="none" w:pos="304" w:val="left"/>
        </w:tabs>
        <w:numPr>
          <w:ilvl w:val="2"/>
          <w:numId w:val="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“Monolithic Microwave Integrated Circuits” (“MMICs”).</w:t>
      </w:r>
    </w:p>
    <w:p>
      <w:pPr>
        <w:spacing w:after="0" w:line="186"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a.1. Integrated circuits designed or rated as radiation hardened to withstand any of the following:</w:t>
      </w:r>
    </w:p>
    <w:p>
      <w:pPr>
        <w:spacing w:after="0" w:line="196" w:lineRule="exact"/>
        <w:rPr>
          <w:sz w:val="20"/>
          <w:szCs w:val="20"/>
          <w:color w:val="auto"/>
        </w:rPr>
      </w:pPr>
    </w:p>
    <w:p>
      <w:pPr>
        <w:jc w:val="both"/>
        <w:ind w:firstLine="288"/>
        <w:spacing w:after="0" w:line="229" w:lineRule="auto"/>
        <w:rPr>
          <w:sz w:val="20"/>
          <w:szCs w:val="20"/>
          <w:color w:val="auto"/>
        </w:rPr>
      </w:pPr>
      <w:r>
        <w:rPr>
          <w:rFonts w:ascii="Times New Roman" w:cs="Times New Roman" w:eastAsia="Times New Roman" w:hAnsi="Times New Roman"/>
          <w:sz w:val="22"/>
          <w:szCs w:val="22"/>
          <w:color w:val="auto"/>
        </w:rPr>
        <w:t>a.1.a. A total dose of 5 x 10</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Gy (Si), or higher;</w:t>
      </w:r>
    </w:p>
    <w:p>
      <w:pPr>
        <w:spacing w:after="0" w:line="200"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393"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2" w:name="page3"/>
    <w:bookmarkEnd w:id="2"/>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3</w:t>
      </w:r>
    </w:p>
    <w:p>
      <w:pPr>
        <w:sectPr>
          <w:pgSz w:w="12240" w:h="15840" w:orient="portrait"/>
          <w:cols w:equalWidth="0" w:num="1">
            <w:col w:w="9360"/>
          </w:cols>
          <w:pgMar w:left="1440" w:top="1062" w:right="1440" w:bottom="892" w:gutter="0" w:footer="0" w:header="0"/>
        </w:sectPr>
      </w:pPr>
    </w:p>
    <w:p>
      <w:pPr>
        <w:spacing w:after="0" w:line="234" w:lineRule="exact"/>
        <w:rPr>
          <w:sz w:val="20"/>
          <w:szCs w:val="20"/>
          <w:color w:val="auto"/>
        </w:rPr>
      </w:pPr>
    </w:p>
    <w:p>
      <w:pPr>
        <w:jc w:val="both"/>
        <w:ind w:firstLine="288"/>
        <w:spacing w:after="0" w:line="229" w:lineRule="auto"/>
        <w:rPr>
          <w:sz w:val="20"/>
          <w:szCs w:val="20"/>
          <w:color w:val="auto"/>
        </w:rPr>
      </w:pPr>
      <w:r>
        <w:rPr>
          <w:rFonts w:ascii="Times New Roman" w:cs="Times New Roman" w:eastAsia="Times New Roman" w:hAnsi="Times New Roman"/>
          <w:sz w:val="22"/>
          <w:szCs w:val="22"/>
          <w:color w:val="auto"/>
        </w:rPr>
        <w:t>a.1.b. A dose rate upset of 5 x 10</w:t>
      </w:r>
      <w:r>
        <w:rPr>
          <w:rFonts w:ascii="Times New Roman" w:cs="Times New Roman" w:eastAsia="Times New Roman" w:hAnsi="Times New Roman"/>
          <w:sz w:val="28"/>
          <w:szCs w:val="28"/>
          <w:color w:val="auto"/>
          <w:vertAlign w:val="superscript"/>
        </w:rPr>
        <w:t>6</w:t>
      </w:r>
      <w:r>
        <w:rPr>
          <w:rFonts w:ascii="Times New Roman" w:cs="Times New Roman" w:eastAsia="Times New Roman" w:hAnsi="Times New Roman"/>
          <w:sz w:val="22"/>
          <w:szCs w:val="22"/>
          <w:color w:val="auto"/>
        </w:rPr>
        <w:t xml:space="preserve"> Gy (Si)/s, or higher; </w:t>
      </w:r>
      <w:r>
        <w:rPr>
          <w:rFonts w:ascii="Times New Roman" w:cs="Times New Roman" w:eastAsia="Times New Roman" w:hAnsi="Times New Roman"/>
          <w:sz w:val="22"/>
          <w:szCs w:val="22"/>
          <w:i w:val="1"/>
          <w:iCs w:val="1"/>
          <w:color w:val="auto"/>
        </w:rPr>
        <w:t>or</w:t>
      </w:r>
    </w:p>
    <w:p>
      <w:pPr>
        <w:spacing w:after="0" w:line="221" w:lineRule="exact"/>
        <w:rPr>
          <w:sz w:val="20"/>
          <w:szCs w:val="20"/>
          <w:color w:val="auto"/>
        </w:rPr>
      </w:pPr>
    </w:p>
    <w:p>
      <w:pPr>
        <w:jc w:val="both"/>
        <w:ind w:firstLine="288"/>
        <w:spacing w:after="0" w:line="229" w:lineRule="auto"/>
        <w:rPr>
          <w:sz w:val="20"/>
          <w:szCs w:val="20"/>
          <w:color w:val="auto"/>
        </w:rPr>
      </w:pPr>
      <w:r>
        <w:rPr>
          <w:rFonts w:ascii="Times New Roman" w:cs="Times New Roman" w:eastAsia="Times New Roman" w:hAnsi="Times New Roman"/>
          <w:sz w:val="22"/>
          <w:szCs w:val="22"/>
          <w:color w:val="auto"/>
        </w:rPr>
        <w:t>a.1.c. A fluence (integrated flux) of neutrons (1 MeV equivalent) of 5 x 10</w:t>
      </w:r>
      <w:r>
        <w:rPr>
          <w:rFonts w:ascii="Times New Roman" w:cs="Times New Roman" w:eastAsia="Times New Roman" w:hAnsi="Times New Roman"/>
          <w:sz w:val="28"/>
          <w:szCs w:val="28"/>
          <w:color w:val="auto"/>
          <w:vertAlign w:val="superscript"/>
        </w:rPr>
        <w:t>13</w:t>
      </w:r>
      <w:r>
        <w:rPr>
          <w:rFonts w:ascii="Times New Roman" w:cs="Times New Roman" w:eastAsia="Times New Roman" w:hAnsi="Times New Roman"/>
          <w:sz w:val="22"/>
          <w:szCs w:val="22"/>
          <w:color w:val="auto"/>
        </w:rPr>
        <w:t xml:space="preserve"> n/cm² or higher on silicon, or its equivalent for other materials;</w:t>
      </w:r>
    </w:p>
    <w:p>
      <w:pPr>
        <w:spacing w:after="0" w:line="218" w:lineRule="exact"/>
        <w:rPr>
          <w:sz w:val="20"/>
          <w:szCs w:val="20"/>
          <w:color w:val="auto"/>
        </w:rPr>
      </w:pPr>
    </w:p>
    <w:p>
      <w:pPr>
        <w:jc w:val="both"/>
        <w:ind w:firstLine="288"/>
        <w:spacing w:after="0" w:line="275"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3A001.a.1.c does not apply to Metal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Insulator Semiconductors (MIS).</w:t>
      </w:r>
    </w:p>
    <w:p>
      <w:pPr>
        <w:spacing w:after="0" w:line="183" w:lineRule="exact"/>
        <w:rPr>
          <w:sz w:val="20"/>
          <w:szCs w:val="20"/>
          <w:color w:val="auto"/>
        </w:rPr>
      </w:pPr>
    </w:p>
    <w:p>
      <w:pPr>
        <w:jc w:val="both"/>
        <w:ind w:firstLine="144"/>
        <w:spacing w:after="0" w:line="241" w:lineRule="auto"/>
        <w:rPr>
          <w:sz w:val="20"/>
          <w:szCs w:val="20"/>
          <w:color w:val="auto"/>
        </w:rPr>
      </w:pPr>
      <w:r>
        <w:rPr>
          <w:rFonts w:ascii="Times New Roman" w:cs="Times New Roman" w:eastAsia="Times New Roman" w:hAnsi="Times New Roman"/>
          <w:sz w:val="22"/>
          <w:szCs w:val="22"/>
          <w:color w:val="auto"/>
        </w:rPr>
        <w:t>a.2. “Microprocessor microcircuits”, “microcomputer microcircuits”, microcontroller microcircuits, storage integrated circuits manufactured from a compound semiconductor, analog-to-digital converters, integrated circuits that contain analog-to-digital converters and store or process the digitized data, digital-to-analog converters, electro-optical or “optical integrated circuits” designed for “signal processing”, field programmable logic devices, custom integrated circuits for which either the function is unknown or the control status of the equipment in which the integrated circuit will be used in unknown, Fast Fourier Transform (FFT) processors, Static Random-Access Memories (SRAMs), or ‘non-volatile memories,’ having any of the following:</w:t>
      </w:r>
    </w:p>
    <w:p>
      <w:pPr>
        <w:spacing w:after="0" w:line="231" w:lineRule="exact"/>
        <w:rPr>
          <w:sz w:val="20"/>
          <w:szCs w:val="20"/>
          <w:color w:val="auto"/>
        </w:rPr>
      </w:pPr>
    </w:p>
    <w:p>
      <w:pPr>
        <w:jc w:val="both"/>
        <w:ind w:firstLine="144"/>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‘Non-volatile memories’ are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memories with data retention over a period of time after a power shutdown.</w:t>
      </w:r>
    </w:p>
    <w:p>
      <w:pPr>
        <w:spacing w:after="0" w:line="204"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a.2.a. Rated for operation at an ambient temperature above 398 K (+125˚C);</w:t>
      </w:r>
    </w:p>
    <w:p>
      <w:pPr>
        <w:spacing w:after="0" w:line="187"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 xml:space="preserve">a.2.b. Rated for operation at an ambient temperature below 218 K (-55˚C);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a.2.c. Rated for operation over the entire ambient temperature range from 218 K (-55˚C) to 398 K (125˚C);</w:t>
      </w:r>
    </w:p>
    <w:p>
      <w:pPr>
        <w:spacing w:after="0" w:line="200" w:lineRule="exact"/>
        <w:rPr>
          <w:sz w:val="20"/>
          <w:szCs w:val="20"/>
          <w:color w:val="auto"/>
        </w:rPr>
      </w:pPr>
    </w:p>
    <w:p>
      <w:pPr>
        <w:jc w:val="both"/>
        <w:ind w:firstLine="144"/>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3A001.a.2 does not apply to integrated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circuits for civil automobile or railway train applications.</w:t>
      </w:r>
    </w:p>
    <w:p>
      <w:pPr>
        <w:spacing w:after="0" w:line="201" w:lineRule="exact"/>
        <w:rPr>
          <w:sz w:val="20"/>
          <w:szCs w:val="20"/>
          <w:color w:val="auto"/>
        </w:rPr>
      </w:pPr>
    </w:p>
    <w:p>
      <w:pPr>
        <w:ind w:left="140"/>
        <w:spacing w:after="0"/>
        <w:tabs>
          <w:tab w:leader="none" w:pos="980" w:val="left"/>
          <w:tab w:leader="none" w:pos="2980" w:val="left"/>
        </w:tabs>
        <w:rPr>
          <w:sz w:val="20"/>
          <w:szCs w:val="20"/>
          <w:color w:val="auto"/>
        </w:rPr>
      </w:pPr>
      <w:r>
        <w:rPr>
          <w:rFonts w:ascii="Times New Roman" w:cs="Times New Roman" w:eastAsia="Times New Roman" w:hAnsi="Times New Roman"/>
          <w:sz w:val="22"/>
          <w:szCs w:val="22"/>
          <w:color w:val="auto"/>
        </w:rPr>
        <w:t>a.3.</w:t>
      </w:r>
      <w:r>
        <w:rPr>
          <w:sz w:val="20"/>
          <w:szCs w:val="20"/>
          <w:color w:val="auto"/>
        </w:rPr>
        <w:tab/>
      </w:r>
      <w:r>
        <w:rPr>
          <w:rFonts w:ascii="Times New Roman" w:cs="Times New Roman" w:eastAsia="Times New Roman" w:hAnsi="Times New Roman"/>
          <w:sz w:val="22"/>
          <w:szCs w:val="22"/>
          <w:color w:val="auto"/>
        </w:rPr>
        <w:t>“Microprocessor</w:t>
      </w:r>
      <w:r>
        <w:rPr>
          <w:sz w:val="20"/>
          <w:szCs w:val="20"/>
          <w:color w:val="auto"/>
        </w:rPr>
        <w:tab/>
      </w:r>
      <w:r>
        <w:rPr>
          <w:rFonts w:ascii="Times New Roman" w:cs="Times New Roman" w:eastAsia="Times New Roman" w:hAnsi="Times New Roman"/>
          <w:sz w:val="22"/>
          <w:szCs w:val="22"/>
          <w:color w:val="auto"/>
        </w:rPr>
        <w:t>microcircuits”,</w:t>
      </w:r>
    </w:p>
    <w:p>
      <w:pPr>
        <w:spacing w:after="0"/>
        <w:tabs>
          <w:tab w:leader="none" w:pos="2080" w:val="left"/>
          <w:tab w:leader="none" w:pos="3980" w:val="left"/>
        </w:tabs>
        <w:rPr>
          <w:sz w:val="20"/>
          <w:szCs w:val="20"/>
          <w:color w:val="auto"/>
        </w:rPr>
      </w:pPr>
      <w:r>
        <w:rPr>
          <w:rFonts w:ascii="Times New Roman" w:cs="Times New Roman" w:eastAsia="Times New Roman" w:hAnsi="Times New Roman"/>
          <w:sz w:val="22"/>
          <w:szCs w:val="22"/>
          <w:color w:val="auto"/>
        </w:rPr>
        <w:t>“microcomputer</w:t>
      </w:r>
      <w:r>
        <w:rPr>
          <w:sz w:val="20"/>
          <w:szCs w:val="20"/>
          <w:color w:val="auto"/>
        </w:rPr>
        <w:tab/>
      </w:r>
      <w:r>
        <w:rPr>
          <w:rFonts w:ascii="Times New Roman" w:cs="Times New Roman" w:eastAsia="Times New Roman" w:hAnsi="Times New Roman"/>
          <w:sz w:val="22"/>
          <w:szCs w:val="22"/>
          <w:color w:val="auto"/>
        </w:rPr>
        <w:t>microcircuits”</w:t>
      </w:r>
      <w:r>
        <w:rPr>
          <w:sz w:val="20"/>
          <w:szCs w:val="20"/>
          <w:color w:val="auto"/>
        </w:rPr>
        <w:tab/>
      </w:r>
      <w:r>
        <w:rPr>
          <w:rFonts w:ascii="Times New Roman" w:cs="Times New Roman" w:eastAsia="Times New Roman" w:hAnsi="Times New Roman"/>
          <w:sz w:val="22"/>
          <w:szCs w:val="22"/>
          <w:color w:val="auto"/>
        </w:rPr>
        <w:t>and</w:t>
      </w:r>
    </w:p>
    <w:p>
      <w:pPr>
        <w:spacing w:after="0" w:line="20" w:lineRule="exact"/>
        <w:rPr>
          <w:sz w:val="20"/>
          <w:szCs w:val="20"/>
          <w:color w:val="auto"/>
        </w:rPr>
      </w:pPr>
      <w:r>
        <w:rPr>
          <w:sz w:val="20"/>
          <w:szCs w:val="20"/>
          <w:color w:val="auto"/>
        </w:rPr>
        <w:br w:type="column"/>
      </w:r>
    </w:p>
    <w:p>
      <w:pPr>
        <w:spacing w:after="0" w:line="224" w:lineRule="exact"/>
        <w:rPr>
          <w:sz w:val="20"/>
          <w:szCs w:val="20"/>
          <w:color w:val="auto"/>
        </w:rPr>
      </w:pPr>
    </w:p>
    <w:p>
      <w:pPr>
        <w:jc w:val="both"/>
        <w:spacing w:after="0" w:line="255" w:lineRule="auto"/>
        <w:rPr>
          <w:sz w:val="20"/>
          <w:szCs w:val="20"/>
          <w:color w:val="auto"/>
        </w:rPr>
      </w:pPr>
      <w:r>
        <w:rPr>
          <w:rFonts w:ascii="Times New Roman" w:cs="Times New Roman" w:eastAsia="Times New Roman" w:hAnsi="Times New Roman"/>
          <w:sz w:val="22"/>
          <w:szCs w:val="22"/>
          <w:color w:val="auto"/>
        </w:rPr>
        <w:t>microcontroller microcircuits, manufactured from a compound semiconductor and operating at a clock frequency exceeding 40 MHz;</w:t>
      </w:r>
    </w:p>
    <w:p>
      <w:pPr>
        <w:spacing w:after="0" w:line="200" w:lineRule="exact"/>
        <w:rPr>
          <w:sz w:val="20"/>
          <w:szCs w:val="20"/>
          <w:color w:val="auto"/>
        </w:rPr>
      </w:pPr>
    </w:p>
    <w:p>
      <w:pPr>
        <w:jc w:val="both"/>
        <w:ind w:firstLine="144"/>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3A001.a.3 includes digital signal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processors, digital array processors and digital coprocessors.</w:t>
      </w:r>
    </w:p>
    <w:p>
      <w:pPr>
        <w:spacing w:after="0" w:line="201"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a.4.  [Reserved]</w:t>
      </w:r>
    </w:p>
    <w:p>
      <w:pPr>
        <w:spacing w:after="0" w:line="253"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a.5. Analog-to-Digital Converter (ADC) and Digital-to-Analog Converter (DAC) integrated circuits, as follows:</w:t>
      </w:r>
    </w:p>
    <w:p>
      <w:pPr>
        <w:spacing w:after="0" w:line="205"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color w:val="auto"/>
        </w:rPr>
        <w:t>a.5.a. ADCs having any of the following:</w:t>
      </w:r>
    </w:p>
    <w:p>
      <w:pPr>
        <w:spacing w:after="0" w:line="253" w:lineRule="exact"/>
        <w:rPr>
          <w:sz w:val="20"/>
          <w:szCs w:val="20"/>
          <w:color w:val="auto"/>
        </w:rPr>
      </w:pPr>
    </w:p>
    <w:p>
      <w:pPr>
        <w:jc w:val="both"/>
        <w:ind w:firstLine="576"/>
        <w:spacing w:after="0" w:line="255" w:lineRule="auto"/>
        <w:rPr>
          <w:sz w:val="20"/>
          <w:szCs w:val="20"/>
          <w:color w:val="auto"/>
        </w:rPr>
      </w:pPr>
      <w:r>
        <w:rPr>
          <w:rFonts w:ascii="Times New Roman" w:cs="Times New Roman" w:eastAsia="Times New Roman" w:hAnsi="Times New Roman"/>
          <w:sz w:val="22"/>
          <w:szCs w:val="22"/>
          <w:color w:val="auto"/>
        </w:rPr>
        <w:t>a.5.a.1. A resolution of 8 bit or more, but less than 10 bit, with a “sample rate” greater than 1.3 Giga Samples Per Second (GSPS);</w:t>
      </w:r>
    </w:p>
    <w:p>
      <w:pPr>
        <w:spacing w:after="0" w:line="205" w:lineRule="exact"/>
        <w:rPr>
          <w:sz w:val="20"/>
          <w:szCs w:val="20"/>
          <w:color w:val="auto"/>
        </w:rPr>
      </w:pPr>
    </w:p>
    <w:p>
      <w:pPr>
        <w:jc w:val="both"/>
        <w:ind w:firstLine="576"/>
        <w:spacing w:after="0" w:line="251" w:lineRule="auto"/>
        <w:rPr>
          <w:sz w:val="20"/>
          <w:szCs w:val="20"/>
          <w:color w:val="auto"/>
        </w:rPr>
      </w:pPr>
      <w:r>
        <w:rPr>
          <w:rFonts w:ascii="Times New Roman" w:cs="Times New Roman" w:eastAsia="Times New Roman" w:hAnsi="Times New Roman"/>
          <w:sz w:val="22"/>
          <w:szCs w:val="22"/>
          <w:color w:val="auto"/>
        </w:rPr>
        <w:t>a.5.a.2. A resolution of 10 bit or more, but less than 12 bit, with a “sample rate” rate greater than 600 Mega Samples Per Second (MSPS);</w:t>
      </w:r>
    </w:p>
    <w:p>
      <w:pPr>
        <w:spacing w:after="0" w:line="200" w:lineRule="exact"/>
        <w:rPr>
          <w:sz w:val="20"/>
          <w:szCs w:val="20"/>
          <w:color w:val="auto"/>
        </w:rPr>
      </w:pPr>
    </w:p>
    <w:p>
      <w:pPr>
        <w:spacing w:after="0" w:line="271" w:lineRule="exact"/>
        <w:rPr>
          <w:sz w:val="20"/>
          <w:szCs w:val="20"/>
          <w:color w:val="auto"/>
        </w:rPr>
      </w:pPr>
    </w:p>
    <w:p>
      <w:pPr>
        <w:jc w:val="both"/>
        <w:ind w:firstLine="576"/>
        <w:spacing w:after="0" w:line="255" w:lineRule="auto"/>
        <w:rPr>
          <w:sz w:val="20"/>
          <w:szCs w:val="20"/>
          <w:color w:val="auto"/>
        </w:rPr>
      </w:pPr>
      <w:r>
        <w:rPr>
          <w:rFonts w:ascii="Times New Roman" w:cs="Times New Roman" w:eastAsia="Times New Roman" w:hAnsi="Times New Roman"/>
          <w:sz w:val="22"/>
          <w:szCs w:val="22"/>
          <w:color w:val="auto"/>
        </w:rPr>
        <w:t>a.5.a.3. A resolution of 12 bit or more, but less than 14 bit, with a “sample rate” rate greater than 400 MSPS;</w:t>
      </w:r>
    </w:p>
    <w:p>
      <w:pPr>
        <w:spacing w:after="0" w:line="205" w:lineRule="exact"/>
        <w:rPr>
          <w:sz w:val="20"/>
          <w:szCs w:val="20"/>
          <w:color w:val="auto"/>
        </w:rPr>
      </w:pPr>
    </w:p>
    <w:p>
      <w:pPr>
        <w:jc w:val="both"/>
        <w:ind w:firstLine="576"/>
        <w:spacing w:after="0" w:line="255" w:lineRule="auto"/>
        <w:rPr>
          <w:sz w:val="20"/>
          <w:szCs w:val="20"/>
          <w:color w:val="auto"/>
        </w:rPr>
      </w:pPr>
      <w:r>
        <w:rPr>
          <w:rFonts w:ascii="Times New Roman" w:cs="Times New Roman" w:eastAsia="Times New Roman" w:hAnsi="Times New Roman"/>
          <w:sz w:val="22"/>
          <w:szCs w:val="22"/>
          <w:color w:val="auto"/>
        </w:rPr>
        <w:t xml:space="preserve">a.5.a.4. A resolution of 14 bit or more, but less than 16 bit, with a “sample rate” rate greater than 250 MSPS; </w:t>
      </w:r>
      <w:r>
        <w:rPr>
          <w:rFonts w:ascii="Times New Roman" w:cs="Times New Roman" w:eastAsia="Times New Roman" w:hAnsi="Times New Roman"/>
          <w:sz w:val="22"/>
          <w:szCs w:val="22"/>
          <w:i w:val="1"/>
          <w:iCs w:val="1"/>
          <w:color w:val="auto"/>
        </w:rPr>
        <w:t>or</w:t>
      </w:r>
    </w:p>
    <w:p>
      <w:pPr>
        <w:spacing w:after="0" w:line="206"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a.5.a.5. A resolution of 16 bit or more with a “sample rate” rate greater than 65 MSPS;</w:t>
      </w:r>
    </w:p>
    <w:p>
      <w:pPr>
        <w:spacing w:after="0" w:line="182" w:lineRule="exact"/>
        <w:rPr>
          <w:sz w:val="20"/>
          <w:szCs w:val="20"/>
          <w:color w:val="auto"/>
        </w:rPr>
      </w:pPr>
    </w:p>
    <w:p>
      <w:pPr>
        <w:jc w:val="both"/>
        <w:ind w:firstLine="144"/>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w:t>
      </w:r>
      <w:r>
        <w:rPr>
          <w:rFonts w:ascii="Times New Roman" w:cs="Times New Roman" w:eastAsia="Times New Roman" w:hAnsi="Times New Roman"/>
          <w:sz w:val="22"/>
          <w:szCs w:val="22"/>
          <w:i w:val="1"/>
          <w:iCs w:val="1"/>
          <w:color w:val="auto"/>
        </w:rPr>
        <w:t>For integrated circuits that contain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analog- to-digital converters and store or process the digitized data see 3A001.a.14.</w:t>
      </w:r>
    </w:p>
    <w:p>
      <w:pPr>
        <w:spacing w:after="0" w:line="19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r>
        <w:rPr>
          <w:rFonts w:ascii="Times New Roman" w:cs="Times New Roman" w:eastAsia="Times New Roman" w:hAnsi="Times New Roman"/>
          <w:sz w:val="22"/>
          <w:szCs w:val="22"/>
          <w:b w:val="1"/>
          <w:bCs w:val="1"/>
          <w:color w:val="auto"/>
        </w:rPr>
        <w:t>:</w:t>
      </w:r>
    </w:p>
    <w:p>
      <w:pPr>
        <w:spacing w:after="0" w:line="253" w:lineRule="exact"/>
        <w:rPr>
          <w:sz w:val="20"/>
          <w:szCs w:val="20"/>
          <w:color w:val="auto"/>
        </w:rPr>
      </w:pPr>
    </w:p>
    <w:p>
      <w:pPr>
        <w:jc w:val="both"/>
        <w:ind w:firstLine="144"/>
        <w:spacing w:after="0" w:line="289" w:lineRule="auto"/>
        <w:rPr>
          <w:sz w:val="20"/>
          <w:szCs w:val="20"/>
          <w:color w:val="auto"/>
        </w:rPr>
      </w:pPr>
      <w:r>
        <w:rPr>
          <w:rFonts w:ascii="Times New Roman" w:cs="Times New Roman" w:eastAsia="Times New Roman" w:hAnsi="Times New Roman"/>
          <w:sz w:val="22"/>
          <w:szCs w:val="22"/>
          <w:b w:val="1"/>
          <w:bCs w:val="1"/>
          <w:i w:val="1"/>
          <w:iCs w:val="1"/>
          <w:color w:val="auto"/>
        </w:rPr>
        <w:t>1</w:t>
      </w:r>
      <w:r>
        <w:rPr>
          <w:rFonts w:ascii="Times New Roman" w:cs="Times New Roman" w:eastAsia="Times New Roman" w:hAnsi="Times New Roman"/>
          <w:sz w:val="22"/>
          <w:szCs w:val="22"/>
          <w:i w:val="1"/>
          <w:iCs w:val="1"/>
          <w:color w:val="auto"/>
        </w:rPr>
        <w:t>. A resolution of n bit corresponds to a</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quantization of 2</w:t>
      </w:r>
      <w:r>
        <w:rPr>
          <w:rFonts w:ascii="Times New Roman" w:cs="Times New Roman" w:eastAsia="Times New Roman" w:hAnsi="Times New Roman"/>
          <w:sz w:val="28"/>
          <w:szCs w:val="28"/>
          <w:i w:val="1"/>
          <w:iCs w:val="1"/>
          <w:color w:val="auto"/>
          <w:vertAlign w:val="superscript"/>
        </w:rPr>
        <w:t>n</w:t>
      </w:r>
      <w:r>
        <w:rPr>
          <w:rFonts w:ascii="Times New Roman" w:cs="Times New Roman" w:eastAsia="Times New Roman" w:hAnsi="Times New Roman"/>
          <w:sz w:val="22"/>
          <w:szCs w:val="22"/>
          <w:i w:val="1"/>
          <w:iCs w:val="1"/>
          <w:color w:val="auto"/>
        </w:rPr>
        <w:t xml:space="preserve"> levels.</w:t>
      </w:r>
    </w:p>
    <w:p>
      <w:pPr>
        <w:spacing w:after="0" w:line="69" w:lineRule="exact"/>
        <w:rPr>
          <w:sz w:val="20"/>
          <w:szCs w:val="20"/>
          <w:color w:val="auto"/>
        </w:rPr>
      </w:pPr>
    </w:p>
    <w:p>
      <w:pPr>
        <w:jc w:val="both"/>
        <w:ind w:firstLine="199"/>
        <w:spacing w:after="0" w:line="257" w:lineRule="auto"/>
        <w:tabs>
          <w:tab w:leader="none" w:pos="484" w:val="left"/>
        </w:tabs>
        <w:numPr>
          <w:ilvl w:val="0"/>
          <w:numId w:val="4"/>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The resolution of the ADC is the number of bits of the digital output that represents the measured analog input. Effective Number of</w:t>
      </w:r>
    </w:p>
    <w:p>
      <w:pPr>
        <w:spacing w:after="0" w:line="200"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268"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3" w:name="page4"/>
    <w:bookmarkEnd w:id="3"/>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4</w:t>
      </w:r>
    </w:p>
    <w:p>
      <w:pPr>
        <w:sectPr>
          <w:pgSz w:w="12240" w:h="15840" w:orient="portrait"/>
          <w:cols w:equalWidth="0" w:num="1">
            <w:col w:w="9360"/>
          </w:cols>
          <w:pgMar w:left="1440" w:top="1062" w:right="1440" w:bottom="892" w:gutter="0" w:footer="0" w:header="0"/>
        </w:sectPr>
      </w:pPr>
    </w:p>
    <w:p>
      <w:pPr>
        <w:spacing w:after="0" w:line="242" w:lineRule="exact"/>
        <w:rPr>
          <w:sz w:val="20"/>
          <w:szCs w:val="20"/>
          <w:color w:val="auto"/>
        </w:rPr>
      </w:pPr>
    </w:p>
    <w:p>
      <w:pPr>
        <w:spacing w:after="0" w:line="274" w:lineRule="auto"/>
        <w:rPr>
          <w:sz w:val="20"/>
          <w:szCs w:val="20"/>
          <w:color w:val="auto"/>
        </w:rPr>
      </w:pPr>
      <w:r>
        <w:rPr>
          <w:rFonts w:ascii="Times New Roman" w:cs="Times New Roman" w:eastAsia="Times New Roman" w:hAnsi="Times New Roman"/>
          <w:sz w:val="22"/>
          <w:szCs w:val="22"/>
          <w:i w:val="1"/>
          <w:iCs w:val="1"/>
          <w:color w:val="auto"/>
        </w:rPr>
        <w:t>Bits (ENOB) is not used to determine the resolution of the ADC.</w:t>
      </w:r>
    </w:p>
    <w:p>
      <w:pPr>
        <w:spacing w:after="0" w:line="181" w:lineRule="exact"/>
        <w:rPr>
          <w:sz w:val="20"/>
          <w:szCs w:val="20"/>
          <w:color w:val="auto"/>
        </w:rPr>
      </w:pPr>
    </w:p>
    <w:p>
      <w:pPr>
        <w:jc w:val="both"/>
        <w:ind w:firstLine="144"/>
        <w:spacing w:after="0" w:line="257" w:lineRule="auto"/>
        <w:tabs>
          <w:tab w:leader="none" w:pos="380" w:val="left"/>
        </w:tabs>
        <w:numPr>
          <w:ilvl w:val="0"/>
          <w:numId w:val="5"/>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For “multiple channel ADCs”, the “sample rate” is not aggregated and the “sample rate” is the maximum rate of any single channel.</w:t>
      </w:r>
    </w:p>
    <w:p>
      <w:pPr>
        <w:spacing w:after="0" w:line="200" w:lineRule="exact"/>
        <w:rPr>
          <w:rFonts w:ascii="Times New Roman" w:cs="Times New Roman" w:eastAsia="Times New Roman" w:hAnsi="Times New Roman"/>
          <w:sz w:val="22"/>
          <w:szCs w:val="22"/>
          <w:b w:val="1"/>
          <w:bCs w:val="1"/>
          <w:i w:val="1"/>
          <w:iCs w:val="1"/>
          <w:color w:val="auto"/>
        </w:rPr>
      </w:pPr>
    </w:p>
    <w:p>
      <w:pPr>
        <w:jc w:val="both"/>
        <w:ind w:firstLine="144"/>
        <w:spacing w:after="0" w:line="246" w:lineRule="auto"/>
        <w:tabs>
          <w:tab w:leader="none" w:pos="414" w:val="left"/>
        </w:tabs>
        <w:numPr>
          <w:ilvl w:val="0"/>
          <w:numId w:val="5"/>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For “interleaved ADCs” or for “multiple channel ADCs” that are specified to have an interleaved mode of operation, the “sample rates” are aggregated and the “sample rate” is the maximum combined total rate of all of the interleaved channels.</w:t>
      </w:r>
    </w:p>
    <w:p>
      <w:pPr>
        <w:spacing w:after="0" w:line="217" w:lineRule="exact"/>
        <w:rPr>
          <w:sz w:val="20"/>
          <w:szCs w:val="20"/>
          <w:color w:val="auto"/>
        </w:rPr>
      </w:pPr>
    </w:p>
    <w:p>
      <w:pPr>
        <w:ind w:left="140"/>
        <w:spacing w:after="0"/>
        <w:tabs>
          <w:tab w:leader="none" w:pos="780" w:val="left"/>
          <w:tab w:leader="none" w:pos="2540" w:val="left"/>
          <w:tab w:leader="none" w:pos="3680" w:val="left"/>
        </w:tabs>
        <w:rPr>
          <w:sz w:val="20"/>
          <w:szCs w:val="20"/>
          <w:color w:val="auto"/>
        </w:rPr>
      </w:pPr>
      <w:r>
        <w:rPr>
          <w:rFonts w:ascii="Times New Roman" w:cs="Times New Roman" w:eastAsia="Times New Roman" w:hAnsi="Times New Roman"/>
          <w:sz w:val="22"/>
          <w:szCs w:val="22"/>
          <w:color w:val="auto"/>
        </w:rPr>
        <w:t>a.5.b.</w:t>
        <w:tab/>
        <w:t>Digital-to-Analog</w:t>
        <w:tab/>
        <w:t>Converters</w:t>
        <w:tab/>
        <w:t>(DAC)</w:t>
      </w:r>
    </w:p>
    <w:p>
      <w:pPr>
        <w:spacing w:after="0"/>
        <w:rPr>
          <w:sz w:val="20"/>
          <w:szCs w:val="20"/>
          <w:color w:val="auto"/>
        </w:rPr>
      </w:pPr>
      <w:r>
        <w:rPr>
          <w:rFonts w:ascii="Times New Roman" w:cs="Times New Roman" w:eastAsia="Times New Roman" w:hAnsi="Times New Roman"/>
          <w:sz w:val="22"/>
          <w:szCs w:val="22"/>
          <w:color w:val="auto"/>
        </w:rPr>
        <w:t>having any of the following:</w:t>
      </w:r>
    </w:p>
    <w:p>
      <w:pPr>
        <w:spacing w:after="0" w:line="353"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 xml:space="preserve">a.5.b.1. A resolution of 10 bit or more with an ‘adjusted update rate’ of greater than 3,500 MSPS; </w:t>
      </w:r>
      <w:r>
        <w:rPr>
          <w:rFonts w:ascii="Times New Roman" w:cs="Times New Roman" w:eastAsia="Times New Roman" w:hAnsi="Times New Roman"/>
          <w:sz w:val="22"/>
          <w:szCs w:val="22"/>
          <w:i w:val="1"/>
          <w:iCs w:val="1"/>
          <w:color w:val="auto"/>
        </w:rPr>
        <w:t>or</w:t>
      </w:r>
    </w:p>
    <w:p>
      <w:pPr>
        <w:spacing w:after="0" w:line="200" w:lineRule="exact"/>
        <w:rPr>
          <w:sz w:val="20"/>
          <w:szCs w:val="20"/>
          <w:color w:val="auto"/>
        </w:rPr>
      </w:pPr>
    </w:p>
    <w:p>
      <w:pPr>
        <w:spacing w:after="0" w:line="206"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a.5.b.2. A resolution of 12-bit or more with an ‘adjusted update rate’ of greater than 1,250 MSPS and having any of the following:</w:t>
      </w:r>
    </w:p>
    <w:p>
      <w:pPr>
        <w:spacing w:after="0" w:line="306" w:lineRule="exact"/>
        <w:rPr>
          <w:sz w:val="20"/>
          <w:szCs w:val="20"/>
          <w:color w:val="auto"/>
        </w:rPr>
      </w:pPr>
    </w:p>
    <w:p>
      <w:pPr>
        <w:jc w:val="both"/>
        <w:ind w:firstLine="576"/>
        <w:spacing w:after="0" w:line="255" w:lineRule="auto"/>
        <w:rPr>
          <w:sz w:val="20"/>
          <w:szCs w:val="20"/>
          <w:color w:val="auto"/>
        </w:rPr>
      </w:pPr>
      <w:r>
        <w:rPr>
          <w:rFonts w:ascii="Times New Roman" w:cs="Times New Roman" w:eastAsia="Times New Roman" w:hAnsi="Times New Roman"/>
          <w:sz w:val="22"/>
          <w:szCs w:val="22"/>
          <w:color w:val="auto"/>
        </w:rPr>
        <w:t xml:space="preserve">a.5.b.2.a. A settling time less than 9 ns to arrive at or within 0.024 % of full scale from a full scale step; </w:t>
      </w:r>
      <w:r>
        <w:rPr>
          <w:rFonts w:ascii="Times New Roman" w:cs="Times New Roman" w:eastAsia="Times New Roman" w:hAnsi="Times New Roman"/>
          <w:sz w:val="22"/>
          <w:szCs w:val="22"/>
          <w:i w:val="1"/>
          <w:iCs w:val="1"/>
          <w:color w:val="auto"/>
        </w:rPr>
        <w:t>or</w:t>
      </w:r>
    </w:p>
    <w:p>
      <w:pPr>
        <w:spacing w:after="0" w:line="205" w:lineRule="exact"/>
        <w:rPr>
          <w:sz w:val="20"/>
          <w:szCs w:val="20"/>
          <w:color w:val="auto"/>
        </w:rPr>
      </w:pPr>
    </w:p>
    <w:p>
      <w:pPr>
        <w:jc w:val="both"/>
        <w:ind w:firstLine="576"/>
        <w:spacing w:after="0" w:line="247" w:lineRule="auto"/>
        <w:rPr>
          <w:sz w:val="20"/>
          <w:szCs w:val="20"/>
          <w:color w:val="auto"/>
        </w:rPr>
      </w:pPr>
      <w:r>
        <w:rPr>
          <w:rFonts w:ascii="Times New Roman" w:cs="Times New Roman" w:eastAsia="Times New Roman" w:hAnsi="Times New Roman"/>
          <w:sz w:val="22"/>
          <w:szCs w:val="22"/>
          <w:color w:val="auto"/>
        </w:rPr>
        <w:t>a.5.b.2.b. A ‘Spurious Free Dynamic Range’ (SFDR) greater than 68 dBc (carrier) when synthesizing a full scale analog signal of 100 MHz or the highest full scale analog signal frequency specified below 100 MHz.</w:t>
      </w:r>
    </w:p>
    <w:p>
      <w:pPr>
        <w:spacing w:after="0" w:line="21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54" w:lineRule="exact"/>
        <w:rPr>
          <w:sz w:val="20"/>
          <w:szCs w:val="20"/>
          <w:color w:val="auto"/>
        </w:rPr>
      </w:pPr>
    </w:p>
    <w:p>
      <w:pPr>
        <w:jc w:val="both"/>
        <w:spacing w:after="0" w:line="246" w:lineRule="auto"/>
        <w:tabs>
          <w:tab w:leader="none" w:pos="343" w:val="left"/>
        </w:tabs>
        <w:numPr>
          <w:ilvl w:val="0"/>
          <w:numId w:val="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‘Spurious Free Dynamic Range’ (SFDR) is defined as the ratio of the RMS value of the carrier frequency (maximum signal component) at the input of the DAC to the RMS value of the next largest noise or harmonic distortion component at its output.</w:t>
      </w:r>
    </w:p>
    <w:p>
      <w:pPr>
        <w:spacing w:after="0" w:line="215" w:lineRule="exact"/>
        <w:rPr>
          <w:rFonts w:ascii="Times New Roman" w:cs="Times New Roman" w:eastAsia="Times New Roman" w:hAnsi="Times New Roman"/>
          <w:sz w:val="22"/>
          <w:szCs w:val="22"/>
          <w:i w:val="1"/>
          <w:iCs w:val="1"/>
          <w:color w:val="auto"/>
        </w:rPr>
      </w:pPr>
    </w:p>
    <w:p>
      <w:pPr>
        <w:jc w:val="both"/>
        <w:spacing w:after="0" w:line="257" w:lineRule="auto"/>
        <w:tabs>
          <w:tab w:leader="none" w:pos="352" w:val="left"/>
        </w:tabs>
        <w:numPr>
          <w:ilvl w:val="0"/>
          <w:numId w:val="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SFDR is determined directly from the specification table or from the characterization plots of SFDR versus frequency.</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5" w:lineRule="exact"/>
        <w:rPr>
          <w:sz w:val="20"/>
          <w:szCs w:val="20"/>
          <w:color w:val="auto"/>
        </w:rPr>
      </w:pPr>
    </w:p>
    <w:p>
      <w:pPr>
        <w:spacing w:after="0" w:line="273" w:lineRule="auto"/>
        <w:tabs>
          <w:tab w:leader="none" w:pos="328" w:val="left"/>
        </w:tabs>
        <w:numPr>
          <w:ilvl w:val="0"/>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signal is defined to be full scale when its amplitude is greater than -3 dBfs (full scale).</w:t>
      </w:r>
    </w:p>
    <w:p>
      <w:pPr>
        <w:spacing w:after="0" w:line="182" w:lineRule="exact"/>
        <w:rPr>
          <w:rFonts w:ascii="Times New Roman" w:cs="Times New Roman" w:eastAsia="Times New Roman" w:hAnsi="Times New Roman"/>
          <w:sz w:val="22"/>
          <w:szCs w:val="22"/>
          <w:i w:val="1"/>
          <w:iCs w:val="1"/>
          <w:color w:val="auto"/>
        </w:rPr>
      </w:pPr>
    </w:p>
    <w:p>
      <w:pPr>
        <w:ind w:left="340" w:hanging="285"/>
        <w:spacing w:after="0"/>
        <w:tabs>
          <w:tab w:leader="none" w:pos="340" w:val="left"/>
        </w:tabs>
        <w:numPr>
          <w:ilvl w:val="1"/>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‘Adjusted update rate’ for DACs is:</w:t>
      </w:r>
    </w:p>
    <w:p>
      <w:pPr>
        <w:spacing w:after="0" w:line="253" w:lineRule="exact"/>
        <w:rPr>
          <w:rFonts w:ascii="Times New Roman" w:cs="Times New Roman" w:eastAsia="Times New Roman" w:hAnsi="Times New Roman"/>
          <w:sz w:val="22"/>
          <w:szCs w:val="22"/>
          <w:i w:val="1"/>
          <w:iCs w:val="1"/>
          <w:color w:val="auto"/>
        </w:rPr>
      </w:pPr>
    </w:p>
    <w:p>
      <w:pPr>
        <w:jc w:val="both"/>
        <w:ind w:firstLine="144"/>
        <w:spacing w:after="0" w:line="244" w:lineRule="auto"/>
        <w:tabs>
          <w:tab w:leader="none" w:pos="432" w:val="left"/>
        </w:tabs>
        <w:numPr>
          <w:ilvl w:val="2"/>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conventional (non-interpolating) DACs, the ‘adjusted update rate’ is the rate at which the digital signal is converted to an analog signal and the output analog values are changed by the DAC. For DACs where the interpolation mode may be bypassed (interpolation factor of one), the DAC should be considered as a conventional (non-interpolating) DAC.</w:t>
      </w:r>
    </w:p>
    <w:p>
      <w:pPr>
        <w:spacing w:after="0" w:line="214" w:lineRule="exact"/>
        <w:rPr>
          <w:rFonts w:ascii="Times New Roman" w:cs="Times New Roman" w:eastAsia="Times New Roman" w:hAnsi="Times New Roman"/>
          <w:sz w:val="22"/>
          <w:szCs w:val="22"/>
          <w:i w:val="1"/>
          <w:iCs w:val="1"/>
          <w:color w:val="auto"/>
        </w:rPr>
      </w:pPr>
    </w:p>
    <w:p>
      <w:pPr>
        <w:jc w:val="both"/>
        <w:ind w:firstLine="144"/>
        <w:spacing w:after="0" w:line="246" w:lineRule="auto"/>
        <w:tabs>
          <w:tab w:leader="none" w:pos="432" w:val="left"/>
        </w:tabs>
        <w:numPr>
          <w:ilvl w:val="2"/>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interpolating DACs (oversampling DACs), the ‘adjusted update rate’ is defined as the DAC update rate divided by the smallest interpolating factor. For interpolating DACs, the ‘adjusted update rate’ may be referred to by different terms including:</w:t>
      </w:r>
    </w:p>
    <w:p>
      <w:pPr>
        <w:spacing w:after="0" w:line="215" w:lineRule="exact"/>
        <w:rPr>
          <w:sz w:val="20"/>
          <w:szCs w:val="20"/>
          <w:color w:val="auto"/>
        </w:rPr>
      </w:pPr>
    </w:p>
    <w:p>
      <w:pPr>
        <w:ind w:left="140" w:hanging="140"/>
        <w:spacing w:after="0"/>
        <w:tabs>
          <w:tab w:leader="none" w:pos="140" w:val="left"/>
        </w:tabs>
        <w:numPr>
          <w:ilvl w:val="0"/>
          <w:numId w:val="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input data rate</w:t>
      </w:r>
    </w:p>
    <w:p>
      <w:pPr>
        <w:spacing w:after="0" w:line="3" w:lineRule="exact"/>
        <w:rPr>
          <w:rFonts w:ascii="Times New Roman" w:cs="Times New Roman" w:eastAsia="Times New Roman" w:hAnsi="Times New Roman"/>
          <w:sz w:val="22"/>
          <w:szCs w:val="22"/>
          <w:i w:val="1"/>
          <w:iCs w:val="1"/>
          <w:color w:val="auto"/>
        </w:rPr>
      </w:pPr>
    </w:p>
    <w:p>
      <w:pPr>
        <w:ind w:left="140" w:hanging="140"/>
        <w:spacing w:after="0"/>
        <w:tabs>
          <w:tab w:leader="none" w:pos="140" w:val="left"/>
        </w:tabs>
        <w:numPr>
          <w:ilvl w:val="0"/>
          <w:numId w:val="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input word rate</w:t>
      </w:r>
    </w:p>
    <w:p>
      <w:pPr>
        <w:ind w:left="140" w:hanging="140"/>
        <w:spacing w:after="0"/>
        <w:tabs>
          <w:tab w:leader="none" w:pos="140" w:val="left"/>
        </w:tabs>
        <w:numPr>
          <w:ilvl w:val="0"/>
          <w:numId w:val="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input sample rate</w:t>
      </w:r>
    </w:p>
    <w:p>
      <w:pPr>
        <w:ind w:left="140" w:hanging="140"/>
        <w:spacing w:after="0"/>
        <w:tabs>
          <w:tab w:leader="none" w:pos="140" w:val="left"/>
        </w:tabs>
        <w:numPr>
          <w:ilvl w:val="0"/>
          <w:numId w:val="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maximum total input bus rate</w:t>
      </w:r>
    </w:p>
    <w:p>
      <w:pPr>
        <w:ind w:left="140" w:hanging="140"/>
        <w:spacing w:after="0"/>
        <w:tabs>
          <w:tab w:leader="none" w:pos="140" w:val="left"/>
        </w:tabs>
        <w:numPr>
          <w:ilvl w:val="0"/>
          <w:numId w:val="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maximum DAC clock rate for DAC clock input.</w:t>
      </w:r>
    </w:p>
    <w:p>
      <w:pPr>
        <w:spacing w:after="0" w:line="251"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a.6. Electro-optical and “optical integrated circuits”, designed for “signal processing” and having all of the following:</w:t>
      </w:r>
    </w:p>
    <w:p>
      <w:pPr>
        <w:spacing w:after="0" w:line="206"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a.6.a. One or more than one internal “laser” diode;</w:t>
      </w:r>
    </w:p>
    <w:p>
      <w:pPr>
        <w:spacing w:after="0" w:line="187"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 xml:space="preserve">a.6.b. One or more than one internal light detecting element; </w:t>
      </w:r>
      <w:r>
        <w:rPr>
          <w:rFonts w:ascii="Times New Roman" w:cs="Times New Roman" w:eastAsia="Times New Roman" w:hAnsi="Times New Roman"/>
          <w:sz w:val="22"/>
          <w:szCs w:val="22"/>
          <w:i w:val="1"/>
          <w:iCs w:val="1"/>
          <w:color w:val="auto"/>
        </w:rPr>
        <w:t>and</w:t>
      </w:r>
    </w:p>
    <w:p>
      <w:pPr>
        <w:spacing w:after="0" w:line="188"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color w:val="auto"/>
        </w:rPr>
        <w:t>a.6.c. Optical waveguides;</w:t>
      </w:r>
    </w:p>
    <w:p>
      <w:pPr>
        <w:spacing w:after="0" w:line="252"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a.7. ‘Field programmable logic devices’ having any of the following:</w:t>
      </w:r>
    </w:p>
    <w:p>
      <w:pPr>
        <w:spacing w:after="0" w:line="288"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 xml:space="preserve">a.7.a. A maximum number of single-ended digital input/outputs of greater than 700; </w:t>
      </w:r>
      <w:r>
        <w:rPr>
          <w:rFonts w:ascii="Times New Roman" w:cs="Times New Roman" w:eastAsia="Times New Roman" w:hAnsi="Times New Roman"/>
          <w:sz w:val="22"/>
          <w:szCs w:val="22"/>
          <w:i w:val="1"/>
          <w:iCs w:val="1"/>
          <w:color w:val="auto"/>
        </w:rPr>
        <w:t>or</w:t>
      </w:r>
    </w:p>
    <w:p>
      <w:pPr>
        <w:spacing w:after="0" w:line="738"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121"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4" w:name="page5"/>
    <w:bookmarkEnd w:id="4"/>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5</w:t>
      </w:r>
    </w:p>
    <w:p>
      <w:pPr>
        <w:sectPr>
          <w:pgSz w:w="12240" w:h="15840" w:orient="portrait"/>
          <w:cols w:equalWidth="0" w:num="1">
            <w:col w:w="9360"/>
          </w:cols>
          <w:pgMar w:left="1440" w:top="1062" w:right="1440" w:bottom="892" w:gutter="0" w:footer="0" w:header="0"/>
        </w:sectPr>
      </w:pPr>
    </w:p>
    <w:p>
      <w:pPr>
        <w:spacing w:after="0" w:line="245" w:lineRule="exact"/>
        <w:rPr>
          <w:sz w:val="20"/>
          <w:szCs w:val="20"/>
          <w:color w:val="auto"/>
        </w:rPr>
      </w:pPr>
    </w:p>
    <w:p>
      <w:pPr>
        <w:ind w:firstLine="360"/>
        <w:spacing w:after="0" w:line="271" w:lineRule="auto"/>
        <w:rPr>
          <w:sz w:val="20"/>
          <w:szCs w:val="20"/>
          <w:color w:val="auto"/>
        </w:rPr>
      </w:pPr>
      <w:r>
        <w:rPr>
          <w:rFonts w:ascii="Times New Roman" w:cs="Times New Roman" w:eastAsia="Times New Roman" w:hAnsi="Times New Roman"/>
          <w:sz w:val="22"/>
          <w:szCs w:val="22"/>
          <w:color w:val="auto"/>
        </w:rPr>
        <w:t>a.7.b. An ‘aggregate one-way peak serial transceiver data rate’ of 500 Gb/s or greater;</w:t>
      </w:r>
    </w:p>
    <w:p>
      <w:pPr>
        <w:spacing w:after="0" w:line="283"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3A001.a.7 includes:</w:t>
      </w:r>
    </w:p>
    <w:p>
      <w:pPr>
        <w:spacing w:after="0" w:line="254" w:lineRule="exact"/>
        <w:rPr>
          <w:sz w:val="20"/>
          <w:szCs w:val="20"/>
          <w:color w:val="auto"/>
        </w:rPr>
      </w:pPr>
    </w:p>
    <w:p>
      <w:pPr>
        <w:ind w:firstLine="288"/>
        <w:spacing w:after="0" w:line="274" w:lineRule="auto"/>
        <w:rPr>
          <w:sz w:val="20"/>
          <w:szCs w:val="20"/>
          <w:color w:val="auto"/>
        </w:rPr>
      </w:pPr>
      <w:r>
        <w:rPr>
          <w:rFonts w:ascii="Times New Roman" w:cs="Times New Roman" w:eastAsia="Times New Roman" w:hAnsi="Times New Roman"/>
          <w:sz w:val="22"/>
          <w:szCs w:val="22"/>
          <w:i w:val="1"/>
          <w:iCs w:val="1"/>
          <w:color w:val="auto"/>
        </w:rPr>
        <w:t>-Complex Programmable Logic Devices (CPLDs)</w:t>
      </w:r>
    </w:p>
    <w:p>
      <w:pPr>
        <w:spacing w:after="0" w:line="182"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i w:val="1"/>
          <w:iCs w:val="1"/>
          <w:color w:val="auto"/>
        </w:rPr>
        <w:t>-Field Programmable Gate Arrays (FPGAs)</w:t>
      </w:r>
    </w:p>
    <w:p>
      <w:pPr>
        <w:spacing w:after="0" w:line="252"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i w:val="1"/>
          <w:iCs w:val="1"/>
          <w:color w:val="auto"/>
        </w:rPr>
        <w:t>-Field Programmable Logic Arrays (FPLAs)</w:t>
      </w:r>
    </w:p>
    <w:p>
      <w:pPr>
        <w:spacing w:after="0" w:line="253"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i w:val="1"/>
          <w:iCs w:val="1"/>
          <w:color w:val="auto"/>
        </w:rPr>
        <w:t>-Field Programmable Interconnects (FPICs)</w:t>
      </w:r>
    </w:p>
    <w:p>
      <w:pPr>
        <w:spacing w:after="0" w:line="251" w:lineRule="exact"/>
        <w:rPr>
          <w:sz w:val="20"/>
          <w:szCs w:val="20"/>
          <w:color w:val="auto"/>
        </w:rPr>
      </w:pPr>
    </w:p>
    <w:p>
      <w:pPr>
        <w:jc w:val="both"/>
        <w:ind w:left="28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N.B</w:t>
      </w:r>
      <w:r>
        <w:rPr>
          <w:rFonts w:ascii="Times New Roman" w:cs="Times New Roman" w:eastAsia="Times New Roman" w:hAnsi="Times New Roman"/>
          <w:sz w:val="22"/>
          <w:szCs w:val="22"/>
          <w:i w:val="1"/>
          <w:iCs w:val="1"/>
          <w:color w:val="auto"/>
        </w:rPr>
        <w:t>.: For integrated circuits having field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programmable logic devices that are combined with an analog-to-digital converter, see 3A001.a.14.</w:t>
      </w:r>
    </w:p>
    <w:p>
      <w:pPr>
        <w:spacing w:after="0" w:line="30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r>
        <w:rPr>
          <w:rFonts w:ascii="Times New Roman" w:cs="Times New Roman" w:eastAsia="Times New Roman" w:hAnsi="Times New Roman"/>
          <w:sz w:val="22"/>
          <w:szCs w:val="22"/>
          <w:i w:val="1"/>
          <w:iCs w:val="1"/>
          <w:color w:val="auto"/>
        </w:rPr>
        <w:t>:</w:t>
      </w:r>
    </w:p>
    <w:p>
      <w:pPr>
        <w:spacing w:after="0" w:line="100" w:lineRule="exact"/>
        <w:rPr>
          <w:sz w:val="20"/>
          <w:szCs w:val="20"/>
          <w:color w:val="auto"/>
        </w:rPr>
      </w:pPr>
    </w:p>
    <w:p>
      <w:pPr>
        <w:jc w:val="both"/>
        <w:ind w:firstLine="360"/>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1</w:t>
      </w:r>
      <w:r>
        <w:rPr>
          <w:rFonts w:ascii="Times New Roman" w:cs="Times New Roman" w:eastAsia="Times New Roman" w:hAnsi="Times New Roman"/>
          <w:sz w:val="22"/>
          <w:szCs w:val="22"/>
          <w:i w:val="1"/>
          <w:iCs w:val="1"/>
          <w:color w:val="auto"/>
        </w:rPr>
        <w:t>. Maximum number of digital input/outputs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 3A001.a.7.a is also referred to as maximum user input/outputs or maximum available input/outputs, whether the integrated circuit is packaged or bare die.</w:t>
      </w:r>
    </w:p>
    <w:p>
      <w:pPr>
        <w:spacing w:after="0" w:line="53" w:lineRule="exact"/>
        <w:rPr>
          <w:sz w:val="20"/>
          <w:szCs w:val="20"/>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2</w:t>
      </w:r>
      <w:r>
        <w:rPr>
          <w:rFonts w:ascii="Times New Roman" w:cs="Times New Roman" w:eastAsia="Times New Roman" w:hAnsi="Times New Roman"/>
          <w:sz w:val="22"/>
          <w:szCs w:val="22"/>
          <w:i w:val="1"/>
          <w:iCs w:val="1"/>
          <w:color w:val="auto"/>
        </w:rPr>
        <w:t>. ‘Aggregate one-way peak serial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transceiver data rate’ is the product of the peak serial one -way transceiver data rate times the number of transceivers on the FPGA.</w:t>
      </w:r>
    </w:p>
    <w:p>
      <w:pPr>
        <w:spacing w:after="0" w:line="307"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a.8. [Reserved]</w:t>
      </w:r>
    </w:p>
    <w:p>
      <w:pPr>
        <w:spacing w:after="0" w:line="25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a.9. Neural network integrated circuits;</w:t>
      </w:r>
    </w:p>
    <w:p>
      <w:pPr>
        <w:spacing w:after="0" w:line="252" w:lineRule="exact"/>
        <w:rPr>
          <w:sz w:val="20"/>
          <w:szCs w:val="20"/>
          <w:color w:val="auto"/>
        </w:rPr>
      </w:pPr>
    </w:p>
    <w:p>
      <w:pPr>
        <w:jc w:val="both"/>
        <w:ind w:firstLine="144"/>
        <w:spacing w:after="0" w:line="247" w:lineRule="auto"/>
        <w:rPr>
          <w:sz w:val="20"/>
          <w:szCs w:val="20"/>
          <w:color w:val="auto"/>
        </w:rPr>
      </w:pPr>
      <w:r>
        <w:rPr>
          <w:rFonts w:ascii="Times New Roman" w:cs="Times New Roman" w:eastAsia="Times New Roman" w:hAnsi="Times New Roman"/>
          <w:sz w:val="22"/>
          <w:szCs w:val="22"/>
          <w:color w:val="auto"/>
        </w:rPr>
        <w:t>a.10. Custom integrated circuits for which the function is unknown, or the control status of the equipment in which the integrated circuits will be used is unknown to the manufacturer, having any of the following:</w:t>
      </w:r>
    </w:p>
    <w:p>
      <w:pPr>
        <w:spacing w:after="0" w:line="216"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color w:val="auto"/>
        </w:rPr>
        <w:t>a.10.a. More than 1,500 terminals;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8" w:lineRule="exact"/>
        <w:rPr>
          <w:sz w:val="20"/>
          <w:szCs w:val="20"/>
          <w:color w:val="auto"/>
        </w:rPr>
      </w:pPr>
    </w:p>
    <w:p>
      <w:pPr>
        <w:jc w:val="both"/>
        <w:ind w:firstLine="144"/>
        <w:spacing w:after="0" w:line="250" w:lineRule="auto"/>
        <w:rPr>
          <w:sz w:val="20"/>
          <w:szCs w:val="20"/>
          <w:color w:val="auto"/>
        </w:rPr>
      </w:pPr>
      <w:r>
        <w:rPr>
          <w:rFonts w:ascii="Times New Roman" w:cs="Times New Roman" w:eastAsia="Times New Roman" w:hAnsi="Times New Roman"/>
          <w:sz w:val="22"/>
          <w:szCs w:val="22"/>
          <w:color w:val="auto"/>
        </w:rPr>
        <w:t>a.11. Digital integrated circuits, other than those described in 3A001.a.3 to 3A001.a.10 and 3A001.a.12, based upon any compound semiconductor and having any of the following:</w:t>
      </w:r>
    </w:p>
    <w:p>
      <w:pPr>
        <w:spacing w:after="0" w:line="211"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 xml:space="preserve">a.11.a. An equivalent gate count of more than 3,000 (2 input gates);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a.11.b. A toggle frequency exceeding 1.2 GHz;</w:t>
      </w:r>
    </w:p>
    <w:p>
      <w:pPr>
        <w:spacing w:after="0" w:line="188" w:lineRule="exact"/>
        <w:rPr>
          <w:sz w:val="20"/>
          <w:szCs w:val="20"/>
          <w:color w:val="auto"/>
        </w:rPr>
      </w:pPr>
    </w:p>
    <w:p>
      <w:pPr>
        <w:jc w:val="both"/>
        <w:ind w:firstLine="144"/>
        <w:spacing w:after="0" w:line="250" w:lineRule="auto"/>
        <w:rPr>
          <w:sz w:val="20"/>
          <w:szCs w:val="20"/>
          <w:color w:val="auto"/>
        </w:rPr>
      </w:pPr>
      <w:r>
        <w:rPr>
          <w:rFonts w:ascii="Times New Roman" w:cs="Times New Roman" w:eastAsia="Times New Roman" w:hAnsi="Times New Roman"/>
          <w:sz w:val="22"/>
          <w:szCs w:val="22"/>
          <w:color w:val="auto"/>
        </w:rPr>
        <w:t>a.12. Fast Fourier Transform (FFT) processors having a rated execution time for an N-point complex FFT of less than (N log</w:t>
      </w:r>
      <w:r>
        <w:rPr>
          <w:rFonts w:ascii="Times New Roman" w:cs="Times New Roman" w:eastAsia="Times New Roman" w:hAnsi="Times New Roman"/>
          <w:sz w:val="14"/>
          <w:szCs w:val="14"/>
          <w:color w:val="auto"/>
        </w:rPr>
        <w:t>2</w:t>
      </w:r>
      <w:r>
        <w:rPr>
          <w:rFonts w:ascii="Times New Roman" w:cs="Times New Roman" w:eastAsia="Times New Roman" w:hAnsi="Times New Roman"/>
          <w:sz w:val="22"/>
          <w:szCs w:val="22"/>
          <w:color w:val="auto"/>
        </w:rPr>
        <w:t xml:space="preserve"> N)/20,480 ms, where N is the number of points;</w:t>
      </w:r>
    </w:p>
    <w:p>
      <w:pPr>
        <w:spacing w:after="0" w:line="206" w:lineRule="exact"/>
        <w:rPr>
          <w:sz w:val="20"/>
          <w:szCs w:val="20"/>
          <w:color w:val="auto"/>
        </w:rPr>
      </w:pPr>
    </w:p>
    <w:p>
      <w:pPr>
        <w:jc w:val="both"/>
        <w:ind w:firstLine="288"/>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When N is equal to 1,024</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points, the formula in 3A001.a.12 gives an execution time of 500 µs.</w:t>
      </w:r>
    </w:p>
    <w:p>
      <w:pPr>
        <w:spacing w:after="0" w:line="204" w:lineRule="exact"/>
        <w:rPr>
          <w:sz w:val="20"/>
          <w:szCs w:val="20"/>
          <w:color w:val="auto"/>
        </w:rPr>
      </w:pPr>
    </w:p>
    <w:p>
      <w:pPr>
        <w:ind w:left="140"/>
        <w:spacing w:after="0"/>
        <w:tabs>
          <w:tab w:leader="none" w:pos="1460" w:val="left"/>
          <w:tab w:leader="none" w:pos="2380" w:val="left"/>
          <w:tab w:leader="none" w:pos="3720" w:val="left"/>
        </w:tabs>
        <w:rPr>
          <w:sz w:val="20"/>
          <w:szCs w:val="20"/>
          <w:color w:val="auto"/>
        </w:rPr>
      </w:pPr>
      <w:r>
        <w:rPr>
          <w:rFonts w:ascii="Times New Roman" w:cs="Times New Roman" w:eastAsia="Times New Roman" w:hAnsi="Times New Roman"/>
          <w:sz w:val="22"/>
          <w:szCs w:val="22"/>
          <w:color w:val="auto"/>
        </w:rPr>
        <w:t>a.13. Direct</w:t>
        <w:tab/>
        <w:t>Digital</w:t>
        <w:tab/>
        <w:t>Synthesizer</w:t>
      </w:r>
      <w:r>
        <w:rPr>
          <w:sz w:val="20"/>
          <w:szCs w:val="20"/>
          <w:color w:val="auto"/>
        </w:rPr>
        <w:tab/>
      </w:r>
      <w:r>
        <w:rPr>
          <w:rFonts w:ascii="Times New Roman" w:cs="Times New Roman" w:eastAsia="Times New Roman" w:hAnsi="Times New Roman"/>
          <w:sz w:val="21"/>
          <w:szCs w:val="21"/>
          <w:color w:val="auto"/>
        </w:rPr>
        <w:t>(DDS)</w:t>
      </w:r>
    </w:p>
    <w:p>
      <w:pPr>
        <w:spacing w:after="0"/>
        <w:rPr>
          <w:sz w:val="20"/>
          <w:szCs w:val="20"/>
          <w:color w:val="auto"/>
        </w:rPr>
      </w:pPr>
      <w:r>
        <w:rPr>
          <w:rFonts w:ascii="Times New Roman" w:cs="Times New Roman" w:eastAsia="Times New Roman" w:hAnsi="Times New Roman"/>
          <w:sz w:val="22"/>
          <w:szCs w:val="22"/>
          <w:color w:val="auto"/>
        </w:rPr>
        <w:t>integrated circuits having any of the following:</w:t>
      </w:r>
    </w:p>
    <w:p>
      <w:pPr>
        <w:spacing w:after="0" w:line="252" w:lineRule="exact"/>
        <w:rPr>
          <w:sz w:val="20"/>
          <w:szCs w:val="20"/>
          <w:color w:val="auto"/>
        </w:rPr>
      </w:pPr>
    </w:p>
    <w:p>
      <w:pPr>
        <w:jc w:val="both"/>
        <w:ind w:firstLine="432"/>
        <w:spacing w:after="0" w:line="250" w:lineRule="auto"/>
        <w:rPr>
          <w:sz w:val="20"/>
          <w:szCs w:val="20"/>
          <w:color w:val="auto"/>
        </w:rPr>
      </w:pPr>
      <w:r>
        <w:rPr>
          <w:rFonts w:ascii="Times New Roman" w:cs="Times New Roman" w:eastAsia="Times New Roman" w:hAnsi="Times New Roman"/>
          <w:sz w:val="22"/>
          <w:szCs w:val="22"/>
          <w:color w:val="auto"/>
        </w:rPr>
        <w:t xml:space="preserve">a.13.a. A Digital-to-Analog Converter (DAC) clock frequency of 3.5 GHz or more and a DAC resolution of 10 bit or more, but less than 12 bit;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a.13.b. A DAC clock frequency of 1.25 GHz or more and a DAC resolution of 12 bit or more;</w:t>
      </w:r>
    </w:p>
    <w:p>
      <w:pPr>
        <w:spacing w:after="0" w:line="202" w:lineRule="exact"/>
        <w:rPr>
          <w:sz w:val="20"/>
          <w:szCs w:val="20"/>
          <w:color w:val="auto"/>
        </w:rPr>
      </w:pPr>
    </w:p>
    <w:p>
      <w:pPr>
        <w:jc w:val="both"/>
        <w:ind w:firstLine="432"/>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The DAC clock frequency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may be specified as the master clock frequency or the input clock frequency.</w:t>
      </w:r>
    </w:p>
    <w:p>
      <w:pPr>
        <w:spacing w:after="0" w:line="204" w:lineRule="exact"/>
        <w:rPr>
          <w:sz w:val="20"/>
          <w:szCs w:val="20"/>
          <w:color w:val="auto"/>
        </w:rPr>
      </w:pPr>
    </w:p>
    <w:p>
      <w:pPr>
        <w:jc w:val="both"/>
        <w:ind w:firstLine="360"/>
        <w:spacing w:after="0" w:line="260" w:lineRule="auto"/>
        <w:rPr>
          <w:sz w:val="20"/>
          <w:szCs w:val="20"/>
          <w:color w:val="auto"/>
        </w:rPr>
      </w:pPr>
      <w:r>
        <w:rPr>
          <w:rFonts w:ascii="Times New Roman" w:cs="Times New Roman" w:eastAsia="Times New Roman" w:hAnsi="Times New Roman"/>
          <w:sz w:val="22"/>
          <w:szCs w:val="22"/>
          <w:color w:val="auto"/>
        </w:rPr>
        <w:t>a.14. Integrated circuits that perform or are programmable to perform all of the following:</w:t>
      </w:r>
    </w:p>
    <w:p>
      <w:pPr>
        <w:spacing w:after="0" w:line="200" w:lineRule="exact"/>
        <w:rPr>
          <w:sz w:val="20"/>
          <w:szCs w:val="20"/>
          <w:color w:val="auto"/>
        </w:rPr>
      </w:pPr>
    </w:p>
    <w:p>
      <w:pPr>
        <w:spacing w:after="0" w:line="263" w:lineRule="exact"/>
        <w:rPr>
          <w:sz w:val="20"/>
          <w:szCs w:val="20"/>
          <w:color w:val="auto"/>
        </w:rPr>
      </w:pPr>
    </w:p>
    <w:p>
      <w:pPr>
        <w:jc w:val="both"/>
        <w:ind w:firstLine="540"/>
        <w:spacing w:after="0" w:line="271" w:lineRule="auto"/>
        <w:rPr>
          <w:sz w:val="20"/>
          <w:szCs w:val="20"/>
          <w:color w:val="auto"/>
        </w:rPr>
      </w:pPr>
      <w:r>
        <w:rPr>
          <w:rFonts w:ascii="Times New Roman" w:cs="Times New Roman" w:eastAsia="Times New Roman" w:hAnsi="Times New Roman"/>
          <w:sz w:val="22"/>
          <w:szCs w:val="22"/>
          <w:color w:val="auto"/>
        </w:rPr>
        <w:t>a.14.a. Analog-to-digital conversions meeting any of the following:</w:t>
      </w:r>
    </w:p>
    <w:p>
      <w:pPr>
        <w:spacing w:after="0" w:line="182"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ind w:firstLine="288"/>
        <w:spacing w:after="0" w:line="271" w:lineRule="auto"/>
        <w:rPr>
          <w:sz w:val="20"/>
          <w:szCs w:val="20"/>
          <w:color w:val="auto"/>
        </w:rPr>
      </w:pPr>
      <w:r>
        <w:rPr>
          <w:rFonts w:ascii="Times New Roman" w:cs="Times New Roman" w:eastAsia="Times New Roman" w:hAnsi="Times New Roman"/>
          <w:sz w:val="22"/>
          <w:szCs w:val="22"/>
          <w:color w:val="auto"/>
        </w:rPr>
        <w:t xml:space="preserve">a.10.b. A typical “basic gate propagation delay time” of less than 0.02 ns;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ind w:firstLine="288"/>
        <w:spacing w:after="0" w:line="271" w:lineRule="auto"/>
        <w:rPr>
          <w:sz w:val="20"/>
          <w:szCs w:val="20"/>
          <w:color w:val="auto"/>
        </w:rPr>
      </w:pPr>
      <w:r>
        <w:rPr>
          <w:rFonts w:ascii="Times New Roman" w:cs="Times New Roman" w:eastAsia="Times New Roman" w:hAnsi="Times New Roman"/>
          <w:sz w:val="22"/>
          <w:szCs w:val="22"/>
          <w:color w:val="auto"/>
        </w:rPr>
        <w:t>a.10.c. An operating frequency exceeding 3 GHz;</w:t>
      </w:r>
    </w:p>
    <w:p>
      <w:pPr>
        <w:spacing w:after="0" w:line="20" w:lineRule="exact"/>
        <w:rPr>
          <w:sz w:val="20"/>
          <w:szCs w:val="20"/>
          <w:color w:val="auto"/>
        </w:rPr>
      </w:pPr>
      <w:r>
        <w:rPr>
          <w:sz w:val="20"/>
          <w:szCs w:val="20"/>
          <w:color w:val="auto"/>
        </w:rPr>
        <w:br w:type="column"/>
      </w: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a.14.a.1. A resolution of 8 bit or more, but less than 10 bit, with a “sample rate” greater than 1.3 Giga Samples Per Second (GSPS);</w:t>
      </w:r>
    </w:p>
    <w:p>
      <w:pPr>
        <w:spacing w:after="0" w:line="717"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7"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5" w:name="page6"/>
    <w:bookmarkEnd w:id="5"/>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6</w:t>
      </w:r>
    </w:p>
    <w:p>
      <w:pPr>
        <w:sectPr>
          <w:pgSz w:w="12240" w:h="15840" w:orient="portrait"/>
          <w:cols w:equalWidth="0" w:num="1">
            <w:col w:w="9360"/>
          </w:cols>
          <w:pgMar w:left="1440" w:top="1062" w:right="1440" w:bottom="892" w:gutter="0" w:footer="0" w:header="0"/>
        </w:sectPr>
      </w:pPr>
    </w:p>
    <w:p>
      <w:pPr>
        <w:spacing w:after="0" w:line="245"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a.14.a.2. A resolution of 10 bit or more, but less than 12 bit, with a “sample rate” greater than 1.0 GSPS;</w:t>
      </w:r>
    </w:p>
    <w:p>
      <w:pPr>
        <w:spacing w:after="0" w:line="205"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a.14.a.3. A resolution of 12 bit or more, but less than 14 bit, with a “sample rate” greater than 1.0 GSPS;</w:t>
      </w:r>
    </w:p>
    <w:p>
      <w:pPr>
        <w:spacing w:after="0" w:line="205"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 xml:space="preserve">a.14.a.4. A resolution of 14 bit or more, but less than 16 bit, with a “sample rate” greater than 400 Mega Samples Per Second (MSPS); </w:t>
      </w:r>
      <w:r>
        <w:rPr>
          <w:rFonts w:ascii="Times New Roman" w:cs="Times New Roman" w:eastAsia="Times New Roman" w:hAnsi="Times New Roman"/>
          <w:sz w:val="22"/>
          <w:szCs w:val="22"/>
          <w:i w:val="1"/>
          <w:iCs w:val="1"/>
          <w:color w:val="auto"/>
        </w:rPr>
        <w:t>or</w:t>
      </w:r>
    </w:p>
    <w:p>
      <w:pPr>
        <w:spacing w:after="0" w:line="206"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 xml:space="preserve">a.14.a.5. A resolution of 16 bit or more with a “sample rate” greater than 180 MSPS; </w:t>
      </w:r>
      <w:r>
        <w:rPr>
          <w:rFonts w:ascii="Times New Roman" w:cs="Times New Roman" w:eastAsia="Times New Roman" w:hAnsi="Times New Roman"/>
          <w:sz w:val="22"/>
          <w:szCs w:val="22"/>
          <w:i w:val="1"/>
          <w:iCs w:val="1"/>
          <w:color w:val="auto"/>
        </w:rPr>
        <w:t>and</w:t>
      </w:r>
    </w:p>
    <w:p>
      <w:pPr>
        <w:spacing w:after="0" w:line="205" w:lineRule="exact"/>
        <w:rPr>
          <w:sz w:val="20"/>
          <w:szCs w:val="20"/>
          <w:color w:val="auto"/>
        </w:rPr>
      </w:pPr>
    </w:p>
    <w:p>
      <w:pPr>
        <w:jc w:val="both"/>
        <w:ind w:left="720" w:right="180" w:hanging="179"/>
        <w:spacing w:after="0" w:line="478" w:lineRule="auto"/>
        <w:rPr>
          <w:sz w:val="20"/>
          <w:szCs w:val="20"/>
          <w:color w:val="auto"/>
        </w:rPr>
      </w:pPr>
      <w:r>
        <w:rPr>
          <w:rFonts w:ascii="Times New Roman" w:cs="Times New Roman" w:eastAsia="Times New Roman" w:hAnsi="Times New Roman"/>
          <w:sz w:val="22"/>
          <w:szCs w:val="22"/>
          <w:color w:val="auto"/>
        </w:rPr>
        <w:t>a.14.b.</w:t>
      </w:r>
      <w:r>
        <w:rPr>
          <w:sz w:val="20"/>
          <w:szCs w:val="20"/>
          <w:color w:val="auto"/>
        </w:rPr>
        <w:t xml:space="preserve"> </w:t>
      </w:r>
      <w:r>
        <w:rPr>
          <w:rFonts w:ascii="Times New Roman" w:cs="Times New Roman" w:eastAsia="Times New Roman" w:hAnsi="Times New Roman"/>
          <w:sz w:val="22"/>
          <w:szCs w:val="22"/>
          <w:color w:val="auto"/>
        </w:rPr>
        <w:t xml:space="preserve">Any of the following: a.14.b.1. Storage of digitized data; </w:t>
      </w:r>
      <w:r>
        <w:rPr>
          <w:rFonts w:ascii="Times New Roman" w:cs="Times New Roman" w:eastAsia="Times New Roman" w:hAnsi="Times New Roman"/>
          <w:sz w:val="22"/>
          <w:szCs w:val="22"/>
          <w:i w:val="1"/>
          <w:iCs w:val="1"/>
          <w:color w:val="auto"/>
        </w:rPr>
        <w:t>or</w:t>
      </w:r>
      <w:r>
        <w:rPr>
          <w:rFonts w:ascii="Times New Roman" w:cs="Times New Roman" w:eastAsia="Times New Roman" w:hAnsi="Times New Roman"/>
          <w:sz w:val="22"/>
          <w:szCs w:val="22"/>
          <w:color w:val="auto"/>
        </w:rPr>
        <w:t xml:space="preserve"> a.14.b.2. Processing of digitized data;</w:t>
      </w:r>
    </w:p>
    <w:p>
      <w:pPr>
        <w:spacing w:after="0" w:line="2" w:lineRule="exact"/>
        <w:rPr>
          <w:sz w:val="20"/>
          <w:szCs w:val="20"/>
          <w:color w:val="auto"/>
        </w:rPr>
      </w:pPr>
    </w:p>
    <w:p>
      <w:pPr>
        <w:ind w:firstLine="36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1 </w:t>
      </w:r>
      <w:r>
        <w:rPr>
          <w:rFonts w:ascii="Times New Roman" w:cs="Times New Roman" w:eastAsia="Times New Roman" w:hAnsi="Times New Roman"/>
          <w:sz w:val="22"/>
          <w:szCs w:val="22"/>
          <w:i w:val="1"/>
          <w:iCs w:val="1"/>
          <w:color w:val="auto"/>
        </w:rPr>
        <w:t>: For analog-to-digital converter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integrated circuits see 3A001.a.5.a.</w:t>
      </w:r>
    </w:p>
    <w:p>
      <w:pPr>
        <w:spacing w:after="0" w:line="177" w:lineRule="exact"/>
        <w:rPr>
          <w:sz w:val="20"/>
          <w:szCs w:val="20"/>
          <w:color w:val="auto"/>
        </w:rPr>
      </w:pPr>
    </w:p>
    <w:p>
      <w:pPr>
        <w:ind w:firstLine="36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N.B. 2</w:t>
      </w:r>
      <w:r>
        <w:rPr>
          <w:rFonts w:ascii="Times New Roman" w:cs="Times New Roman" w:eastAsia="Times New Roman" w:hAnsi="Times New Roman"/>
          <w:sz w:val="22"/>
          <w:szCs w:val="22"/>
          <w:i w:val="1"/>
          <w:iCs w:val="1"/>
          <w:color w:val="auto"/>
        </w:rPr>
        <w:t>: For field programmable logic</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devices see 3A001.a.7.</w:t>
      </w:r>
    </w:p>
    <w:p>
      <w:pPr>
        <w:spacing w:after="0" w:line="178"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r>
        <w:rPr>
          <w:rFonts w:ascii="Times New Roman" w:cs="Times New Roman" w:eastAsia="Times New Roman" w:hAnsi="Times New Roman"/>
          <w:sz w:val="22"/>
          <w:szCs w:val="22"/>
          <w:i w:val="1"/>
          <w:iCs w:val="1"/>
          <w:color w:val="auto"/>
        </w:rPr>
        <w:t>:</w:t>
      </w:r>
    </w:p>
    <w:p>
      <w:pPr>
        <w:spacing w:after="0" w:line="254" w:lineRule="exact"/>
        <w:rPr>
          <w:sz w:val="20"/>
          <w:szCs w:val="20"/>
          <w:color w:val="auto"/>
        </w:rPr>
      </w:pPr>
    </w:p>
    <w:p>
      <w:pPr>
        <w:ind w:left="900" w:hanging="360"/>
        <w:spacing w:after="0" w:line="213" w:lineRule="auto"/>
        <w:tabs>
          <w:tab w:leader="none" w:pos="901" w:val="left"/>
        </w:tabs>
        <w:numPr>
          <w:ilvl w:val="0"/>
          <w:numId w:val="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resolution of n bit corresponds to a quantization of 2</w:t>
      </w:r>
      <w:r>
        <w:rPr>
          <w:rFonts w:ascii="Times New Roman" w:cs="Times New Roman" w:eastAsia="Times New Roman" w:hAnsi="Times New Roman"/>
          <w:sz w:val="28"/>
          <w:szCs w:val="28"/>
          <w:i w:val="1"/>
          <w:iCs w:val="1"/>
          <w:color w:val="auto"/>
          <w:vertAlign w:val="superscript"/>
        </w:rPr>
        <w:t>n</w:t>
      </w:r>
      <w:r>
        <w:rPr>
          <w:rFonts w:ascii="Times New Roman" w:cs="Times New Roman" w:eastAsia="Times New Roman" w:hAnsi="Times New Roman"/>
          <w:sz w:val="22"/>
          <w:szCs w:val="22"/>
          <w:i w:val="1"/>
          <w:iCs w:val="1"/>
          <w:color w:val="auto"/>
        </w:rPr>
        <w:t xml:space="preserve"> levels.</w:t>
      </w:r>
    </w:p>
    <w:p>
      <w:pPr>
        <w:jc w:val="both"/>
        <w:ind w:left="900" w:hanging="360"/>
        <w:spacing w:after="0"/>
        <w:tabs>
          <w:tab w:leader="none" w:pos="901" w:val="left"/>
        </w:tabs>
        <w:numPr>
          <w:ilvl w:val="0"/>
          <w:numId w:val="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The resolution of the ADC is the number of bits of the digital output of the ADC that represents the measured analog input. Effective Number of Bits (ENOB) is not used to determine the resolution of the ADC.</w:t>
      </w:r>
    </w:p>
    <w:p>
      <w:pPr>
        <w:jc w:val="both"/>
        <w:ind w:left="900" w:hanging="360"/>
        <w:spacing w:after="0"/>
        <w:tabs>
          <w:tab w:leader="none" w:pos="900" w:val="left"/>
        </w:tabs>
        <w:numPr>
          <w:ilvl w:val="0"/>
          <w:numId w:val="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integrated circuits with non-interleaving “multiple channel ADCs”, the “sample rate” is not aggregated and the “sample rate” is the maximum rate of any single channel.</w:t>
      </w:r>
    </w:p>
    <w:p>
      <w:pPr>
        <w:jc w:val="both"/>
        <w:ind w:left="900" w:hanging="360"/>
        <w:spacing w:after="0" w:line="250" w:lineRule="auto"/>
        <w:tabs>
          <w:tab w:leader="none" w:pos="900" w:val="left"/>
        </w:tabs>
        <w:numPr>
          <w:ilvl w:val="0"/>
          <w:numId w:val="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integrated circuits with “interleaved ADCs” or with “multiple channel ADCs” that are specified to have an interleaved mode of</w:t>
      </w:r>
    </w:p>
    <w:p>
      <w:pPr>
        <w:spacing w:after="0" w:line="20" w:lineRule="exact"/>
        <w:rPr>
          <w:sz w:val="20"/>
          <w:szCs w:val="20"/>
          <w:color w:val="auto"/>
        </w:rPr>
      </w:pPr>
      <w:r>
        <w:rPr>
          <w:sz w:val="20"/>
          <w:szCs w:val="20"/>
          <w:color w:val="auto"/>
        </w:rPr>
        <w:br w:type="column"/>
      </w:r>
    </w:p>
    <w:p>
      <w:pPr>
        <w:spacing w:after="0" w:line="222" w:lineRule="exact"/>
        <w:rPr>
          <w:sz w:val="20"/>
          <w:szCs w:val="20"/>
          <w:color w:val="auto"/>
        </w:rPr>
      </w:pPr>
    </w:p>
    <w:p>
      <w:pPr>
        <w:jc w:val="both"/>
        <w:ind w:left="900"/>
        <w:spacing w:after="0" w:line="251" w:lineRule="auto"/>
        <w:rPr>
          <w:sz w:val="20"/>
          <w:szCs w:val="20"/>
          <w:color w:val="auto"/>
        </w:rPr>
      </w:pPr>
      <w:r>
        <w:rPr>
          <w:rFonts w:ascii="Times New Roman" w:cs="Times New Roman" w:eastAsia="Times New Roman" w:hAnsi="Times New Roman"/>
          <w:sz w:val="22"/>
          <w:szCs w:val="22"/>
          <w:i w:val="1"/>
          <w:iCs w:val="1"/>
          <w:color w:val="auto"/>
        </w:rPr>
        <w:t>operation, the “sample rates” are aggregated and the “sample rate” is the maximum combined total rate of all of the interleaved channels.</w:t>
      </w:r>
    </w:p>
    <w:p>
      <w:pPr>
        <w:spacing w:after="0" w:line="209" w:lineRule="exact"/>
        <w:rPr>
          <w:sz w:val="20"/>
          <w:szCs w:val="20"/>
          <w:color w:val="auto"/>
        </w:rPr>
      </w:pPr>
    </w:p>
    <w:p>
      <w:pPr>
        <w:spacing w:after="0" w:line="271" w:lineRule="auto"/>
        <w:tabs>
          <w:tab w:leader="none" w:pos="493" w:val="left"/>
        </w:tabs>
        <w:numPr>
          <w:ilvl w:val="0"/>
          <w:numId w:val="1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Microwave or millimeter wave items, as follows:</w:t>
      </w:r>
    </w:p>
    <w:p>
      <w:pPr>
        <w:spacing w:after="0" w:line="18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r>
        <w:rPr>
          <w:rFonts w:ascii="Times New Roman" w:cs="Times New Roman" w:eastAsia="Times New Roman" w:hAnsi="Times New Roman"/>
          <w:sz w:val="22"/>
          <w:szCs w:val="22"/>
          <w:i w:val="1"/>
          <w:iCs w:val="1"/>
          <w:color w:val="auto"/>
        </w:rPr>
        <w:t>:</w:t>
      </w:r>
    </w:p>
    <w:p>
      <w:pPr>
        <w:spacing w:after="0" w:line="255" w:lineRule="exact"/>
        <w:rPr>
          <w:sz w:val="20"/>
          <w:szCs w:val="20"/>
          <w:color w:val="auto"/>
        </w:rPr>
      </w:pPr>
    </w:p>
    <w:p>
      <w:pPr>
        <w:jc w:val="both"/>
        <w:spacing w:after="0" w:line="246" w:lineRule="auto"/>
        <w:tabs>
          <w:tab w:leader="none" w:pos="281" w:val="left"/>
        </w:tabs>
        <w:numPr>
          <w:ilvl w:val="0"/>
          <w:numId w:val="1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purposes of 3A001.b, the parameter peak saturated power output may also be referred to on product data sheets as output power, saturated power output, maximum power output, peak power output, or peak envelope power output.</w:t>
      </w:r>
    </w:p>
    <w:p>
      <w:pPr>
        <w:spacing w:after="0" w:line="215" w:lineRule="exact"/>
        <w:rPr>
          <w:rFonts w:ascii="Times New Roman" w:cs="Times New Roman" w:eastAsia="Times New Roman" w:hAnsi="Times New Roman"/>
          <w:sz w:val="22"/>
          <w:szCs w:val="22"/>
          <w:i w:val="1"/>
          <w:iCs w:val="1"/>
          <w:color w:val="auto"/>
        </w:rPr>
      </w:pPr>
    </w:p>
    <w:p>
      <w:pPr>
        <w:jc w:val="both"/>
        <w:ind w:firstLine="144"/>
        <w:spacing w:after="0" w:line="244" w:lineRule="auto"/>
        <w:tabs>
          <w:tab w:leader="none" w:pos="432" w:val="left"/>
        </w:tabs>
        <w:numPr>
          <w:ilvl w:val="1"/>
          <w:numId w:val="1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purposes of 3A001.b.1, ‘vacuum electronic devices’ are electronic devices based on the interaction of an electron beam with an electromagnetic wave propagating in a vacuum circuit or interacting with radio-frequency vacuum cavity resonators. ‘Vacuum electronic devices’ include klystrons, traveling-wave tubes, and their derivatives.</w:t>
      </w:r>
    </w:p>
    <w:p>
      <w:pPr>
        <w:spacing w:after="0" w:line="200" w:lineRule="exact"/>
        <w:rPr>
          <w:sz w:val="20"/>
          <w:szCs w:val="20"/>
          <w:color w:val="auto"/>
        </w:rPr>
      </w:pPr>
    </w:p>
    <w:p>
      <w:pPr>
        <w:spacing w:after="0" w:line="275"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b.1. ‘Vacuum electronic devices’ and cathodes, as follows:</w:t>
      </w:r>
    </w:p>
    <w:p>
      <w:pPr>
        <w:spacing w:after="0" w:line="181" w:lineRule="exact"/>
        <w:rPr>
          <w:sz w:val="20"/>
          <w:szCs w:val="20"/>
          <w:color w:val="auto"/>
        </w:rPr>
      </w:pPr>
    </w:p>
    <w:p>
      <w:pPr>
        <w:jc w:val="both"/>
        <w:ind w:firstLine="144"/>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Note 1</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3A001.b.1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vacuum</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electronic devices’ designed or rated for operation in any frequency band and having all of the following:</w:t>
      </w:r>
    </w:p>
    <w:p>
      <w:pPr>
        <w:spacing w:after="0" w:line="205"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i w:val="1"/>
          <w:iCs w:val="1"/>
          <w:color w:val="auto"/>
        </w:rPr>
        <w:t xml:space="preserve">a. Does not exceed 31.8 GHz; </w:t>
      </w:r>
      <w:r>
        <w:rPr>
          <w:rFonts w:ascii="Times New Roman" w:cs="Times New Roman" w:eastAsia="Times New Roman" w:hAnsi="Times New Roman"/>
          <w:sz w:val="22"/>
          <w:szCs w:val="22"/>
          <w:i w:val="1"/>
          <w:iCs w:val="1"/>
          <w:u w:val="single" w:color="auto"/>
          <w:color w:val="auto"/>
        </w:rPr>
        <w:t>and</w:t>
      </w:r>
    </w:p>
    <w:p>
      <w:pPr>
        <w:spacing w:after="0" w:line="254" w:lineRule="exact"/>
        <w:rPr>
          <w:sz w:val="20"/>
          <w:szCs w:val="20"/>
          <w:color w:val="auto"/>
        </w:rPr>
      </w:pPr>
    </w:p>
    <w:p>
      <w:pPr>
        <w:jc w:val="both"/>
        <w:ind w:firstLine="288"/>
        <w:spacing w:after="0" w:line="257" w:lineRule="auto"/>
        <w:rPr>
          <w:sz w:val="20"/>
          <w:szCs w:val="20"/>
          <w:color w:val="auto"/>
        </w:rPr>
      </w:pPr>
      <w:r>
        <w:rPr>
          <w:rFonts w:ascii="Times New Roman" w:cs="Times New Roman" w:eastAsia="Times New Roman" w:hAnsi="Times New Roman"/>
          <w:sz w:val="22"/>
          <w:szCs w:val="22"/>
          <w:i w:val="1"/>
          <w:iCs w:val="1"/>
          <w:color w:val="auto"/>
        </w:rPr>
        <w:t>b. Is “allocated by the ITU” for radio-communications services, but not for radio-determination.</w:t>
      </w:r>
    </w:p>
    <w:p>
      <w:pPr>
        <w:spacing w:after="0" w:line="197" w:lineRule="exact"/>
        <w:rPr>
          <w:sz w:val="20"/>
          <w:szCs w:val="20"/>
          <w:color w:val="auto"/>
        </w:rPr>
      </w:pPr>
    </w:p>
    <w:p>
      <w:pPr>
        <w:jc w:val="both"/>
        <w:ind w:firstLine="144"/>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Note 2</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3A001.b.1 does not control non-”space -qualified” ‘vacuum electronic devices’ having all the following:</w:t>
      </w:r>
    </w:p>
    <w:p>
      <w:pPr>
        <w:spacing w:after="0" w:line="199" w:lineRule="exact"/>
        <w:rPr>
          <w:sz w:val="20"/>
          <w:szCs w:val="20"/>
          <w:color w:val="auto"/>
        </w:rPr>
      </w:pPr>
    </w:p>
    <w:p>
      <w:pPr>
        <w:jc w:val="both"/>
        <w:ind w:firstLine="288"/>
        <w:spacing w:after="0" w:line="273" w:lineRule="auto"/>
        <w:rPr>
          <w:sz w:val="20"/>
          <w:szCs w:val="20"/>
          <w:color w:val="auto"/>
        </w:rPr>
      </w:pPr>
      <w:r>
        <w:rPr>
          <w:rFonts w:ascii="Times New Roman" w:cs="Times New Roman" w:eastAsia="Times New Roman" w:hAnsi="Times New Roman"/>
          <w:sz w:val="22"/>
          <w:szCs w:val="22"/>
          <w:i w:val="1"/>
          <w:iCs w:val="1"/>
          <w:color w:val="auto"/>
        </w:rPr>
        <w:t xml:space="preserve">a. An average output power equal to or less than 50 W; </w:t>
      </w:r>
      <w:r>
        <w:rPr>
          <w:rFonts w:ascii="Times New Roman" w:cs="Times New Roman" w:eastAsia="Times New Roman" w:hAnsi="Times New Roman"/>
          <w:sz w:val="22"/>
          <w:szCs w:val="22"/>
          <w:i w:val="1"/>
          <w:iCs w:val="1"/>
          <w:u w:val="single" w:color="auto"/>
          <w:color w:val="auto"/>
        </w:rPr>
        <w:t>and</w:t>
      </w:r>
    </w:p>
    <w:p>
      <w:pPr>
        <w:spacing w:after="0" w:line="429"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276"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6" w:name="page7"/>
    <w:bookmarkEnd w:id="6"/>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7</w:t>
      </w:r>
    </w:p>
    <w:p>
      <w:pPr>
        <w:sectPr>
          <w:pgSz w:w="12240" w:h="15840" w:orient="portrait"/>
          <w:cols w:equalWidth="0" w:num="1">
            <w:col w:w="9360"/>
          </w:cols>
          <w:pgMar w:left="1440" w:top="1062" w:right="1440" w:bottom="892" w:gutter="0" w:footer="0" w:header="0"/>
        </w:sectPr>
      </w:pPr>
    </w:p>
    <w:p>
      <w:pPr>
        <w:spacing w:after="0" w:line="242" w:lineRule="exact"/>
        <w:rPr>
          <w:sz w:val="20"/>
          <w:szCs w:val="20"/>
          <w:color w:val="auto"/>
        </w:rPr>
      </w:pPr>
    </w:p>
    <w:p>
      <w:pPr>
        <w:ind w:firstLine="288"/>
        <w:spacing w:after="0" w:line="274" w:lineRule="auto"/>
        <w:rPr>
          <w:sz w:val="20"/>
          <w:szCs w:val="20"/>
          <w:color w:val="auto"/>
        </w:rPr>
      </w:pPr>
      <w:r>
        <w:rPr>
          <w:rFonts w:ascii="Times New Roman" w:cs="Times New Roman" w:eastAsia="Times New Roman" w:hAnsi="Times New Roman"/>
          <w:sz w:val="22"/>
          <w:szCs w:val="22"/>
          <w:i w:val="1"/>
          <w:iCs w:val="1"/>
          <w:color w:val="auto"/>
        </w:rPr>
        <w:t>b. Designed or rated for operation in any frequency band and having all of the following:</w:t>
      </w:r>
    </w:p>
    <w:p>
      <w:pPr>
        <w:spacing w:after="0" w:line="181" w:lineRule="exact"/>
        <w:rPr>
          <w:sz w:val="20"/>
          <w:szCs w:val="20"/>
          <w:color w:val="auto"/>
        </w:rPr>
      </w:pPr>
    </w:p>
    <w:p>
      <w:pPr>
        <w:ind w:firstLine="432"/>
        <w:spacing w:after="0" w:line="274" w:lineRule="auto"/>
        <w:tabs>
          <w:tab w:leader="none" w:pos="760" w:val="left"/>
        </w:tabs>
        <w:numPr>
          <w:ilvl w:val="0"/>
          <w:numId w:val="1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Exceeds 31.8 GHz but does not exceed 43.5 GHz; </w:t>
      </w:r>
      <w:r>
        <w:rPr>
          <w:rFonts w:ascii="Times New Roman" w:cs="Times New Roman" w:eastAsia="Times New Roman" w:hAnsi="Times New Roman"/>
          <w:sz w:val="22"/>
          <w:szCs w:val="22"/>
          <w:i w:val="1"/>
          <w:iCs w:val="1"/>
          <w:u w:val="single" w:color="auto"/>
          <w:color w:val="auto"/>
        </w:rPr>
        <w:t>and</w:t>
      </w:r>
    </w:p>
    <w:p>
      <w:pPr>
        <w:spacing w:after="0" w:line="181" w:lineRule="exact"/>
        <w:rPr>
          <w:rFonts w:ascii="Times New Roman" w:cs="Times New Roman" w:eastAsia="Times New Roman" w:hAnsi="Times New Roman"/>
          <w:sz w:val="22"/>
          <w:szCs w:val="22"/>
          <w:i w:val="1"/>
          <w:iCs w:val="1"/>
          <w:color w:val="auto"/>
        </w:rPr>
      </w:pPr>
    </w:p>
    <w:p>
      <w:pPr>
        <w:jc w:val="both"/>
        <w:ind w:firstLine="432"/>
        <w:spacing w:after="0" w:line="257" w:lineRule="auto"/>
        <w:tabs>
          <w:tab w:leader="none" w:pos="813" w:val="left"/>
        </w:tabs>
        <w:numPr>
          <w:ilvl w:val="0"/>
          <w:numId w:val="1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Is “allocated by the ITU” for radio-communications services, but not for radio-determination.</w:t>
      </w:r>
    </w:p>
    <w:p>
      <w:pPr>
        <w:spacing w:after="0" w:line="202"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b.1.a. Traveling-wave ‘vacuum electronic devices,’ pulsed or continuous wave, as follows:</w:t>
      </w:r>
    </w:p>
    <w:p>
      <w:pPr>
        <w:spacing w:after="0" w:line="187"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b.1.a.1. Devices operating at frequencies exceeding 31.8 GHz;</w:t>
      </w:r>
    </w:p>
    <w:p>
      <w:pPr>
        <w:spacing w:after="0" w:line="188"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b.1.a.2. Devices having a cathode heater with a turn on time to rated RF power of less than 3 seconds;</w:t>
      </w:r>
    </w:p>
    <w:p>
      <w:pPr>
        <w:spacing w:after="0" w:line="205" w:lineRule="exact"/>
        <w:rPr>
          <w:sz w:val="20"/>
          <w:szCs w:val="20"/>
          <w:color w:val="auto"/>
        </w:rPr>
      </w:pPr>
    </w:p>
    <w:p>
      <w:pPr>
        <w:jc w:val="both"/>
        <w:ind w:firstLine="432"/>
        <w:spacing w:after="0" w:line="250" w:lineRule="auto"/>
        <w:rPr>
          <w:sz w:val="20"/>
          <w:szCs w:val="20"/>
          <w:color w:val="auto"/>
        </w:rPr>
      </w:pPr>
      <w:r>
        <w:rPr>
          <w:rFonts w:ascii="Times New Roman" w:cs="Times New Roman" w:eastAsia="Times New Roman" w:hAnsi="Times New Roman"/>
          <w:sz w:val="22"/>
          <w:szCs w:val="22"/>
          <w:color w:val="auto"/>
        </w:rPr>
        <w:t>b.1.a.3. Coupled cavity devices, or derivatives thereof, with a “fractional bandwidth” of more than 7% or a peak power exceeding 2.5 kW;</w:t>
      </w:r>
    </w:p>
    <w:p>
      <w:pPr>
        <w:spacing w:after="0" w:line="211"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b.1.a.4. Devices based on helix, folded waveguide, or serpentine waveguide circuits, or derivatives thereof, having any of the following:</w:t>
      </w:r>
    </w:p>
    <w:p>
      <w:pPr>
        <w:spacing w:after="0" w:line="205" w:lineRule="exact"/>
        <w:rPr>
          <w:sz w:val="20"/>
          <w:szCs w:val="20"/>
          <w:color w:val="auto"/>
        </w:rPr>
      </w:pPr>
    </w:p>
    <w:p>
      <w:pPr>
        <w:jc w:val="both"/>
        <w:ind w:firstLine="576"/>
        <w:spacing w:after="0" w:line="250" w:lineRule="auto"/>
        <w:rPr>
          <w:sz w:val="20"/>
          <w:szCs w:val="20"/>
          <w:color w:val="auto"/>
        </w:rPr>
      </w:pPr>
      <w:r>
        <w:rPr>
          <w:rFonts w:ascii="Times New Roman" w:cs="Times New Roman" w:eastAsia="Times New Roman" w:hAnsi="Times New Roman"/>
          <w:sz w:val="22"/>
          <w:szCs w:val="22"/>
          <w:color w:val="auto"/>
        </w:rPr>
        <w:t>b.1.a.4.a. An “instantaneous bandwidth” of more than one octave, and average power (expressed in kW) times frequency (expressed in GHz) of more than 0.5;</w:t>
      </w:r>
    </w:p>
    <w:p>
      <w:pPr>
        <w:spacing w:after="0" w:line="212" w:lineRule="exact"/>
        <w:rPr>
          <w:sz w:val="20"/>
          <w:szCs w:val="20"/>
          <w:color w:val="auto"/>
        </w:rPr>
      </w:pPr>
    </w:p>
    <w:p>
      <w:pPr>
        <w:jc w:val="both"/>
        <w:ind w:firstLine="576"/>
        <w:spacing w:after="0" w:line="250" w:lineRule="auto"/>
        <w:rPr>
          <w:sz w:val="20"/>
          <w:szCs w:val="20"/>
          <w:color w:val="auto"/>
        </w:rPr>
      </w:pPr>
      <w:r>
        <w:rPr>
          <w:rFonts w:ascii="Times New Roman" w:cs="Times New Roman" w:eastAsia="Times New Roman" w:hAnsi="Times New Roman"/>
          <w:sz w:val="22"/>
          <w:szCs w:val="22"/>
          <w:color w:val="auto"/>
        </w:rPr>
        <w:t>b.1.a.4.b. An “instantaneous bandwidth” of one octave or less, and average power (expressed in kW) times frequency (expressed in GHz) of more than 1;</w:t>
      </w:r>
    </w:p>
    <w:p>
      <w:pPr>
        <w:spacing w:after="0" w:line="207" w:lineRule="exact"/>
        <w:rPr>
          <w:sz w:val="20"/>
          <w:szCs w:val="20"/>
          <w:color w:val="auto"/>
        </w:rPr>
      </w:pPr>
    </w:p>
    <w:p>
      <w:pPr>
        <w:ind w:left="580" w:right="140"/>
        <w:spacing w:after="0" w:line="504" w:lineRule="auto"/>
        <w:rPr>
          <w:sz w:val="20"/>
          <w:szCs w:val="20"/>
          <w:color w:val="auto"/>
        </w:rPr>
      </w:pPr>
      <w:r>
        <w:rPr>
          <w:rFonts w:ascii="Times New Roman" w:cs="Times New Roman" w:eastAsia="Times New Roman" w:hAnsi="Times New Roman"/>
          <w:sz w:val="21"/>
          <w:szCs w:val="21"/>
          <w:color w:val="auto"/>
        </w:rPr>
        <w:t xml:space="preserve">b.1.a.4.c. Being “space-qualified”; </w:t>
      </w:r>
      <w:r>
        <w:rPr>
          <w:rFonts w:ascii="Times New Roman" w:cs="Times New Roman" w:eastAsia="Times New Roman" w:hAnsi="Times New Roman"/>
          <w:sz w:val="21"/>
          <w:szCs w:val="21"/>
          <w:i w:val="1"/>
          <w:iCs w:val="1"/>
          <w:color w:val="auto"/>
        </w:rPr>
        <w:t>or</w:t>
      </w:r>
      <w:r>
        <w:rPr>
          <w:rFonts w:ascii="Times New Roman" w:cs="Times New Roman" w:eastAsia="Times New Roman" w:hAnsi="Times New Roman"/>
          <w:sz w:val="21"/>
          <w:szCs w:val="21"/>
          <w:color w:val="auto"/>
        </w:rPr>
        <w:t xml:space="preserve"> b.1.a.4.d. Having a gridded electron gun;</w:t>
      </w:r>
    </w:p>
    <w:p>
      <w:pPr>
        <w:spacing w:after="0" w:line="1"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b.1.a.5. Devices with a “fractional bandwidth” greater than or equal to 10%, with any of the following:</w:t>
      </w:r>
    </w:p>
    <w:p>
      <w:pPr>
        <w:spacing w:after="0" w:line="205" w:lineRule="exact"/>
        <w:rPr>
          <w:sz w:val="20"/>
          <w:szCs w:val="20"/>
          <w:color w:val="auto"/>
        </w:rPr>
      </w:pPr>
    </w:p>
    <w:p>
      <w:pPr>
        <w:ind w:left="440"/>
        <w:spacing w:after="0"/>
        <w:tabs>
          <w:tab w:leader="none" w:pos="1480" w:val="left"/>
        </w:tabs>
        <w:rPr>
          <w:sz w:val="20"/>
          <w:szCs w:val="20"/>
          <w:color w:val="auto"/>
        </w:rPr>
      </w:pPr>
      <w:r>
        <w:rPr>
          <w:rFonts w:ascii="Times New Roman" w:cs="Times New Roman" w:eastAsia="Times New Roman" w:hAnsi="Times New Roman"/>
          <w:sz w:val="22"/>
          <w:szCs w:val="22"/>
          <w:color w:val="auto"/>
        </w:rPr>
        <w:t>b.1.a.5.a.</w:t>
        <w:tab/>
        <w:t>An annular electron beam;</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8" w:lineRule="exact"/>
        <w:rPr>
          <w:sz w:val="20"/>
          <w:szCs w:val="20"/>
          <w:color w:val="auto"/>
        </w:rPr>
      </w:pPr>
    </w:p>
    <w:p>
      <w:pPr>
        <w:jc w:val="both"/>
        <w:ind w:firstLine="432"/>
        <w:spacing w:after="0" w:line="270" w:lineRule="auto"/>
        <w:rPr>
          <w:sz w:val="20"/>
          <w:szCs w:val="20"/>
          <w:color w:val="auto"/>
        </w:rPr>
      </w:pPr>
      <w:r>
        <w:rPr>
          <w:rFonts w:ascii="Times New Roman" w:cs="Times New Roman" w:eastAsia="Times New Roman" w:hAnsi="Times New Roman"/>
          <w:sz w:val="22"/>
          <w:szCs w:val="22"/>
          <w:color w:val="auto"/>
        </w:rPr>
        <w:t xml:space="preserve">b.1.a.5.b. A non-axisymmetric electron beam; </w:t>
      </w:r>
      <w:r>
        <w:rPr>
          <w:rFonts w:ascii="Times New Roman" w:cs="Times New Roman" w:eastAsia="Times New Roman" w:hAnsi="Times New Roman"/>
          <w:sz w:val="22"/>
          <w:szCs w:val="22"/>
          <w:i w:val="1"/>
          <w:iCs w:val="1"/>
          <w:color w:val="auto"/>
        </w:rPr>
        <w:t>or</w:t>
      </w:r>
    </w:p>
    <w:p>
      <w:pPr>
        <w:spacing w:after="0" w:line="189" w:lineRule="exact"/>
        <w:rPr>
          <w:sz w:val="20"/>
          <w:szCs w:val="20"/>
          <w:color w:val="auto"/>
        </w:rPr>
      </w:pPr>
    </w:p>
    <w:p>
      <w:pPr>
        <w:ind w:left="440"/>
        <w:spacing w:after="0"/>
        <w:tabs>
          <w:tab w:leader="none" w:pos="1480" w:val="left"/>
        </w:tabs>
        <w:rPr>
          <w:sz w:val="20"/>
          <w:szCs w:val="20"/>
          <w:color w:val="auto"/>
        </w:rPr>
      </w:pPr>
      <w:r>
        <w:rPr>
          <w:rFonts w:ascii="Times New Roman" w:cs="Times New Roman" w:eastAsia="Times New Roman" w:hAnsi="Times New Roman"/>
          <w:sz w:val="22"/>
          <w:szCs w:val="22"/>
          <w:color w:val="auto"/>
        </w:rPr>
        <w:t>b.1.a.5.c.</w:t>
        <w:tab/>
        <w:t>Multiple electron beams;</w:t>
      </w:r>
    </w:p>
    <w:p>
      <w:pPr>
        <w:spacing w:after="0" w:line="253"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b.1.b. Crossed-field amplifier ‘vacuum electronic devices’ with a gain of more than 17 dB;</w:t>
      </w:r>
    </w:p>
    <w:p>
      <w:pPr>
        <w:spacing w:after="0" w:line="205" w:lineRule="exact"/>
        <w:rPr>
          <w:sz w:val="20"/>
          <w:szCs w:val="20"/>
          <w:color w:val="auto"/>
        </w:rPr>
      </w:pPr>
    </w:p>
    <w:p>
      <w:pPr>
        <w:jc w:val="both"/>
        <w:ind w:firstLine="288"/>
        <w:spacing w:after="0" w:line="238" w:lineRule="auto"/>
        <w:rPr>
          <w:sz w:val="20"/>
          <w:szCs w:val="20"/>
          <w:color w:val="auto"/>
        </w:rPr>
      </w:pPr>
      <w:r>
        <w:rPr>
          <w:rFonts w:ascii="Times New Roman" w:cs="Times New Roman" w:eastAsia="Times New Roman" w:hAnsi="Times New Roman"/>
          <w:sz w:val="22"/>
          <w:szCs w:val="22"/>
          <w:color w:val="auto"/>
        </w:rPr>
        <w:t>b.1.c. Thermionic cathodes, designed for ‘vacuum electronic devices,’ producing an emission current density at rated operating conditions exceeding 5 A/cm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xml:space="preserve"> or a pulsed (non-continuous) current density at rated operating conditions exceeding 10 A/cm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w:t>
      </w:r>
    </w:p>
    <w:p>
      <w:pPr>
        <w:spacing w:after="0" w:line="129" w:lineRule="exact"/>
        <w:rPr>
          <w:sz w:val="20"/>
          <w:szCs w:val="20"/>
          <w:color w:val="auto"/>
        </w:rPr>
      </w:pPr>
    </w:p>
    <w:p>
      <w:pPr>
        <w:jc w:val="both"/>
        <w:ind w:firstLine="288"/>
        <w:spacing w:after="0" w:line="270" w:lineRule="auto"/>
        <w:rPr>
          <w:sz w:val="20"/>
          <w:szCs w:val="20"/>
          <w:color w:val="auto"/>
        </w:rPr>
      </w:pPr>
      <w:r>
        <w:rPr>
          <w:rFonts w:ascii="Times New Roman" w:cs="Times New Roman" w:eastAsia="Times New Roman" w:hAnsi="Times New Roman"/>
          <w:sz w:val="22"/>
          <w:szCs w:val="22"/>
          <w:color w:val="auto"/>
        </w:rPr>
        <w:t>b.1.d. ‘Vacuum electronic devices’ with the capability to operate in a ‘dual mode.’</w:t>
      </w:r>
    </w:p>
    <w:p>
      <w:pPr>
        <w:spacing w:after="0" w:line="184" w:lineRule="exact"/>
        <w:rPr>
          <w:sz w:val="20"/>
          <w:szCs w:val="20"/>
          <w:color w:val="auto"/>
        </w:rPr>
      </w:pPr>
    </w:p>
    <w:p>
      <w:pPr>
        <w:jc w:val="both"/>
        <w:ind w:firstLine="144"/>
        <w:spacing w:after="0" w:line="247"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‘Dual mode’ means the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‘vacuum electronic device’ beam current can be intentionally changed between continuous-wave and pulsed mode operation by use of a grid and produces a peak pulse output power greater than the continuous-wave output power.</w:t>
      </w:r>
    </w:p>
    <w:p>
      <w:pPr>
        <w:spacing w:after="0" w:line="214" w:lineRule="exact"/>
        <w:rPr>
          <w:sz w:val="20"/>
          <w:szCs w:val="20"/>
          <w:color w:val="auto"/>
        </w:rPr>
      </w:pPr>
    </w:p>
    <w:p>
      <w:pPr>
        <w:jc w:val="both"/>
        <w:spacing w:after="0" w:line="255" w:lineRule="auto"/>
        <w:rPr>
          <w:sz w:val="20"/>
          <w:szCs w:val="20"/>
          <w:color w:val="auto"/>
        </w:rPr>
      </w:pPr>
      <w:r>
        <w:rPr>
          <w:rFonts w:ascii="Times New Roman" w:cs="Times New Roman" w:eastAsia="Times New Roman" w:hAnsi="Times New Roman"/>
          <w:sz w:val="22"/>
          <w:szCs w:val="22"/>
          <w:color w:val="auto"/>
        </w:rPr>
        <w:t>b.2. “Monolithic Microwave Integrated Circuit” (“MMIC”) amplifiers that are any of the following:</w:t>
      </w:r>
    </w:p>
    <w:p>
      <w:pPr>
        <w:spacing w:after="0" w:line="200" w:lineRule="exact"/>
        <w:rPr>
          <w:sz w:val="20"/>
          <w:szCs w:val="20"/>
          <w:color w:val="auto"/>
        </w:rPr>
      </w:pPr>
    </w:p>
    <w:p>
      <w:pPr>
        <w:jc w:val="both"/>
        <w:ind w:firstLine="144"/>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w:t>
      </w:r>
      <w:r>
        <w:rPr>
          <w:rFonts w:ascii="Times New Roman" w:cs="Times New Roman" w:eastAsia="Times New Roman" w:hAnsi="Times New Roman"/>
          <w:sz w:val="22"/>
          <w:szCs w:val="22"/>
          <w:i w:val="1"/>
          <w:iCs w:val="1"/>
          <w:color w:val="auto"/>
        </w:rPr>
        <w:t>For “MMIC” amplifiers that have an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integrated phase shifter see 3A001.b.12.</w:t>
      </w:r>
    </w:p>
    <w:p>
      <w:pPr>
        <w:spacing w:after="0" w:line="200" w:lineRule="exact"/>
        <w:rPr>
          <w:sz w:val="20"/>
          <w:szCs w:val="20"/>
          <w:color w:val="auto"/>
        </w:rPr>
      </w:pPr>
    </w:p>
    <w:p>
      <w:pPr>
        <w:spacing w:after="0" w:line="235" w:lineRule="exact"/>
        <w:rPr>
          <w:sz w:val="20"/>
          <w:szCs w:val="20"/>
          <w:color w:val="auto"/>
        </w:rPr>
      </w:pPr>
    </w:p>
    <w:p>
      <w:pPr>
        <w:jc w:val="both"/>
        <w:ind w:firstLine="432"/>
        <w:spacing w:after="0" w:line="248" w:lineRule="auto"/>
        <w:rPr>
          <w:sz w:val="20"/>
          <w:szCs w:val="20"/>
          <w:color w:val="auto"/>
        </w:rPr>
      </w:pPr>
      <w:r>
        <w:rPr>
          <w:rFonts w:ascii="Times New Roman" w:cs="Times New Roman" w:eastAsia="Times New Roman" w:hAnsi="Times New Roman"/>
          <w:sz w:val="22"/>
          <w:szCs w:val="22"/>
          <w:color w:val="auto"/>
        </w:rPr>
        <w:t>b.2.a. Rated for operation at frequencies exceeding 2.7 GHz up to and including 6.8 GHz with a “fractional bandwidth” greater than 15%, and having any of the following:</w:t>
      </w:r>
    </w:p>
    <w:p>
      <w:pPr>
        <w:spacing w:after="0" w:line="200" w:lineRule="exact"/>
        <w:rPr>
          <w:sz w:val="20"/>
          <w:szCs w:val="20"/>
          <w:color w:val="auto"/>
        </w:rPr>
      </w:pPr>
    </w:p>
    <w:p>
      <w:pPr>
        <w:spacing w:after="0" w:line="272" w:lineRule="exact"/>
        <w:rPr>
          <w:sz w:val="20"/>
          <w:szCs w:val="20"/>
          <w:color w:val="auto"/>
        </w:rPr>
      </w:pPr>
    </w:p>
    <w:p>
      <w:pPr>
        <w:jc w:val="both"/>
        <w:ind w:firstLine="576"/>
        <w:spacing w:after="0" w:line="255" w:lineRule="auto"/>
        <w:rPr>
          <w:sz w:val="20"/>
          <w:szCs w:val="20"/>
          <w:color w:val="auto"/>
        </w:rPr>
      </w:pPr>
      <w:r>
        <w:rPr>
          <w:rFonts w:ascii="Times New Roman" w:cs="Times New Roman" w:eastAsia="Times New Roman" w:hAnsi="Times New Roman"/>
          <w:sz w:val="22"/>
          <w:szCs w:val="22"/>
          <w:color w:val="auto"/>
        </w:rPr>
        <w:t>b.2.a.1. A peak saturated power output greater than 75 W (48.75 dBm) at any frequency exceeding 2.7 GHz up to and including 2.9 GHz;</w:t>
      </w:r>
    </w:p>
    <w:p>
      <w:pPr>
        <w:spacing w:after="0" w:line="206" w:lineRule="exact"/>
        <w:rPr>
          <w:sz w:val="20"/>
          <w:szCs w:val="20"/>
          <w:color w:val="auto"/>
        </w:rPr>
      </w:pPr>
    </w:p>
    <w:p>
      <w:pPr>
        <w:jc w:val="both"/>
        <w:ind w:firstLine="576"/>
        <w:spacing w:after="0" w:line="255" w:lineRule="auto"/>
        <w:rPr>
          <w:sz w:val="20"/>
          <w:szCs w:val="20"/>
          <w:color w:val="auto"/>
        </w:rPr>
      </w:pPr>
      <w:r>
        <w:rPr>
          <w:rFonts w:ascii="Times New Roman" w:cs="Times New Roman" w:eastAsia="Times New Roman" w:hAnsi="Times New Roman"/>
          <w:sz w:val="22"/>
          <w:szCs w:val="22"/>
          <w:color w:val="auto"/>
        </w:rPr>
        <w:t>b.2.a.2. A peak saturated power output greater than 55 W (47.4 dBm) at any frequency exceeding 2.9 GHz up to and including 3.2 GHz;</w:t>
      </w:r>
    </w:p>
    <w:p>
      <w:pPr>
        <w:spacing w:after="0" w:line="200"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271"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7" w:name="page8"/>
    <w:bookmarkEnd w:id="7"/>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8</w:t>
      </w:r>
    </w:p>
    <w:p>
      <w:pPr>
        <w:sectPr>
          <w:pgSz w:w="12240" w:h="15840" w:orient="portrait"/>
          <w:cols w:equalWidth="0" w:num="1">
            <w:col w:w="9360"/>
          </w:cols>
          <w:pgMar w:left="1440" w:top="1062" w:right="1440" w:bottom="892" w:gutter="0" w:footer="0" w:header="0"/>
        </w:sectPr>
      </w:pPr>
    </w:p>
    <w:p>
      <w:pPr>
        <w:spacing w:after="0" w:line="200" w:lineRule="exact"/>
        <w:rPr>
          <w:sz w:val="20"/>
          <w:szCs w:val="20"/>
          <w:color w:val="auto"/>
        </w:rPr>
      </w:pPr>
    </w:p>
    <w:p>
      <w:pPr>
        <w:spacing w:after="0" w:line="298" w:lineRule="exact"/>
        <w:rPr>
          <w:sz w:val="20"/>
          <w:szCs w:val="20"/>
          <w:color w:val="auto"/>
        </w:rPr>
      </w:pPr>
    </w:p>
    <w:p>
      <w:pPr>
        <w:jc w:val="both"/>
        <w:ind w:firstLine="576"/>
        <w:spacing w:after="0" w:line="250" w:lineRule="auto"/>
        <w:rPr>
          <w:sz w:val="20"/>
          <w:szCs w:val="20"/>
          <w:color w:val="auto"/>
        </w:rPr>
      </w:pPr>
      <w:r>
        <w:rPr>
          <w:rFonts w:ascii="Times New Roman" w:cs="Times New Roman" w:eastAsia="Times New Roman" w:hAnsi="Times New Roman"/>
          <w:sz w:val="22"/>
          <w:szCs w:val="22"/>
          <w:color w:val="auto"/>
        </w:rPr>
        <w:t xml:space="preserve">b.2.a.3. A peak saturated power output greater than 40 W (46 dBm) at any frequency exceeding 3.2 GHz up to and including 3.7 GHz;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jc w:val="both"/>
        <w:ind w:firstLine="576"/>
        <w:spacing w:after="0" w:line="255" w:lineRule="auto"/>
        <w:rPr>
          <w:sz w:val="20"/>
          <w:szCs w:val="20"/>
          <w:color w:val="auto"/>
        </w:rPr>
      </w:pPr>
      <w:r>
        <w:rPr>
          <w:rFonts w:ascii="Times New Roman" w:cs="Times New Roman" w:eastAsia="Times New Roman" w:hAnsi="Times New Roman"/>
          <w:sz w:val="22"/>
          <w:szCs w:val="22"/>
          <w:color w:val="auto"/>
        </w:rPr>
        <w:t>b.2.a.4. A peak saturated power output greater than 20 W (43 dBm) at any frequency exceeding 3.7 GHz up to and including 6.8 GHz;</w:t>
      </w:r>
    </w:p>
    <w:p>
      <w:pPr>
        <w:spacing w:after="0" w:line="205" w:lineRule="exact"/>
        <w:rPr>
          <w:sz w:val="20"/>
          <w:szCs w:val="20"/>
          <w:color w:val="auto"/>
        </w:rPr>
      </w:pPr>
    </w:p>
    <w:p>
      <w:pPr>
        <w:jc w:val="both"/>
        <w:ind w:firstLine="432"/>
        <w:spacing w:after="0" w:line="248" w:lineRule="auto"/>
        <w:rPr>
          <w:sz w:val="20"/>
          <w:szCs w:val="20"/>
          <w:color w:val="auto"/>
        </w:rPr>
      </w:pPr>
      <w:r>
        <w:rPr>
          <w:rFonts w:ascii="Times New Roman" w:cs="Times New Roman" w:eastAsia="Times New Roman" w:hAnsi="Times New Roman"/>
          <w:sz w:val="22"/>
          <w:szCs w:val="22"/>
          <w:color w:val="auto"/>
        </w:rPr>
        <w:t>b.2.b. Rated for operation at frequencies exceeding 6.8 GHz up to and including 16 GHz with a “fractional bandwidth” greater than 10%, and having any of the following:</w:t>
      </w:r>
    </w:p>
    <w:p>
      <w:pPr>
        <w:spacing w:after="0" w:line="200" w:lineRule="exact"/>
        <w:rPr>
          <w:sz w:val="20"/>
          <w:szCs w:val="20"/>
          <w:color w:val="auto"/>
        </w:rPr>
      </w:pPr>
    </w:p>
    <w:p>
      <w:pPr>
        <w:spacing w:after="0" w:line="272" w:lineRule="exact"/>
        <w:rPr>
          <w:sz w:val="20"/>
          <w:szCs w:val="20"/>
          <w:color w:val="auto"/>
        </w:rPr>
      </w:pPr>
    </w:p>
    <w:p>
      <w:pPr>
        <w:jc w:val="both"/>
        <w:ind w:firstLine="576"/>
        <w:spacing w:after="0" w:line="250" w:lineRule="auto"/>
        <w:rPr>
          <w:sz w:val="20"/>
          <w:szCs w:val="20"/>
          <w:color w:val="auto"/>
        </w:rPr>
      </w:pPr>
      <w:r>
        <w:rPr>
          <w:rFonts w:ascii="Times New Roman" w:cs="Times New Roman" w:eastAsia="Times New Roman" w:hAnsi="Times New Roman"/>
          <w:sz w:val="22"/>
          <w:szCs w:val="22"/>
          <w:color w:val="auto"/>
        </w:rPr>
        <w:t xml:space="preserve">b.2.b.1. A peak saturated power output greater than 10 W (40 dBm) at any frequency exceeding 6.8 GHz up to and including 8.5 GHz;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jc w:val="both"/>
        <w:ind w:firstLine="576"/>
        <w:spacing w:after="0" w:line="255" w:lineRule="auto"/>
        <w:rPr>
          <w:sz w:val="20"/>
          <w:szCs w:val="20"/>
          <w:color w:val="auto"/>
        </w:rPr>
      </w:pPr>
      <w:r>
        <w:rPr>
          <w:rFonts w:ascii="Times New Roman" w:cs="Times New Roman" w:eastAsia="Times New Roman" w:hAnsi="Times New Roman"/>
          <w:sz w:val="22"/>
          <w:szCs w:val="22"/>
          <w:color w:val="auto"/>
        </w:rPr>
        <w:t>b.2.b.2. A peak saturated power output greater than 5 W (37 dBm) at any frequency exceeding 8.5 GHz up to and including 16 GHz;</w:t>
      </w:r>
    </w:p>
    <w:p>
      <w:pPr>
        <w:spacing w:after="0" w:line="205" w:lineRule="exact"/>
        <w:rPr>
          <w:sz w:val="20"/>
          <w:szCs w:val="20"/>
          <w:color w:val="auto"/>
        </w:rPr>
      </w:pPr>
    </w:p>
    <w:p>
      <w:pPr>
        <w:jc w:val="both"/>
        <w:ind w:firstLine="432"/>
        <w:spacing w:after="0" w:line="247" w:lineRule="auto"/>
        <w:rPr>
          <w:sz w:val="20"/>
          <w:szCs w:val="20"/>
          <w:color w:val="auto"/>
        </w:rPr>
      </w:pPr>
      <w:r>
        <w:rPr>
          <w:rFonts w:ascii="Times New Roman" w:cs="Times New Roman" w:eastAsia="Times New Roman" w:hAnsi="Times New Roman"/>
          <w:sz w:val="22"/>
          <w:szCs w:val="22"/>
          <w:color w:val="auto"/>
        </w:rPr>
        <w:t>b.2.c. Rated for operation with a peak saturated power output greater than 3 W (34.77 dBm) at any frequency exceeding 16 GHz up to and including 31.8 GHz, and with a “fractional bandwidth” of greater than 10%;</w:t>
      </w:r>
    </w:p>
    <w:p>
      <w:pPr>
        <w:spacing w:after="0" w:line="216" w:lineRule="exact"/>
        <w:rPr>
          <w:sz w:val="20"/>
          <w:szCs w:val="20"/>
          <w:color w:val="auto"/>
        </w:rPr>
      </w:pPr>
    </w:p>
    <w:p>
      <w:pPr>
        <w:jc w:val="both"/>
        <w:ind w:firstLine="432"/>
        <w:spacing w:after="0" w:line="250" w:lineRule="auto"/>
        <w:rPr>
          <w:sz w:val="20"/>
          <w:szCs w:val="20"/>
          <w:color w:val="auto"/>
        </w:rPr>
      </w:pPr>
      <w:r>
        <w:rPr>
          <w:rFonts w:ascii="Times New Roman" w:cs="Times New Roman" w:eastAsia="Times New Roman" w:hAnsi="Times New Roman"/>
          <w:sz w:val="22"/>
          <w:szCs w:val="22"/>
          <w:color w:val="auto"/>
        </w:rPr>
        <w:t>b.2.d. Rated for operation with a peak saturated power output greater than 0.1n W ( -70 dBm) at any frequency exceeding 31.8 GHz up to and including 37 GHz;</w:t>
      </w:r>
    </w:p>
    <w:p>
      <w:pPr>
        <w:spacing w:after="0" w:line="211" w:lineRule="exact"/>
        <w:rPr>
          <w:sz w:val="20"/>
          <w:szCs w:val="20"/>
          <w:color w:val="auto"/>
        </w:rPr>
      </w:pPr>
    </w:p>
    <w:p>
      <w:pPr>
        <w:jc w:val="both"/>
        <w:ind w:firstLine="432"/>
        <w:spacing w:after="0"/>
        <w:rPr>
          <w:sz w:val="20"/>
          <w:szCs w:val="20"/>
          <w:color w:val="auto"/>
        </w:rPr>
      </w:pPr>
      <w:r>
        <w:rPr>
          <w:rFonts w:ascii="Times New Roman" w:cs="Times New Roman" w:eastAsia="Times New Roman" w:hAnsi="Times New Roman"/>
          <w:sz w:val="22"/>
          <w:szCs w:val="22"/>
          <w:color w:val="auto"/>
        </w:rPr>
        <w:t>b.2.e. Rated for operation with a peak saturated power output greater than 1 W (30</w:t>
      </w:r>
    </w:p>
    <w:p>
      <w:pPr>
        <w:spacing w:after="0" w:line="20" w:lineRule="exact"/>
        <w:rPr>
          <w:sz w:val="20"/>
          <w:szCs w:val="20"/>
          <w:color w:val="auto"/>
        </w:rPr>
      </w:pPr>
      <w:r>
        <w:rPr>
          <w:sz w:val="20"/>
          <w:szCs w:val="20"/>
          <w:color w:val="auto"/>
        </w:rPr>
        <w:br w:type="column"/>
      </w:r>
    </w:p>
    <w:p>
      <w:pPr>
        <w:spacing w:after="0" w:line="224" w:lineRule="exact"/>
        <w:rPr>
          <w:sz w:val="20"/>
          <w:szCs w:val="20"/>
          <w:color w:val="auto"/>
        </w:rPr>
      </w:pPr>
    </w:p>
    <w:p>
      <w:pPr>
        <w:jc w:val="both"/>
        <w:ind w:firstLine="432"/>
        <w:spacing w:after="0" w:line="247" w:lineRule="auto"/>
        <w:rPr>
          <w:sz w:val="20"/>
          <w:szCs w:val="20"/>
          <w:color w:val="auto"/>
        </w:rPr>
      </w:pPr>
      <w:r>
        <w:rPr>
          <w:rFonts w:ascii="Times New Roman" w:cs="Times New Roman" w:eastAsia="Times New Roman" w:hAnsi="Times New Roman"/>
          <w:sz w:val="22"/>
          <w:szCs w:val="22"/>
          <w:color w:val="auto"/>
        </w:rPr>
        <w:t xml:space="preserve">b.2.g. Rated for operation with a peak saturated power output greater than 10 mW (10 dBm) at any frequency exceeding 75 GHz up to and including 90 GHz, and with a “fractional bandwidth” of greater than 5%; </w:t>
      </w:r>
      <w:r>
        <w:rPr>
          <w:rFonts w:ascii="Times New Roman" w:cs="Times New Roman" w:eastAsia="Times New Roman" w:hAnsi="Times New Roman"/>
          <w:sz w:val="22"/>
          <w:szCs w:val="22"/>
          <w:i w:val="1"/>
          <w:iCs w:val="1"/>
          <w:color w:val="auto"/>
        </w:rPr>
        <w:t>or</w:t>
      </w:r>
    </w:p>
    <w:p>
      <w:pPr>
        <w:spacing w:after="0" w:line="216"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b.2.h. Rated for operation with a peak saturated power output greater than 0.1 nW (-70 dBm) at any frequency exceeding 90 GHz;</w:t>
      </w:r>
    </w:p>
    <w:p>
      <w:pPr>
        <w:spacing w:after="0" w:line="200"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b w:val="1"/>
          <w:bCs w:val="1"/>
          <w:i w:val="1"/>
          <w:iCs w:val="1"/>
          <w:color w:val="auto"/>
        </w:rPr>
        <w:t>Note 1</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[Reserved]</w:t>
      </w:r>
    </w:p>
    <w:p>
      <w:pPr>
        <w:spacing w:after="0" w:line="253" w:lineRule="exact"/>
        <w:rPr>
          <w:sz w:val="20"/>
          <w:szCs w:val="20"/>
          <w:color w:val="auto"/>
        </w:rPr>
      </w:pPr>
    </w:p>
    <w:p>
      <w:pPr>
        <w:jc w:val="both"/>
        <w:ind w:firstLine="144"/>
        <w:spacing w:after="0" w:line="247" w:lineRule="auto"/>
        <w:rPr>
          <w:sz w:val="20"/>
          <w:szCs w:val="20"/>
          <w:color w:val="auto"/>
        </w:rPr>
      </w:pPr>
      <w:r>
        <w:rPr>
          <w:rFonts w:ascii="Times New Roman" w:cs="Times New Roman" w:eastAsia="Times New Roman" w:hAnsi="Times New Roman"/>
          <w:sz w:val="22"/>
          <w:szCs w:val="22"/>
          <w:b w:val="1"/>
          <w:bCs w:val="1"/>
          <w:i w:val="1"/>
          <w:iCs w:val="1"/>
          <w:color w:val="auto"/>
        </w:rPr>
        <w:t>Note 2</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The control status of the “MMIC”</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whose rated operating frequency includes frequencies listed in more than one frequency range, as defined by 3A001.b.2.a through 3A001.b.2.h, is determined by the lowest peak saturated power output control threshold.</w:t>
      </w:r>
    </w:p>
    <w:p>
      <w:pPr>
        <w:spacing w:after="0" w:line="208" w:lineRule="exact"/>
        <w:rPr>
          <w:sz w:val="20"/>
          <w:szCs w:val="20"/>
          <w:color w:val="auto"/>
        </w:rPr>
      </w:pPr>
    </w:p>
    <w:p>
      <w:pPr>
        <w:jc w:val="both"/>
        <w:ind w:firstLine="288"/>
        <w:spacing w:after="0" w:line="247" w:lineRule="auto"/>
        <w:rPr>
          <w:sz w:val="20"/>
          <w:szCs w:val="20"/>
          <w:color w:val="auto"/>
        </w:rPr>
      </w:pPr>
      <w:r>
        <w:rPr>
          <w:rFonts w:ascii="Times New Roman" w:cs="Times New Roman" w:eastAsia="Times New Roman" w:hAnsi="Times New Roman"/>
          <w:sz w:val="22"/>
          <w:szCs w:val="22"/>
          <w:b w:val="1"/>
          <w:bCs w:val="1"/>
          <w:i w:val="1"/>
          <w:iCs w:val="1"/>
          <w:color w:val="auto"/>
        </w:rPr>
        <w:t>Note 3</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Notes 1 and 2 following the Category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 heading for product group A. Systems, Equipment, and Components mean that 3A001.b.2 does not control “MMICs” if they are “specially designed” for other applications, e.g., telecommunications, radar, automobiles.</w:t>
      </w:r>
    </w:p>
    <w:p>
      <w:pPr>
        <w:spacing w:after="0" w:line="214"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b.3. Discrete microwave transistors that are any of the following:</w:t>
      </w:r>
    </w:p>
    <w:p>
      <w:pPr>
        <w:spacing w:after="0" w:line="187" w:lineRule="exact"/>
        <w:rPr>
          <w:sz w:val="20"/>
          <w:szCs w:val="20"/>
          <w:color w:val="auto"/>
        </w:rPr>
      </w:pPr>
    </w:p>
    <w:p>
      <w:pPr>
        <w:jc w:val="both"/>
        <w:ind w:firstLine="432"/>
        <w:spacing w:after="0" w:line="251" w:lineRule="auto"/>
        <w:rPr>
          <w:sz w:val="20"/>
          <w:szCs w:val="20"/>
          <w:color w:val="auto"/>
        </w:rPr>
      </w:pPr>
      <w:r>
        <w:rPr>
          <w:rFonts w:ascii="Times New Roman" w:cs="Times New Roman" w:eastAsia="Times New Roman" w:hAnsi="Times New Roman"/>
          <w:sz w:val="22"/>
          <w:szCs w:val="22"/>
          <w:color w:val="auto"/>
        </w:rPr>
        <w:t>b.3.a. Rated for operation at frequencies exceeding 2.7 GHz up to and including 6.8 GHz and having any of the following:</w:t>
      </w:r>
    </w:p>
    <w:p>
      <w:pPr>
        <w:spacing w:after="0" w:line="200" w:lineRule="exact"/>
        <w:rPr>
          <w:sz w:val="20"/>
          <w:szCs w:val="20"/>
          <w:color w:val="auto"/>
        </w:rPr>
      </w:pPr>
    </w:p>
    <w:p>
      <w:pPr>
        <w:spacing w:after="0" w:line="272"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b.3.a.1. A peak saturated power output greater than 400 W (56 dBm) at any frequency exceeding 2.7 GHz up to and including 2.9 GHz;</w:t>
      </w:r>
    </w:p>
    <w:p>
      <w:pPr>
        <w:spacing w:after="0" w:line="205"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jc w:val="both"/>
        <w:spacing w:after="0" w:line="255" w:lineRule="auto"/>
        <w:rPr>
          <w:sz w:val="20"/>
          <w:szCs w:val="20"/>
          <w:color w:val="auto"/>
        </w:rPr>
      </w:pPr>
      <w:r>
        <w:rPr>
          <w:rFonts w:ascii="Times New Roman" w:cs="Times New Roman" w:eastAsia="Times New Roman" w:hAnsi="Times New Roman"/>
          <w:sz w:val="22"/>
          <w:szCs w:val="22"/>
          <w:color w:val="auto"/>
        </w:rPr>
        <w:t>dBm) at any frequency exceeding 37 GHz up to and including 43.5 GHz, and with a “fractional bandwidth” of greater than 10%;</w:t>
      </w:r>
    </w:p>
    <w:p>
      <w:pPr>
        <w:spacing w:after="0" w:line="205" w:lineRule="exact"/>
        <w:rPr>
          <w:sz w:val="20"/>
          <w:szCs w:val="20"/>
          <w:color w:val="auto"/>
        </w:rPr>
      </w:pPr>
    </w:p>
    <w:p>
      <w:pPr>
        <w:jc w:val="both"/>
        <w:ind w:firstLine="432"/>
        <w:spacing w:after="0" w:line="247" w:lineRule="auto"/>
        <w:rPr>
          <w:sz w:val="20"/>
          <w:szCs w:val="20"/>
          <w:color w:val="auto"/>
        </w:rPr>
      </w:pPr>
      <w:r>
        <w:rPr>
          <w:rFonts w:ascii="Times New Roman" w:cs="Times New Roman" w:eastAsia="Times New Roman" w:hAnsi="Times New Roman"/>
          <w:sz w:val="22"/>
          <w:szCs w:val="22"/>
          <w:color w:val="auto"/>
        </w:rPr>
        <w:t>b.2.f. Rated for operation with a peak saturated power output greater than 31.62 mW (15 dBm) at any frequency exceeding 43.5 GHz up to and including 75 GHz, and with a “fractional bandwidth” of greater than 10%;</w:t>
      </w:r>
    </w:p>
    <w:p>
      <w:pPr>
        <w:spacing w:after="0" w:line="20" w:lineRule="exact"/>
        <w:rPr>
          <w:sz w:val="20"/>
          <w:szCs w:val="20"/>
          <w:color w:val="auto"/>
        </w:rPr>
      </w:pPr>
      <w:r>
        <w:rPr>
          <w:sz w:val="20"/>
          <w:szCs w:val="20"/>
          <w:color w:val="auto"/>
        </w:rPr>
        <w:br w:type="column"/>
      </w:r>
    </w:p>
    <w:p>
      <w:pPr>
        <w:jc w:val="both"/>
        <w:ind w:firstLine="432"/>
        <w:spacing w:after="0" w:line="250" w:lineRule="auto"/>
        <w:rPr>
          <w:sz w:val="20"/>
          <w:szCs w:val="20"/>
          <w:color w:val="auto"/>
        </w:rPr>
      </w:pPr>
      <w:r>
        <w:rPr>
          <w:rFonts w:ascii="Times New Roman" w:cs="Times New Roman" w:eastAsia="Times New Roman" w:hAnsi="Times New Roman"/>
          <w:sz w:val="22"/>
          <w:szCs w:val="22"/>
          <w:color w:val="auto"/>
        </w:rPr>
        <w:t>b.3.a.2. A peak greater than 205 W frequency exceeding including 3.2 GHz;</w:t>
      </w:r>
    </w:p>
    <w:p>
      <w:pPr>
        <w:spacing w:after="0" w:line="211" w:lineRule="exact"/>
        <w:rPr>
          <w:sz w:val="20"/>
          <w:szCs w:val="20"/>
          <w:color w:val="auto"/>
        </w:rPr>
      </w:pPr>
    </w:p>
    <w:p>
      <w:pPr>
        <w:jc w:val="both"/>
        <w:ind w:right="60" w:firstLine="432"/>
        <w:spacing w:after="0" w:line="250" w:lineRule="auto"/>
        <w:rPr>
          <w:sz w:val="20"/>
          <w:szCs w:val="20"/>
          <w:color w:val="auto"/>
        </w:rPr>
      </w:pPr>
      <w:r>
        <w:rPr>
          <w:rFonts w:ascii="Times New Roman" w:cs="Times New Roman" w:eastAsia="Times New Roman" w:hAnsi="Times New Roman"/>
          <w:sz w:val="22"/>
          <w:szCs w:val="22"/>
          <w:color w:val="auto"/>
        </w:rPr>
        <w:t xml:space="preserve">b.3.a.3. A peak greater than 115 W frequency exceeding including 3.7 GHz; </w:t>
      </w:r>
      <w:r>
        <w:rPr>
          <w:rFonts w:ascii="Times New Roman" w:cs="Times New Roman" w:eastAsia="Times New Roman" w:hAnsi="Times New Roman"/>
          <w:sz w:val="22"/>
          <w:szCs w:val="22"/>
          <w:i w:val="1"/>
          <w:iCs w:val="1"/>
          <w:color w:val="auto"/>
        </w:rPr>
        <w:t>or</w:t>
      </w:r>
    </w:p>
    <w:p>
      <w:pPr>
        <w:spacing w:after="0" w:line="20" w:lineRule="exact"/>
        <w:rPr>
          <w:sz w:val="20"/>
          <w:szCs w:val="20"/>
          <w:color w:val="auto"/>
        </w:rPr>
      </w:pPr>
      <w:r>
        <w:rPr>
          <w:sz w:val="20"/>
          <w:szCs w:val="20"/>
          <w:color w:val="auto"/>
        </w:rPr>
        <w:br w:type="column"/>
      </w:r>
    </w:p>
    <w:p>
      <w:pPr>
        <w:jc w:val="right"/>
        <w:spacing w:after="0" w:line="255" w:lineRule="auto"/>
        <w:rPr>
          <w:sz w:val="20"/>
          <w:szCs w:val="20"/>
          <w:color w:val="auto"/>
        </w:rPr>
      </w:pPr>
      <w:r>
        <w:rPr>
          <w:rFonts w:ascii="Times New Roman" w:cs="Times New Roman" w:eastAsia="Times New Roman" w:hAnsi="Times New Roman"/>
          <w:sz w:val="22"/>
          <w:szCs w:val="22"/>
          <w:color w:val="auto"/>
        </w:rPr>
        <w:t>saturated  power  output (53.12  dBm)  at  any 2.9  GHz  up  to  and</w:t>
      </w:r>
    </w:p>
    <w:p>
      <w:pPr>
        <w:spacing w:after="0" w:line="200" w:lineRule="exact"/>
        <w:rPr>
          <w:sz w:val="20"/>
          <w:szCs w:val="20"/>
          <w:color w:val="auto"/>
        </w:rPr>
      </w:pPr>
    </w:p>
    <w:p>
      <w:pPr>
        <w:spacing w:after="0" w:line="258" w:lineRule="exact"/>
        <w:rPr>
          <w:sz w:val="20"/>
          <w:szCs w:val="20"/>
          <w:color w:val="auto"/>
        </w:rPr>
      </w:pPr>
    </w:p>
    <w:p>
      <w:pPr>
        <w:jc w:val="both"/>
        <w:ind w:left="60" w:hanging="43"/>
        <w:spacing w:after="0" w:line="255" w:lineRule="auto"/>
        <w:rPr>
          <w:sz w:val="20"/>
          <w:szCs w:val="20"/>
          <w:color w:val="auto"/>
        </w:rPr>
      </w:pPr>
      <w:r>
        <w:rPr>
          <w:rFonts w:ascii="Times New Roman" w:cs="Times New Roman" w:eastAsia="Times New Roman" w:hAnsi="Times New Roman"/>
          <w:sz w:val="22"/>
          <w:szCs w:val="22"/>
          <w:color w:val="auto"/>
        </w:rPr>
        <w:t>saturated power output (50.61 dBm ) at any 3.2 GHz up to and</w:t>
      </w:r>
    </w:p>
    <w:p>
      <w:pPr>
        <w:spacing w:after="0" w:line="447" w:lineRule="exact"/>
        <w:rPr>
          <w:sz w:val="20"/>
          <w:szCs w:val="20"/>
          <w:color w:val="auto"/>
        </w:rPr>
      </w:pPr>
    </w:p>
    <w:p>
      <w:pPr>
        <w:sectPr>
          <w:pgSz w:w="12240" w:h="15840" w:orient="portrait"/>
          <w:cols w:equalWidth="0" w:num="3">
            <w:col w:w="4320" w:space="720"/>
            <w:col w:w="2060" w:space="40"/>
            <w:col w:w="2220"/>
          </w:cols>
          <w:pgMar w:left="1440" w:top="1062" w:right="1440" w:bottom="892" w:gutter="0" w:footer="0" w:header="0"/>
          <w:type w:val="continuous"/>
        </w:sectPr>
      </w:pPr>
    </w:p>
    <w:p>
      <w:pPr>
        <w:spacing w:after="0" w:line="200" w:lineRule="exact"/>
        <w:rPr>
          <w:sz w:val="20"/>
          <w:szCs w:val="20"/>
          <w:color w:val="auto"/>
        </w:rPr>
      </w:pPr>
    </w:p>
    <w:p>
      <w:pPr>
        <w:spacing w:after="0" w:line="330"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8" w:name="page9"/>
    <w:bookmarkEnd w:id="8"/>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9</w:t>
      </w:r>
    </w:p>
    <w:p>
      <w:pPr>
        <w:sectPr>
          <w:pgSz w:w="12240" w:h="15840" w:orient="portrait"/>
          <w:cols w:equalWidth="0" w:num="1">
            <w:col w:w="9360"/>
          </w:cols>
          <w:pgMar w:left="1440" w:top="1062" w:right="1440" w:bottom="892" w:gutter="0" w:footer="0" w:header="0"/>
        </w:sectPr>
      </w:pPr>
    </w:p>
    <w:p>
      <w:pPr>
        <w:spacing w:after="0" w:line="245"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b.3.a.4. A peak saturated power output greater than 60 W (47.78 dBm) at any frequency exceeding 3.7 GHz up to and including 6.8 GHz;</w:t>
      </w:r>
    </w:p>
    <w:p>
      <w:pPr>
        <w:spacing w:after="0" w:line="205" w:lineRule="exact"/>
        <w:rPr>
          <w:sz w:val="20"/>
          <w:szCs w:val="20"/>
          <w:color w:val="auto"/>
        </w:rPr>
      </w:pPr>
    </w:p>
    <w:p>
      <w:pPr>
        <w:jc w:val="both"/>
        <w:ind w:firstLine="432"/>
        <w:spacing w:after="0" w:line="251" w:lineRule="auto"/>
        <w:rPr>
          <w:sz w:val="20"/>
          <w:szCs w:val="20"/>
          <w:color w:val="auto"/>
        </w:rPr>
      </w:pPr>
      <w:r>
        <w:rPr>
          <w:rFonts w:ascii="Times New Roman" w:cs="Times New Roman" w:eastAsia="Times New Roman" w:hAnsi="Times New Roman"/>
          <w:sz w:val="22"/>
          <w:szCs w:val="22"/>
          <w:color w:val="auto"/>
        </w:rPr>
        <w:t>b.3.b. Rated for operation at frequencies exceeding 6.8 GHz up to and including 31.8 GHz and having any of the following:</w:t>
      </w:r>
    </w:p>
    <w:p>
      <w:pPr>
        <w:spacing w:after="0" w:line="200" w:lineRule="exact"/>
        <w:rPr>
          <w:sz w:val="20"/>
          <w:szCs w:val="20"/>
          <w:color w:val="auto"/>
        </w:rPr>
      </w:pPr>
    </w:p>
    <w:p>
      <w:pPr>
        <w:spacing w:after="0" w:line="271" w:lineRule="exact"/>
        <w:rPr>
          <w:sz w:val="20"/>
          <w:szCs w:val="20"/>
          <w:color w:val="auto"/>
        </w:rPr>
      </w:pPr>
    </w:p>
    <w:p>
      <w:pPr>
        <w:jc w:val="both"/>
        <w:ind w:firstLine="576"/>
        <w:spacing w:after="0" w:line="255" w:lineRule="auto"/>
        <w:rPr>
          <w:sz w:val="20"/>
          <w:szCs w:val="20"/>
          <w:color w:val="auto"/>
        </w:rPr>
      </w:pPr>
      <w:r>
        <w:rPr>
          <w:rFonts w:ascii="Times New Roman" w:cs="Times New Roman" w:eastAsia="Times New Roman" w:hAnsi="Times New Roman"/>
          <w:sz w:val="22"/>
          <w:szCs w:val="22"/>
          <w:color w:val="auto"/>
        </w:rPr>
        <w:t>b.3.b.1. A peak saturated power output greater than 50 W (47 dBm) at any frequency exceeding 6.8 GHz up to and including 8.5 GHz;</w:t>
      </w:r>
    </w:p>
    <w:p>
      <w:pPr>
        <w:spacing w:after="0" w:line="205" w:lineRule="exact"/>
        <w:rPr>
          <w:sz w:val="20"/>
          <w:szCs w:val="20"/>
          <w:color w:val="auto"/>
        </w:rPr>
      </w:pPr>
    </w:p>
    <w:p>
      <w:pPr>
        <w:jc w:val="both"/>
        <w:ind w:firstLine="576"/>
        <w:spacing w:after="0" w:line="255" w:lineRule="auto"/>
        <w:rPr>
          <w:sz w:val="20"/>
          <w:szCs w:val="20"/>
          <w:color w:val="auto"/>
        </w:rPr>
      </w:pPr>
      <w:r>
        <w:rPr>
          <w:rFonts w:ascii="Times New Roman" w:cs="Times New Roman" w:eastAsia="Times New Roman" w:hAnsi="Times New Roman"/>
          <w:sz w:val="22"/>
          <w:szCs w:val="22"/>
          <w:color w:val="auto"/>
        </w:rPr>
        <w:t>b.3.b.2. A peak saturated power output greater than 15 W (41.76 dBm) at any frequency exceeding 8.5 GHz up to and including 12 GHz;</w:t>
      </w:r>
    </w:p>
    <w:p>
      <w:pPr>
        <w:spacing w:after="0" w:line="206" w:lineRule="exact"/>
        <w:rPr>
          <w:sz w:val="20"/>
          <w:szCs w:val="20"/>
          <w:color w:val="auto"/>
        </w:rPr>
      </w:pPr>
    </w:p>
    <w:p>
      <w:pPr>
        <w:jc w:val="both"/>
        <w:ind w:firstLine="576"/>
        <w:spacing w:after="0" w:line="250" w:lineRule="auto"/>
        <w:rPr>
          <w:sz w:val="20"/>
          <w:szCs w:val="20"/>
          <w:color w:val="auto"/>
        </w:rPr>
      </w:pPr>
      <w:r>
        <w:rPr>
          <w:rFonts w:ascii="Times New Roman" w:cs="Times New Roman" w:eastAsia="Times New Roman" w:hAnsi="Times New Roman"/>
          <w:sz w:val="22"/>
          <w:szCs w:val="22"/>
          <w:color w:val="auto"/>
        </w:rPr>
        <w:t xml:space="preserve">b.3.b.3. A peak saturated power output greater than 40 W (46 dBm) at any frequency exceeding 12 GHz up to and including 16 GHz;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jc w:val="both"/>
        <w:ind w:firstLine="576"/>
        <w:spacing w:after="0" w:line="250" w:lineRule="auto"/>
        <w:rPr>
          <w:sz w:val="20"/>
          <w:szCs w:val="20"/>
          <w:color w:val="auto"/>
        </w:rPr>
      </w:pPr>
      <w:r>
        <w:rPr>
          <w:rFonts w:ascii="Times New Roman" w:cs="Times New Roman" w:eastAsia="Times New Roman" w:hAnsi="Times New Roman"/>
          <w:sz w:val="22"/>
          <w:szCs w:val="22"/>
          <w:color w:val="auto"/>
        </w:rPr>
        <w:t>b.3.b.4. A peak saturated power output greater than 7 W (38.45 dBm) at any frequency exceeding 16 GHz up to and including 31.8 GHz;</w:t>
      </w:r>
    </w:p>
    <w:p>
      <w:pPr>
        <w:spacing w:after="0" w:line="211" w:lineRule="exact"/>
        <w:rPr>
          <w:sz w:val="20"/>
          <w:szCs w:val="20"/>
          <w:color w:val="auto"/>
        </w:rPr>
      </w:pPr>
    </w:p>
    <w:p>
      <w:pPr>
        <w:jc w:val="both"/>
        <w:ind w:firstLine="432"/>
        <w:spacing w:after="0" w:line="250" w:lineRule="auto"/>
        <w:rPr>
          <w:sz w:val="20"/>
          <w:szCs w:val="20"/>
          <w:color w:val="auto"/>
        </w:rPr>
      </w:pPr>
      <w:r>
        <w:rPr>
          <w:rFonts w:ascii="Times New Roman" w:cs="Times New Roman" w:eastAsia="Times New Roman" w:hAnsi="Times New Roman"/>
          <w:sz w:val="22"/>
          <w:szCs w:val="22"/>
          <w:color w:val="auto"/>
        </w:rPr>
        <w:t>b.3.c. Rated for operation with a peak saturated power output greater than 0.5 W (27 dBm) at any frequency exceeding 31.8 GHz up to and including 37 GHz;</w:t>
      </w:r>
    </w:p>
    <w:p>
      <w:pPr>
        <w:spacing w:after="0" w:line="211" w:lineRule="exact"/>
        <w:rPr>
          <w:sz w:val="20"/>
          <w:szCs w:val="20"/>
          <w:color w:val="auto"/>
        </w:rPr>
      </w:pPr>
    </w:p>
    <w:p>
      <w:pPr>
        <w:jc w:val="both"/>
        <w:ind w:firstLine="432"/>
        <w:spacing w:after="0" w:line="250" w:lineRule="auto"/>
        <w:rPr>
          <w:sz w:val="20"/>
          <w:szCs w:val="20"/>
          <w:color w:val="auto"/>
        </w:rPr>
      </w:pPr>
      <w:r>
        <w:rPr>
          <w:rFonts w:ascii="Times New Roman" w:cs="Times New Roman" w:eastAsia="Times New Roman" w:hAnsi="Times New Roman"/>
          <w:sz w:val="22"/>
          <w:szCs w:val="22"/>
          <w:color w:val="auto"/>
        </w:rPr>
        <w:t xml:space="preserve">b.3.d. Rated for operation with a peak saturated power output greater than 1 W (30 dBm) at any frequency exceeding 37 GHz up to and including 43.5 GHz;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b.3.e. Rated for operation with a peak saturated power output greater than 0.1 nW (-70 dBm) at any frequency exceeding 43.5 GHz</w:t>
      </w:r>
      <w:r>
        <w:rPr>
          <w:rFonts w:ascii="Times New Roman" w:cs="Times New Roman" w:eastAsia="Times New Roman" w:hAnsi="Times New Roman"/>
          <w:sz w:val="22"/>
          <w:szCs w:val="22"/>
          <w:i w:val="1"/>
          <w:iCs w:val="1"/>
          <w:color w:val="auto"/>
        </w:rPr>
        <w:t>; or</w:t>
      </w:r>
    </w:p>
    <w:p>
      <w:pPr>
        <w:spacing w:after="0" w:line="205" w:lineRule="exact"/>
        <w:rPr>
          <w:sz w:val="20"/>
          <w:szCs w:val="20"/>
          <w:color w:val="auto"/>
        </w:rPr>
      </w:pPr>
    </w:p>
    <w:p>
      <w:pPr>
        <w:jc w:val="both"/>
        <w:ind w:firstLine="432"/>
        <w:spacing w:after="0" w:line="246" w:lineRule="auto"/>
        <w:rPr>
          <w:sz w:val="20"/>
          <w:szCs w:val="20"/>
          <w:color w:val="auto"/>
        </w:rPr>
      </w:pPr>
      <w:r>
        <w:rPr>
          <w:rFonts w:ascii="Times New Roman" w:cs="Times New Roman" w:eastAsia="Times New Roman" w:hAnsi="Times New Roman"/>
          <w:sz w:val="22"/>
          <w:szCs w:val="22"/>
          <w:color w:val="auto"/>
        </w:rPr>
        <w:t>b.3.f. Other than those specified by 3A001.b.3.a to 3A001.b.3.e and rated for operation with a peak saturated power output greater than 5 W (37.0 dBm) at all frequencies exceeding 8.5 GHz up to and including 31.8 GHz;</w:t>
      </w:r>
    </w:p>
    <w:p>
      <w:pPr>
        <w:spacing w:after="0" w:line="20" w:lineRule="exact"/>
        <w:rPr>
          <w:sz w:val="20"/>
          <w:szCs w:val="20"/>
          <w:color w:val="auto"/>
        </w:rPr>
      </w:pPr>
      <w:r>
        <w:rPr>
          <w:sz w:val="20"/>
          <w:szCs w:val="20"/>
          <w:color w:val="auto"/>
        </w:rPr>
        <w:br w:type="column"/>
      </w:r>
    </w:p>
    <w:p>
      <w:pPr>
        <w:spacing w:after="0" w:line="220" w:lineRule="exact"/>
        <w:rPr>
          <w:sz w:val="20"/>
          <w:szCs w:val="20"/>
          <w:color w:val="auto"/>
        </w:rPr>
      </w:pPr>
    </w:p>
    <w:p>
      <w:pPr>
        <w:jc w:val="both"/>
        <w:ind w:firstLine="288"/>
        <w:spacing w:after="0" w:line="24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The control status of a</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transistor in 3A001.b.3.a through 3A001.b.3.e, whose rated operating frequency includes frequencies listed in more than one frequency range, as defined by 3A001.b.3.a through 3A001.b.3.e, is determined by the lowest peak saturated power output control threshold.</w:t>
      </w:r>
    </w:p>
    <w:p>
      <w:pPr>
        <w:spacing w:after="0" w:line="208" w:lineRule="exact"/>
        <w:rPr>
          <w:sz w:val="20"/>
          <w:szCs w:val="20"/>
          <w:color w:val="auto"/>
        </w:rPr>
      </w:pPr>
    </w:p>
    <w:p>
      <w:pPr>
        <w:jc w:val="both"/>
        <w:ind w:firstLine="288"/>
        <w:spacing w:after="0" w:line="247" w:lineRule="auto"/>
        <w:rPr>
          <w:sz w:val="20"/>
          <w:szCs w:val="20"/>
          <w:color w:val="auto"/>
        </w:rPr>
      </w:pPr>
      <w:r>
        <w:rPr>
          <w:rFonts w:ascii="Times New Roman" w:cs="Times New Roman" w:eastAsia="Times New Roman" w:hAnsi="Times New Roman"/>
          <w:sz w:val="22"/>
          <w:szCs w:val="22"/>
          <w:b w:val="1"/>
          <w:bCs w:val="1"/>
          <w:i w:val="1"/>
          <w:iCs w:val="1"/>
          <w:color w:val="auto"/>
        </w:rPr>
        <w:t>Note 2</w:t>
      </w:r>
      <w:r>
        <w:rPr>
          <w:rFonts w:ascii="Times New Roman" w:cs="Times New Roman" w:eastAsia="Times New Roman" w:hAnsi="Times New Roman"/>
          <w:sz w:val="22"/>
          <w:szCs w:val="22"/>
          <w:i w:val="1"/>
          <w:iCs w:val="1"/>
          <w:color w:val="auto"/>
        </w:rPr>
        <w:t>: 3A001.b.3 includes bare dice, dice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mounted on carriers, or dice mounted in packages. Some discrete transistors may also be referred to as power amplifiers, but the status of these discrete transistors is determined by 3A001.b.3.</w:t>
      </w:r>
    </w:p>
    <w:p>
      <w:pPr>
        <w:spacing w:after="0" w:line="214" w:lineRule="exact"/>
        <w:rPr>
          <w:sz w:val="20"/>
          <w:szCs w:val="20"/>
          <w:color w:val="auto"/>
        </w:rPr>
      </w:pPr>
    </w:p>
    <w:p>
      <w:pPr>
        <w:jc w:val="both"/>
        <w:ind w:firstLine="144"/>
        <w:spacing w:after="0" w:line="250" w:lineRule="auto"/>
        <w:rPr>
          <w:sz w:val="20"/>
          <w:szCs w:val="20"/>
          <w:color w:val="auto"/>
        </w:rPr>
      </w:pPr>
      <w:r>
        <w:rPr>
          <w:rFonts w:ascii="Times New Roman" w:cs="Times New Roman" w:eastAsia="Times New Roman" w:hAnsi="Times New Roman"/>
          <w:sz w:val="22"/>
          <w:szCs w:val="22"/>
          <w:color w:val="auto"/>
        </w:rPr>
        <w:t>b.4. Microwave solid state amplifiers and microwave assemblies/modules containing microwave solid state amplifiers, that are any of the following:</w:t>
      </w:r>
    </w:p>
    <w:p>
      <w:pPr>
        <w:spacing w:after="0" w:line="211" w:lineRule="exact"/>
        <w:rPr>
          <w:sz w:val="20"/>
          <w:szCs w:val="20"/>
          <w:color w:val="auto"/>
        </w:rPr>
      </w:pPr>
    </w:p>
    <w:p>
      <w:pPr>
        <w:jc w:val="both"/>
        <w:ind w:firstLine="288"/>
        <w:spacing w:after="0" w:line="248" w:lineRule="auto"/>
        <w:rPr>
          <w:sz w:val="20"/>
          <w:szCs w:val="20"/>
          <w:color w:val="auto"/>
        </w:rPr>
      </w:pPr>
      <w:r>
        <w:rPr>
          <w:rFonts w:ascii="Times New Roman" w:cs="Times New Roman" w:eastAsia="Times New Roman" w:hAnsi="Times New Roman"/>
          <w:sz w:val="22"/>
          <w:szCs w:val="22"/>
          <w:color w:val="auto"/>
        </w:rPr>
        <w:t>b.4.a. Rated for operation at frequencies exceeding 2.7 GHz up to and including 6.8 GHz with a “fractional bandwidth” greater than 15%, and having any of the following:</w:t>
      </w:r>
    </w:p>
    <w:p>
      <w:pPr>
        <w:spacing w:after="0" w:line="200" w:lineRule="exact"/>
        <w:rPr>
          <w:sz w:val="20"/>
          <w:szCs w:val="20"/>
          <w:color w:val="auto"/>
        </w:rPr>
      </w:pPr>
    </w:p>
    <w:p>
      <w:pPr>
        <w:spacing w:after="0" w:line="272"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b.4.a.1. A peak saturated power output greater than 500 W (57 dBm) at any frequency exceeding 2.7 GHz up to and including 2.9 GHz;</w:t>
      </w:r>
    </w:p>
    <w:p>
      <w:pPr>
        <w:spacing w:after="0" w:line="205"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b.4.a.2. A peak saturated power output greater than 270 W (54.3 dBm) at any frequency exceeding 2.9 GHz up to and including 3.2 GHz;</w:t>
      </w:r>
    </w:p>
    <w:p>
      <w:pPr>
        <w:spacing w:after="0" w:line="206" w:lineRule="exact"/>
        <w:rPr>
          <w:sz w:val="20"/>
          <w:szCs w:val="20"/>
          <w:color w:val="auto"/>
        </w:rPr>
      </w:pPr>
    </w:p>
    <w:p>
      <w:pPr>
        <w:jc w:val="both"/>
        <w:ind w:firstLine="432"/>
        <w:spacing w:after="0" w:line="239" w:lineRule="auto"/>
        <w:rPr>
          <w:sz w:val="20"/>
          <w:szCs w:val="20"/>
          <w:color w:val="auto"/>
        </w:rPr>
      </w:pPr>
      <w:r>
        <w:rPr>
          <w:rFonts w:ascii="Times New Roman" w:cs="Times New Roman" w:eastAsia="Times New Roman" w:hAnsi="Times New Roman"/>
          <w:sz w:val="22"/>
          <w:szCs w:val="22"/>
          <w:color w:val="auto"/>
        </w:rPr>
        <w:t xml:space="preserve">b.4.a.3. A peak saturated power output greater than 200 W (53 dBm) at any frequency exceeding 3.2 GHz up to and including 3.7 GHz; </w:t>
      </w:r>
      <w:r>
        <w:rPr>
          <w:rFonts w:ascii="Times New Roman" w:cs="Times New Roman" w:eastAsia="Times New Roman" w:hAnsi="Times New Roman"/>
          <w:sz w:val="22"/>
          <w:szCs w:val="22"/>
          <w:i w:val="1"/>
          <w:iCs w:val="1"/>
          <w:color w:val="auto"/>
        </w:rPr>
        <w:t>or</w:t>
      </w:r>
    </w:p>
    <w:p>
      <w:pPr>
        <w:spacing w:after="0" w:line="4"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b.4.a.4. A peak saturated power output greater than 90 W (49.54 dBm) at any frequency exceeding 3.7 GHz up to and including 6.8 GHz;</w:t>
      </w:r>
    </w:p>
    <w:p>
      <w:pPr>
        <w:spacing w:after="0" w:line="205" w:lineRule="exact"/>
        <w:rPr>
          <w:sz w:val="20"/>
          <w:szCs w:val="20"/>
          <w:color w:val="auto"/>
        </w:rPr>
      </w:pPr>
    </w:p>
    <w:p>
      <w:pPr>
        <w:jc w:val="both"/>
        <w:ind w:firstLine="288"/>
        <w:spacing w:after="0" w:line="248" w:lineRule="auto"/>
        <w:rPr>
          <w:sz w:val="20"/>
          <w:szCs w:val="20"/>
          <w:color w:val="auto"/>
        </w:rPr>
      </w:pPr>
      <w:r>
        <w:rPr>
          <w:rFonts w:ascii="Times New Roman" w:cs="Times New Roman" w:eastAsia="Times New Roman" w:hAnsi="Times New Roman"/>
          <w:sz w:val="22"/>
          <w:szCs w:val="22"/>
          <w:color w:val="auto"/>
        </w:rPr>
        <w:t>b.4.b. Rated for operation at frequencies exceeding 6.8 GHz up to and including 31.8 GHz with a “fractional bandwidth” greater than 10%, and having any of the following:</w:t>
      </w:r>
    </w:p>
    <w:p>
      <w:pPr>
        <w:spacing w:after="0" w:line="457"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200" w:lineRule="exact"/>
        <w:rPr>
          <w:sz w:val="20"/>
          <w:szCs w:val="20"/>
          <w:color w:val="auto"/>
        </w:rPr>
      </w:pPr>
    </w:p>
    <w:p>
      <w:pPr>
        <w:spacing w:after="0" w:line="335"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9" w:name="page10"/>
    <w:bookmarkEnd w:id="9"/>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10</w:t>
      </w:r>
    </w:p>
    <w:p>
      <w:pPr>
        <w:sectPr>
          <w:pgSz w:w="12240" w:h="15840" w:orient="portrait"/>
          <w:cols w:equalWidth="0" w:num="1">
            <w:col w:w="9360"/>
          </w:cols>
          <w:pgMar w:left="1440" w:top="1062" w:right="1440" w:bottom="892" w:gutter="0" w:footer="0" w:header="0"/>
        </w:sectPr>
      </w:pPr>
    </w:p>
    <w:p>
      <w:pPr>
        <w:spacing w:after="0" w:line="245"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b.4.b.1. A peak saturated power output greater than 70 W (48.54 dBm) at any frequency exceeding 6.8 GHz up to and including 8.5 GHz;</w:t>
      </w:r>
    </w:p>
    <w:p>
      <w:pPr>
        <w:spacing w:after="0" w:line="205"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b.4.b.2. A peak saturated power output greater than 50 W (47 dBm) at any frequency exceeding 8.5 GHz up to and including 12 GHz;</w:t>
      </w:r>
    </w:p>
    <w:p>
      <w:pPr>
        <w:spacing w:after="0" w:line="205" w:lineRule="exact"/>
        <w:rPr>
          <w:sz w:val="20"/>
          <w:szCs w:val="20"/>
          <w:color w:val="auto"/>
        </w:rPr>
      </w:pPr>
    </w:p>
    <w:p>
      <w:pPr>
        <w:jc w:val="both"/>
        <w:ind w:firstLine="432"/>
        <w:spacing w:after="0" w:line="250" w:lineRule="auto"/>
        <w:rPr>
          <w:sz w:val="20"/>
          <w:szCs w:val="20"/>
          <w:color w:val="auto"/>
        </w:rPr>
      </w:pPr>
      <w:r>
        <w:rPr>
          <w:rFonts w:ascii="Times New Roman" w:cs="Times New Roman" w:eastAsia="Times New Roman" w:hAnsi="Times New Roman"/>
          <w:sz w:val="22"/>
          <w:szCs w:val="22"/>
          <w:color w:val="auto"/>
        </w:rPr>
        <w:t xml:space="preserve">b.4.b.3. A peak saturated power output greater than 30 W (44.77 dBm) at any frequency exceeding 12 GHz up to and including 16 GHz;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jc w:val="both"/>
        <w:ind w:firstLine="432"/>
        <w:spacing w:after="0" w:line="250" w:lineRule="auto"/>
        <w:rPr>
          <w:sz w:val="20"/>
          <w:szCs w:val="20"/>
          <w:color w:val="auto"/>
        </w:rPr>
      </w:pPr>
      <w:r>
        <w:rPr>
          <w:rFonts w:ascii="Times New Roman" w:cs="Times New Roman" w:eastAsia="Times New Roman" w:hAnsi="Times New Roman"/>
          <w:sz w:val="22"/>
          <w:szCs w:val="22"/>
          <w:color w:val="auto"/>
        </w:rPr>
        <w:t>b.4.b.4. A peak saturated power output greater than 20 W (43 dBm) at any frequency exceeding 16 GHz up to and including 31.8 GHz;</w:t>
      </w:r>
    </w:p>
    <w:p>
      <w:pPr>
        <w:spacing w:after="0" w:line="211" w:lineRule="exact"/>
        <w:rPr>
          <w:sz w:val="20"/>
          <w:szCs w:val="20"/>
          <w:color w:val="auto"/>
        </w:rPr>
      </w:pPr>
    </w:p>
    <w:p>
      <w:pPr>
        <w:jc w:val="both"/>
        <w:ind w:firstLine="288"/>
        <w:spacing w:after="0" w:line="250" w:lineRule="auto"/>
        <w:rPr>
          <w:sz w:val="20"/>
          <w:szCs w:val="20"/>
          <w:color w:val="auto"/>
        </w:rPr>
      </w:pPr>
      <w:r>
        <w:rPr>
          <w:rFonts w:ascii="Times New Roman" w:cs="Times New Roman" w:eastAsia="Times New Roman" w:hAnsi="Times New Roman"/>
          <w:sz w:val="22"/>
          <w:szCs w:val="22"/>
          <w:color w:val="auto"/>
        </w:rPr>
        <w:t>b.4.c. Rated for operation with a peak saturated power output greater than 0.5 W (27 dBm) at any frequency exceeding 31.8 GHz up to and including 37 GHz;</w:t>
      </w:r>
    </w:p>
    <w:p>
      <w:pPr>
        <w:spacing w:after="0" w:line="212" w:lineRule="exact"/>
        <w:rPr>
          <w:sz w:val="20"/>
          <w:szCs w:val="20"/>
          <w:color w:val="auto"/>
        </w:rPr>
      </w:pPr>
    </w:p>
    <w:p>
      <w:pPr>
        <w:jc w:val="both"/>
        <w:ind w:firstLine="288"/>
        <w:spacing w:after="0" w:line="247" w:lineRule="auto"/>
        <w:rPr>
          <w:sz w:val="20"/>
          <w:szCs w:val="20"/>
          <w:color w:val="auto"/>
        </w:rPr>
      </w:pPr>
      <w:r>
        <w:rPr>
          <w:rFonts w:ascii="Times New Roman" w:cs="Times New Roman" w:eastAsia="Times New Roman" w:hAnsi="Times New Roman"/>
          <w:sz w:val="22"/>
          <w:szCs w:val="22"/>
          <w:color w:val="auto"/>
        </w:rPr>
        <w:t>b.4.d. Rated for operation with a peak saturated power output greater than 2 W (33 dBm) at any frequency exceeding 37 GHz up to and including 43.5 GHz, and with a “fractional bandwidth” of greater than 10%;</w:t>
      </w:r>
    </w:p>
    <w:p>
      <w:pPr>
        <w:spacing w:after="0" w:line="215"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b.4.e. Rated for operation at frequencies exceeding 43.5 GHz and having any of the following:</w:t>
      </w:r>
    </w:p>
    <w:p>
      <w:pPr>
        <w:spacing w:after="0" w:line="206" w:lineRule="exact"/>
        <w:rPr>
          <w:sz w:val="20"/>
          <w:szCs w:val="20"/>
          <w:color w:val="auto"/>
        </w:rPr>
      </w:pPr>
    </w:p>
    <w:p>
      <w:pPr>
        <w:jc w:val="both"/>
        <w:ind w:firstLine="432"/>
        <w:spacing w:after="0" w:line="247" w:lineRule="auto"/>
        <w:rPr>
          <w:sz w:val="20"/>
          <w:szCs w:val="20"/>
          <w:color w:val="auto"/>
        </w:rPr>
      </w:pPr>
      <w:r>
        <w:rPr>
          <w:rFonts w:ascii="Times New Roman" w:cs="Times New Roman" w:eastAsia="Times New Roman" w:hAnsi="Times New Roman"/>
          <w:sz w:val="22"/>
          <w:szCs w:val="22"/>
          <w:color w:val="auto"/>
        </w:rPr>
        <w:t>b.4.e.1. A peak saturated power output greater than 0.2 W (23 dBm) at any frequency exceeding 43.5 GHz up to and including 75 GHz, and with a “fractional bandwidth” of greater than 10%;</w:t>
      </w:r>
    </w:p>
    <w:p>
      <w:pPr>
        <w:spacing w:after="0" w:line="216" w:lineRule="exact"/>
        <w:rPr>
          <w:sz w:val="20"/>
          <w:szCs w:val="20"/>
          <w:color w:val="auto"/>
        </w:rPr>
      </w:pPr>
    </w:p>
    <w:p>
      <w:pPr>
        <w:jc w:val="both"/>
        <w:ind w:firstLine="432"/>
        <w:spacing w:after="0" w:line="247" w:lineRule="auto"/>
        <w:rPr>
          <w:sz w:val="20"/>
          <w:szCs w:val="20"/>
          <w:color w:val="auto"/>
        </w:rPr>
      </w:pPr>
      <w:r>
        <w:rPr>
          <w:rFonts w:ascii="Times New Roman" w:cs="Times New Roman" w:eastAsia="Times New Roman" w:hAnsi="Times New Roman"/>
          <w:sz w:val="22"/>
          <w:szCs w:val="22"/>
          <w:color w:val="auto"/>
        </w:rPr>
        <w:t xml:space="preserve">b.4.e.2. A peak saturated power output greater than 20 mW (13 dBm) at any frequency exceeding 75 GHz up to and including 90 GHz, and with a “fractional bandwidth” of greater than 5%; </w:t>
      </w:r>
      <w:r>
        <w:rPr>
          <w:rFonts w:ascii="Times New Roman" w:cs="Times New Roman" w:eastAsia="Times New Roman" w:hAnsi="Times New Roman"/>
          <w:sz w:val="22"/>
          <w:szCs w:val="22"/>
          <w:i w:val="1"/>
          <w:iCs w:val="1"/>
          <w:color w:val="auto"/>
        </w:rPr>
        <w:t>or</w:t>
      </w:r>
    </w:p>
    <w:p>
      <w:pPr>
        <w:spacing w:after="0" w:line="216"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 xml:space="preserve">b.4.e.3. A peak saturated power output greater than 0.1 nW (- 70 dBm) at any frequency exceeding 90 GHz; </w:t>
      </w:r>
      <w:r>
        <w:rPr>
          <w:rFonts w:ascii="Times New Roman" w:cs="Times New Roman" w:eastAsia="Times New Roman" w:hAnsi="Times New Roman"/>
          <w:sz w:val="22"/>
          <w:szCs w:val="22"/>
          <w:i w:val="1"/>
          <w:iCs w:val="1"/>
          <w:color w:val="auto"/>
        </w:rPr>
        <w:t>or</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8"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color w:val="auto"/>
        </w:rPr>
        <w:t>b.4.f. [Reserved]</w:t>
      </w:r>
    </w:p>
    <w:p>
      <w:pPr>
        <w:spacing w:after="0" w:line="247"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b w:val="1"/>
          <w:bCs w:val="1"/>
          <w:i w:val="1"/>
          <w:iCs w:val="1"/>
          <w:color w:val="auto"/>
        </w:rPr>
        <w:t>N.B.</w:t>
      </w:r>
      <w:r>
        <w:rPr>
          <w:rFonts w:ascii="Times New Roman" w:cs="Times New Roman" w:eastAsia="Times New Roman" w:hAnsi="Times New Roman"/>
          <w:sz w:val="22"/>
          <w:szCs w:val="22"/>
          <w:b w:val="1"/>
          <w:bCs w:val="1"/>
          <w:color w:val="auto"/>
        </w:rPr>
        <w:t>:</w:t>
      </w:r>
    </w:p>
    <w:p>
      <w:pPr>
        <w:spacing w:after="0" w:line="254" w:lineRule="exact"/>
        <w:rPr>
          <w:sz w:val="20"/>
          <w:szCs w:val="20"/>
          <w:color w:val="auto"/>
        </w:rPr>
      </w:pPr>
    </w:p>
    <w:p>
      <w:pPr>
        <w:ind w:left="420" w:hanging="276"/>
        <w:spacing w:after="0"/>
        <w:tabs>
          <w:tab w:leader="none" w:pos="420" w:val="left"/>
        </w:tabs>
        <w:numPr>
          <w:ilvl w:val="0"/>
          <w:numId w:val="1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i w:val="1"/>
          <w:iCs w:val="1"/>
          <w:color w:val="auto"/>
        </w:rPr>
        <w:t>For “MMIC” amplifiers see 3A001.b.2.</w:t>
      </w:r>
    </w:p>
    <w:p>
      <w:pPr>
        <w:spacing w:after="0" w:line="254" w:lineRule="exact"/>
        <w:rPr>
          <w:rFonts w:ascii="Times New Roman" w:cs="Times New Roman" w:eastAsia="Times New Roman" w:hAnsi="Times New Roman"/>
          <w:sz w:val="22"/>
          <w:szCs w:val="22"/>
          <w:color w:val="auto"/>
        </w:rPr>
      </w:pPr>
    </w:p>
    <w:p>
      <w:pPr>
        <w:ind w:firstLine="144"/>
        <w:spacing w:after="0" w:line="273" w:lineRule="auto"/>
        <w:tabs>
          <w:tab w:leader="none" w:pos="570" w:val="left"/>
        </w:tabs>
        <w:numPr>
          <w:ilvl w:val="0"/>
          <w:numId w:val="1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‘transmit/receive modules’ and ‘transmit modules’ see 3A001.b.12.</w:t>
      </w:r>
    </w:p>
    <w:p>
      <w:pPr>
        <w:spacing w:after="0" w:line="182" w:lineRule="exact"/>
        <w:rPr>
          <w:rFonts w:ascii="Times New Roman" w:cs="Times New Roman" w:eastAsia="Times New Roman" w:hAnsi="Times New Roman"/>
          <w:sz w:val="22"/>
          <w:szCs w:val="22"/>
          <w:i w:val="1"/>
          <w:iCs w:val="1"/>
          <w:color w:val="auto"/>
        </w:rPr>
      </w:pPr>
    </w:p>
    <w:p>
      <w:pPr>
        <w:jc w:val="both"/>
        <w:ind w:firstLine="144"/>
        <w:spacing w:after="0" w:line="248" w:lineRule="auto"/>
        <w:tabs>
          <w:tab w:leader="none" w:pos="621" w:val="left"/>
        </w:tabs>
        <w:numPr>
          <w:ilvl w:val="0"/>
          <w:numId w:val="1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converters and harmonic mixers, designed to extend the operating or frequency range of signal analyzers, signal generators, network analyzers or microwave test receivers, see 3A001.b.7.</w:t>
      </w:r>
    </w:p>
    <w:p>
      <w:pPr>
        <w:spacing w:after="0" w:line="209"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b w:val="1"/>
          <w:bCs w:val="1"/>
          <w:i w:val="1"/>
          <w:iCs w:val="1"/>
          <w:color w:val="auto"/>
        </w:rPr>
        <w:t>Note 1</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[Reserved]</w:t>
      </w:r>
    </w:p>
    <w:p>
      <w:pPr>
        <w:spacing w:after="0" w:line="252" w:lineRule="exact"/>
        <w:rPr>
          <w:sz w:val="20"/>
          <w:szCs w:val="20"/>
          <w:color w:val="auto"/>
        </w:rPr>
      </w:pPr>
    </w:p>
    <w:p>
      <w:pPr>
        <w:jc w:val="both"/>
        <w:ind w:firstLine="144"/>
        <w:spacing w:after="0" w:line="247" w:lineRule="auto"/>
        <w:rPr>
          <w:sz w:val="20"/>
          <w:szCs w:val="20"/>
          <w:color w:val="auto"/>
        </w:rPr>
      </w:pPr>
      <w:r>
        <w:rPr>
          <w:rFonts w:ascii="Times New Roman" w:cs="Times New Roman" w:eastAsia="Times New Roman" w:hAnsi="Times New Roman"/>
          <w:sz w:val="22"/>
          <w:szCs w:val="22"/>
          <w:b w:val="1"/>
          <w:bCs w:val="1"/>
          <w:i w:val="1"/>
          <w:iCs w:val="1"/>
          <w:color w:val="auto"/>
        </w:rPr>
        <w:t>Note 2</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The control status of an item whose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rated operating frequency includes frequencies listed in more than one frequency range, as defined by 3A001.b.4.a through 3A001.b.4.e, is determined by the lowest peak saturated power output control threshold.</w:t>
      </w:r>
    </w:p>
    <w:p>
      <w:pPr>
        <w:spacing w:after="0" w:line="214" w:lineRule="exact"/>
        <w:rPr>
          <w:sz w:val="20"/>
          <w:szCs w:val="20"/>
          <w:color w:val="auto"/>
        </w:rPr>
      </w:pPr>
    </w:p>
    <w:p>
      <w:pPr>
        <w:jc w:val="both"/>
        <w:ind w:firstLine="144"/>
        <w:spacing w:after="0" w:line="247" w:lineRule="auto"/>
        <w:rPr>
          <w:sz w:val="20"/>
          <w:szCs w:val="20"/>
          <w:color w:val="auto"/>
        </w:rPr>
      </w:pPr>
      <w:r>
        <w:rPr>
          <w:rFonts w:ascii="Times New Roman" w:cs="Times New Roman" w:eastAsia="Times New Roman" w:hAnsi="Times New Roman"/>
          <w:sz w:val="22"/>
          <w:szCs w:val="22"/>
          <w:color w:val="auto"/>
        </w:rPr>
        <w:t>b.5. Electronically or magnetically tunable band-pass or band-stop filters, having more than 5 tunable resonators capable of tuning across a 1.5:1 frequency band (f</w:t>
      </w:r>
      <w:r>
        <w:rPr>
          <w:rFonts w:ascii="Times New Roman" w:cs="Times New Roman" w:eastAsia="Times New Roman" w:hAnsi="Times New Roman"/>
          <w:sz w:val="14"/>
          <w:szCs w:val="14"/>
          <w:color w:val="auto"/>
        </w:rPr>
        <w:t>max</w:t>
      </w:r>
      <w:r>
        <w:rPr>
          <w:rFonts w:ascii="Times New Roman" w:cs="Times New Roman" w:eastAsia="Times New Roman" w:hAnsi="Times New Roman"/>
          <w:sz w:val="22"/>
          <w:szCs w:val="22"/>
          <w:color w:val="auto"/>
        </w:rPr>
        <w:t>/f</w:t>
      </w:r>
      <w:r>
        <w:rPr>
          <w:rFonts w:ascii="Times New Roman" w:cs="Times New Roman" w:eastAsia="Times New Roman" w:hAnsi="Times New Roman"/>
          <w:sz w:val="14"/>
          <w:szCs w:val="14"/>
          <w:color w:val="auto"/>
        </w:rPr>
        <w:t>min</w:t>
      </w:r>
      <w:r>
        <w:rPr>
          <w:rFonts w:ascii="Times New Roman" w:cs="Times New Roman" w:eastAsia="Times New Roman" w:hAnsi="Times New Roman"/>
          <w:sz w:val="22"/>
          <w:szCs w:val="22"/>
          <w:color w:val="auto"/>
        </w:rPr>
        <w:t>) in less than 10 µs and having any of the following:</w:t>
      </w:r>
    </w:p>
    <w:p>
      <w:pPr>
        <w:spacing w:after="0" w:line="216"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 xml:space="preserve">b.5.a. A band-pass bandwidth of more than 0.5% of center frequency;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288"/>
        <w:spacing w:after="0" w:line="270" w:lineRule="auto"/>
        <w:rPr>
          <w:sz w:val="20"/>
          <w:szCs w:val="20"/>
          <w:color w:val="auto"/>
        </w:rPr>
      </w:pPr>
      <w:r>
        <w:rPr>
          <w:rFonts w:ascii="Times New Roman" w:cs="Times New Roman" w:eastAsia="Times New Roman" w:hAnsi="Times New Roman"/>
          <w:sz w:val="22"/>
          <w:szCs w:val="22"/>
          <w:color w:val="auto"/>
        </w:rPr>
        <w:t>b.5.b. A band-stop bandwidth of less than 0.5% of center frequency;</w:t>
      </w:r>
    </w:p>
    <w:p>
      <w:pPr>
        <w:spacing w:after="0" w:line="189"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b.6. [Reserved]</w:t>
      </w:r>
    </w:p>
    <w:p>
      <w:pPr>
        <w:spacing w:after="0" w:line="253" w:lineRule="exact"/>
        <w:rPr>
          <w:sz w:val="20"/>
          <w:szCs w:val="20"/>
          <w:color w:val="auto"/>
        </w:rPr>
      </w:pPr>
    </w:p>
    <w:p>
      <w:pPr>
        <w:jc w:val="both"/>
        <w:spacing w:after="0" w:line="270" w:lineRule="auto"/>
        <w:rPr>
          <w:sz w:val="20"/>
          <w:szCs w:val="20"/>
          <w:color w:val="auto"/>
        </w:rPr>
      </w:pPr>
      <w:r>
        <w:rPr>
          <w:rFonts w:ascii="Times New Roman" w:cs="Times New Roman" w:eastAsia="Times New Roman" w:hAnsi="Times New Roman"/>
          <w:sz w:val="22"/>
          <w:szCs w:val="22"/>
          <w:color w:val="auto"/>
        </w:rPr>
        <w:t>b.7. Converters and harmonic mixers, that are any of the following:</w:t>
      </w:r>
    </w:p>
    <w:p>
      <w:pPr>
        <w:spacing w:after="0" w:line="189"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b.7.a. Designed to extend the frequency range of “signal analyzers” beyond 90 GHz;</w:t>
      </w:r>
    </w:p>
    <w:p>
      <w:pPr>
        <w:spacing w:after="0" w:line="188" w:lineRule="exact"/>
        <w:rPr>
          <w:sz w:val="20"/>
          <w:szCs w:val="20"/>
          <w:color w:val="auto"/>
        </w:rPr>
      </w:pPr>
    </w:p>
    <w:p>
      <w:pPr>
        <w:jc w:val="both"/>
        <w:ind w:firstLine="360"/>
        <w:spacing w:after="0" w:line="270" w:lineRule="auto"/>
        <w:rPr>
          <w:sz w:val="20"/>
          <w:szCs w:val="20"/>
          <w:color w:val="auto"/>
        </w:rPr>
      </w:pPr>
      <w:r>
        <w:rPr>
          <w:rFonts w:ascii="Times New Roman" w:cs="Times New Roman" w:eastAsia="Times New Roman" w:hAnsi="Times New Roman"/>
          <w:sz w:val="22"/>
          <w:szCs w:val="22"/>
          <w:color w:val="auto"/>
        </w:rPr>
        <w:t>b.7.b. Designed to extend the operating range of signal generators as follows:</w:t>
      </w:r>
    </w:p>
    <w:p>
      <w:pPr>
        <w:spacing w:after="0" w:line="437"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271"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10" w:name="page11"/>
    <w:bookmarkEnd w:id="1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11</w:t>
      </w:r>
    </w:p>
    <w:p>
      <w:pPr>
        <w:sectPr>
          <w:pgSz w:w="12240" w:h="15840" w:orient="portrait"/>
          <w:cols w:equalWidth="0" w:num="1">
            <w:col w:w="9360"/>
          </w:cols>
          <w:pgMar w:left="1440" w:top="1062" w:right="1440" w:bottom="892" w:gutter="0" w:footer="0" w:header="0"/>
        </w:sectPr>
      </w:pPr>
    </w:p>
    <w:p>
      <w:pPr>
        <w:spacing w:after="0" w:line="245"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b.7.b.1. Beyond 90 GHz;</w:t>
      </w:r>
    </w:p>
    <w:p>
      <w:pPr>
        <w:spacing w:after="0" w:line="252" w:lineRule="exact"/>
        <w:rPr>
          <w:sz w:val="20"/>
          <w:szCs w:val="20"/>
          <w:color w:val="auto"/>
        </w:rPr>
      </w:pPr>
    </w:p>
    <w:p>
      <w:pPr>
        <w:jc w:val="both"/>
        <w:ind w:firstLine="720"/>
        <w:spacing w:after="0" w:line="250" w:lineRule="auto"/>
        <w:rPr>
          <w:sz w:val="20"/>
          <w:szCs w:val="20"/>
          <w:color w:val="auto"/>
        </w:rPr>
      </w:pPr>
      <w:r>
        <w:rPr>
          <w:rFonts w:ascii="Times New Roman" w:cs="Times New Roman" w:eastAsia="Times New Roman" w:hAnsi="Times New Roman"/>
          <w:sz w:val="22"/>
          <w:szCs w:val="22"/>
          <w:color w:val="auto"/>
        </w:rPr>
        <w:t>b.7.b.2. To an output power greater than 100 mW (20 dBm) anywhere within the frequency range exceeding 43.5 GHz but not exceeding 90 GHz;</w:t>
      </w:r>
    </w:p>
    <w:p>
      <w:pPr>
        <w:spacing w:after="0" w:line="212" w:lineRule="exact"/>
        <w:rPr>
          <w:sz w:val="20"/>
          <w:szCs w:val="20"/>
          <w:color w:val="auto"/>
        </w:rPr>
      </w:pPr>
    </w:p>
    <w:p>
      <w:pPr>
        <w:jc w:val="both"/>
        <w:ind w:firstLine="360"/>
        <w:spacing w:after="0" w:line="270" w:lineRule="auto"/>
        <w:rPr>
          <w:sz w:val="20"/>
          <w:szCs w:val="20"/>
          <w:color w:val="auto"/>
        </w:rPr>
      </w:pPr>
      <w:r>
        <w:rPr>
          <w:rFonts w:ascii="Times New Roman" w:cs="Times New Roman" w:eastAsia="Times New Roman" w:hAnsi="Times New Roman"/>
          <w:sz w:val="22"/>
          <w:szCs w:val="22"/>
          <w:color w:val="auto"/>
        </w:rPr>
        <w:t>b.7.c. Designed to extend the operating range of network analyzers as follows:</w:t>
      </w:r>
    </w:p>
    <w:p>
      <w:pPr>
        <w:spacing w:after="0" w:line="189"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b.7.c.1. Beyond 110 GHz;</w:t>
      </w:r>
    </w:p>
    <w:p>
      <w:pPr>
        <w:spacing w:after="0" w:line="253" w:lineRule="exact"/>
        <w:rPr>
          <w:sz w:val="20"/>
          <w:szCs w:val="20"/>
          <w:color w:val="auto"/>
        </w:rPr>
      </w:pPr>
    </w:p>
    <w:p>
      <w:pPr>
        <w:jc w:val="both"/>
        <w:ind w:firstLine="720"/>
        <w:spacing w:after="0" w:line="250" w:lineRule="auto"/>
        <w:rPr>
          <w:sz w:val="20"/>
          <w:szCs w:val="20"/>
          <w:color w:val="auto"/>
        </w:rPr>
      </w:pPr>
      <w:r>
        <w:rPr>
          <w:rFonts w:ascii="Times New Roman" w:cs="Times New Roman" w:eastAsia="Times New Roman" w:hAnsi="Times New Roman"/>
          <w:sz w:val="22"/>
          <w:szCs w:val="22"/>
          <w:color w:val="auto"/>
        </w:rPr>
        <w:t>b.7.c.2. To an output power greater than 31.62 mW (15 dBm) anywhere within the frequency range exceeding 43.5 GHz but not exceeding 90 GHz;</w:t>
      </w:r>
    </w:p>
    <w:p>
      <w:pPr>
        <w:spacing w:after="0" w:line="211" w:lineRule="exact"/>
        <w:rPr>
          <w:sz w:val="20"/>
          <w:szCs w:val="20"/>
          <w:color w:val="auto"/>
        </w:rPr>
      </w:pPr>
    </w:p>
    <w:p>
      <w:pPr>
        <w:jc w:val="both"/>
        <w:ind w:firstLine="720"/>
        <w:spacing w:after="0" w:line="250" w:lineRule="auto"/>
        <w:rPr>
          <w:sz w:val="20"/>
          <w:szCs w:val="20"/>
          <w:color w:val="auto"/>
        </w:rPr>
      </w:pPr>
      <w:r>
        <w:rPr>
          <w:rFonts w:ascii="Times New Roman" w:cs="Times New Roman" w:eastAsia="Times New Roman" w:hAnsi="Times New Roman"/>
          <w:sz w:val="22"/>
          <w:szCs w:val="22"/>
          <w:color w:val="auto"/>
        </w:rPr>
        <w:t xml:space="preserve">b.7.c.3. To an output power greater than 1 mW (0 dBm) anywhere within the frequency range exceeding 90 GHz but not exceeding 110 GHz;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b.7.d. Designed to extend the frequency range of microwave test receivers beyond 110 GHz;</w:t>
      </w:r>
    </w:p>
    <w:p>
      <w:pPr>
        <w:spacing w:after="0" w:line="205"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b.8. Microwave power amplifiers containing ‘vacuum electronic devices’ controlled by 3A001.b.1 and having all of the following:</w:t>
      </w:r>
    </w:p>
    <w:p>
      <w:pPr>
        <w:spacing w:after="0" w:line="205"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color w:val="auto"/>
        </w:rPr>
        <w:t>b.8.a. Operating frequencies above 3 GHz;</w:t>
      </w:r>
    </w:p>
    <w:p>
      <w:pPr>
        <w:spacing w:after="0" w:line="253"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 xml:space="preserve">b.8.b. An average output power to mass ratio exceeding 80 W/kg; </w:t>
      </w:r>
      <w:r>
        <w:rPr>
          <w:rFonts w:ascii="Times New Roman" w:cs="Times New Roman" w:eastAsia="Times New Roman" w:hAnsi="Times New Roman"/>
          <w:sz w:val="22"/>
          <w:szCs w:val="22"/>
          <w:i w:val="1"/>
          <w:iCs w:val="1"/>
          <w:color w:val="auto"/>
        </w:rPr>
        <w:t>and</w:t>
      </w:r>
    </w:p>
    <w:p>
      <w:pPr>
        <w:spacing w:after="0" w:line="176"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color w:val="auto"/>
        </w:rPr>
        <w:t>b.8.c. A volume of less than 400 cm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w:t>
      </w:r>
    </w:p>
    <w:p>
      <w:pPr>
        <w:spacing w:after="0" w:line="190" w:lineRule="exact"/>
        <w:rPr>
          <w:sz w:val="20"/>
          <w:szCs w:val="20"/>
          <w:color w:val="auto"/>
        </w:rPr>
      </w:pPr>
    </w:p>
    <w:p>
      <w:pPr>
        <w:jc w:val="both"/>
        <w:ind w:firstLine="144"/>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3A001.b.8 does not control equipment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designed or rated for operation in any frequency band which is “allocated by the ITU” for radio-communications services, but not for radio-determination.</w:t>
      </w:r>
    </w:p>
    <w:p>
      <w:pPr>
        <w:spacing w:after="0" w:line="210" w:lineRule="exact"/>
        <w:rPr>
          <w:sz w:val="20"/>
          <w:szCs w:val="20"/>
          <w:color w:val="auto"/>
        </w:rPr>
      </w:pPr>
    </w:p>
    <w:p>
      <w:pPr>
        <w:jc w:val="both"/>
        <w:ind w:firstLine="144"/>
        <w:spacing w:after="0" w:line="250" w:lineRule="auto"/>
        <w:rPr>
          <w:sz w:val="20"/>
          <w:szCs w:val="20"/>
          <w:color w:val="auto"/>
        </w:rPr>
      </w:pPr>
      <w:r>
        <w:rPr>
          <w:rFonts w:ascii="Times New Roman" w:cs="Times New Roman" w:eastAsia="Times New Roman" w:hAnsi="Times New Roman"/>
          <w:sz w:val="22"/>
          <w:szCs w:val="22"/>
          <w:color w:val="auto"/>
        </w:rPr>
        <w:t>b.9. Microwave Power Modules (MPM) consisting of, at least, a traveling-wave ‘vacuum electronic device,’ a “Monolithic Microwave Integrated Circuit” (“MMIC”) and an integrated</w:t>
      </w:r>
    </w:p>
    <w:p>
      <w:pPr>
        <w:spacing w:after="0" w:line="20" w:lineRule="exact"/>
        <w:rPr>
          <w:sz w:val="20"/>
          <w:szCs w:val="20"/>
          <w:color w:val="auto"/>
        </w:rPr>
      </w:pPr>
      <w:r>
        <w:rPr>
          <w:sz w:val="20"/>
          <w:szCs w:val="20"/>
          <w:color w:val="auto"/>
        </w:rPr>
        <w:br w:type="column"/>
      </w:r>
    </w:p>
    <w:p>
      <w:pPr>
        <w:spacing w:after="0" w:line="225"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electronic power conditioner and having all of the following:</w:t>
      </w:r>
    </w:p>
    <w:p>
      <w:pPr>
        <w:spacing w:after="0" w:line="187"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b.9.a. A ‘turn -on time’ from off to fully operational in less than 10 seconds;</w:t>
      </w:r>
    </w:p>
    <w:p>
      <w:pPr>
        <w:spacing w:after="0" w:line="188" w:lineRule="exact"/>
        <w:rPr>
          <w:sz w:val="20"/>
          <w:szCs w:val="20"/>
          <w:color w:val="auto"/>
        </w:rPr>
      </w:pPr>
    </w:p>
    <w:p>
      <w:pPr>
        <w:jc w:val="both"/>
        <w:ind w:firstLine="288"/>
        <w:spacing w:after="0" w:line="285" w:lineRule="auto"/>
        <w:rPr>
          <w:sz w:val="20"/>
          <w:szCs w:val="20"/>
          <w:color w:val="auto"/>
        </w:rPr>
      </w:pPr>
      <w:r>
        <w:rPr>
          <w:rFonts w:ascii="Times New Roman" w:cs="Times New Roman" w:eastAsia="Times New Roman" w:hAnsi="Times New Roman"/>
          <w:sz w:val="22"/>
          <w:szCs w:val="22"/>
          <w:color w:val="auto"/>
        </w:rPr>
        <w:t>b.9.b. A volume less than the maximum rated power in Watts multiplied by 10 cm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/W; </w:t>
      </w:r>
      <w:r>
        <w:rPr>
          <w:rFonts w:ascii="Times New Roman" w:cs="Times New Roman" w:eastAsia="Times New Roman" w:hAnsi="Times New Roman"/>
          <w:sz w:val="22"/>
          <w:szCs w:val="22"/>
          <w:i w:val="1"/>
          <w:iCs w:val="1"/>
          <w:color w:val="auto"/>
        </w:rPr>
        <w:t>and</w:t>
      </w:r>
    </w:p>
    <w:p>
      <w:pPr>
        <w:spacing w:after="0" w:line="76"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b.9.c. An “instantaneous bandwidth” greater than 1 octave (f</w:t>
      </w:r>
      <w:r>
        <w:rPr>
          <w:rFonts w:ascii="Times New Roman" w:cs="Times New Roman" w:eastAsia="Times New Roman" w:hAnsi="Times New Roman"/>
          <w:sz w:val="14"/>
          <w:szCs w:val="14"/>
          <w:color w:val="auto"/>
        </w:rPr>
        <w:t>max</w:t>
      </w:r>
      <w:r>
        <w:rPr>
          <w:rFonts w:ascii="Times New Roman" w:cs="Times New Roman" w:eastAsia="Times New Roman" w:hAnsi="Times New Roman"/>
          <w:sz w:val="22"/>
          <w:szCs w:val="22"/>
          <w:color w:val="auto"/>
        </w:rPr>
        <w:t>. &gt; 2f</w:t>
      </w:r>
      <w:r>
        <w:rPr>
          <w:rFonts w:ascii="Times New Roman" w:cs="Times New Roman" w:eastAsia="Times New Roman" w:hAnsi="Times New Roman"/>
          <w:sz w:val="14"/>
          <w:szCs w:val="14"/>
          <w:color w:val="auto"/>
        </w:rPr>
        <w:t>min</w:t>
      </w:r>
      <w:r>
        <w:rPr>
          <w:rFonts w:ascii="Times New Roman" w:cs="Times New Roman" w:eastAsia="Times New Roman" w:hAnsi="Times New Roman"/>
          <w:sz w:val="22"/>
          <w:szCs w:val="22"/>
          <w:color w:val="auto"/>
        </w:rPr>
        <w:t>,) and having any of the following:</w:t>
      </w:r>
    </w:p>
    <w:p>
      <w:pPr>
        <w:spacing w:after="0" w:line="205"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 xml:space="preserve">b.9.c.1. For frequencies equal to or less than 18 GHz, an RF output power greater than 100 W; </w:t>
      </w:r>
      <w:r>
        <w:rPr>
          <w:rFonts w:ascii="Times New Roman" w:cs="Times New Roman" w:eastAsia="Times New Roman" w:hAnsi="Times New Roman"/>
          <w:sz w:val="22"/>
          <w:szCs w:val="22"/>
          <w:i w:val="1"/>
          <w:iCs w:val="1"/>
          <w:color w:val="auto"/>
        </w:rPr>
        <w:t>or</w:t>
      </w:r>
    </w:p>
    <w:p>
      <w:pPr>
        <w:spacing w:after="0" w:line="206" w:lineRule="exact"/>
        <w:rPr>
          <w:sz w:val="20"/>
          <w:szCs w:val="20"/>
          <w:color w:val="auto"/>
        </w:rPr>
      </w:pPr>
    </w:p>
    <w:p>
      <w:pPr>
        <w:ind w:left="140" w:right="180" w:firstLine="288"/>
        <w:spacing w:after="0" w:line="477" w:lineRule="auto"/>
        <w:rPr>
          <w:sz w:val="20"/>
          <w:szCs w:val="20"/>
          <w:color w:val="auto"/>
        </w:rPr>
      </w:pPr>
      <w:r>
        <w:rPr>
          <w:rFonts w:ascii="Times New Roman" w:cs="Times New Roman" w:eastAsia="Times New Roman" w:hAnsi="Times New Roman"/>
          <w:sz w:val="22"/>
          <w:szCs w:val="22"/>
          <w:color w:val="auto"/>
        </w:rPr>
        <w:t xml:space="preserve">b.9.c.2. A frequency greater than 18 GHz; </w:t>
      </w:r>
      <w:r>
        <w:rPr>
          <w:rFonts w:ascii="Times New Roman" w:cs="Times New Roman" w:eastAsia="Times New Roman" w:hAnsi="Times New Roman"/>
          <w:sz w:val="22"/>
          <w:szCs w:val="22"/>
          <w:b w:val="1"/>
          <w:bCs w:val="1"/>
          <w:i w:val="1"/>
          <w:iCs w:val="1"/>
          <w:color w:val="auto"/>
        </w:rPr>
        <w:t>Technical Notes</w:t>
      </w:r>
      <w:r>
        <w:rPr>
          <w:rFonts w:ascii="Times New Roman" w:cs="Times New Roman" w:eastAsia="Times New Roman" w:hAnsi="Times New Roman"/>
          <w:sz w:val="22"/>
          <w:szCs w:val="22"/>
          <w:i w:val="1"/>
          <w:iCs w:val="1"/>
          <w:color w:val="auto"/>
        </w:rPr>
        <w:t>:</w:t>
      </w:r>
    </w:p>
    <w:p>
      <w:pPr>
        <w:spacing w:after="0" w:line="3" w:lineRule="exact"/>
        <w:rPr>
          <w:sz w:val="20"/>
          <w:szCs w:val="20"/>
          <w:color w:val="auto"/>
        </w:rPr>
      </w:pPr>
    </w:p>
    <w:p>
      <w:pPr>
        <w:jc w:val="both"/>
        <w:ind w:left="360" w:firstLine="72"/>
        <w:spacing w:after="0" w:line="258" w:lineRule="auto"/>
        <w:tabs>
          <w:tab w:leader="none" w:pos="720" w:val="left"/>
        </w:tabs>
        <w:numPr>
          <w:ilvl w:val="0"/>
          <w:numId w:val="14"/>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To calculate the volume in 3A001.b.9.b, the following example is provided: for a maximum rated power of 20 W, the volume would be: 20 W X 10 cm</w:t>
      </w:r>
      <w:r>
        <w:rPr>
          <w:rFonts w:ascii="Times New Roman" w:cs="Times New Roman" w:eastAsia="Times New Roman" w:hAnsi="Times New Roman"/>
          <w:sz w:val="28"/>
          <w:szCs w:val="28"/>
          <w:i w:val="1"/>
          <w:iCs w:val="1"/>
          <w:color w:val="auto"/>
          <w:vertAlign w:val="superscript"/>
        </w:rPr>
        <w:t>3</w:t>
      </w:r>
      <w:r>
        <w:rPr>
          <w:rFonts w:ascii="Times New Roman" w:cs="Times New Roman" w:eastAsia="Times New Roman" w:hAnsi="Times New Roman"/>
          <w:sz w:val="22"/>
          <w:szCs w:val="22"/>
          <w:i w:val="1"/>
          <w:iCs w:val="1"/>
          <w:color w:val="auto"/>
        </w:rPr>
        <w:t>/W = 200 cm</w:t>
      </w:r>
      <w:r>
        <w:rPr>
          <w:rFonts w:ascii="Times New Roman" w:cs="Times New Roman" w:eastAsia="Times New Roman" w:hAnsi="Times New Roman"/>
          <w:sz w:val="28"/>
          <w:szCs w:val="28"/>
          <w:i w:val="1"/>
          <w:iCs w:val="1"/>
          <w:color w:val="auto"/>
          <w:vertAlign w:val="superscript"/>
        </w:rPr>
        <w:t>3</w:t>
      </w:r>
      <w:r>
        <w:rPr>
          <w:rFonts w:ascii="Times New Roman" w:cs="Times New Roman" w:eastAsia="Times New Roman" w:hAnsi="Times New Roman"/>
          <w:sz w:val="22"/>
          <w:szCs w:val="22"/>
          <w:i w:val="1"/>
          <w:iCs w:val="1"/>
          <w:color w:val="auto"/>
        </w:rPr>
        <w:t>.</w:t>
      </w:r>
    </w:p>
    <w:p>
      <w:pPr>
        <w:spacing w:after="0" w:line="102" w:lineRule="exact"/>
        <w:rPr>
          <w:rFonts w:ascii="Times New Roman" w:cs="Times New Roman" w:eastAsia="Times New Roman" w:hAnsi="Times New Roman"/>
          <w:sz w:val="22"/>
          <w:szCs w:val="22"/>
          <w:b w:val="1"/>
          <w:bCs w:val="1"/>
          <w:i w:val="1"/>
          <w:iCs w:val="1"/>
          <w:color w:val="auto"/>
        </w:rPr>
      </w:pPr>
    </w:p>
    <w:p>
      <w:pPr>
        <w:jc w:val="both"/>
        <w:ind w:left="360" w:firstLine="72"/>
        <w:spacing w:after="0" w:line="251" w:lineRule="auto"/>
        <w:tabs>
          <w:tab w:leader="none" w:pos="673" w:val="left"/>
        </w:tabs>
        <w:numPr>
          <w:ilvl w:val="0"/>
          <w:numId w:val="14"/>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The ‘turn-on time’ in 3A001.b.9.a refers to the time from fully-off to fully operational, i.e., it includes the warm-up time of the MPM.</w:t>
      </w:r>
    </w:p>
    <w:p>
      <w:pPr>
        <w:spacing w:after="0" w:line="209"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2"/>
          <w:szCs w:val="22"/>
          <w:color w:val="auto"/>
        </w:rPr>
        <w:t>b.10. Oscillators or oscillator assemblies, specified to operate with a single sideband (SSB) phase noise, in dBc/Hz, less (better) than -(126 + 20log10F - 20log10f) anywhere within the range of 10 Hz ≤ F ≤ 10 kHz;</w:t>
      </w:r>
    </w:p>
    <w:p>
      <w:pPr>
        <w:spacing w:after="0" w:line="211" w:lineRule="exact"/>
        <w:rPr>
          <w:sz w:val="20"/>
          <w:szCs w:val="20"/>
          <w:color w:val="auto"/>
        </w:rPr>
      </w:pPr>
    </w:p>
    <w:p>
      <w:pPr>
        <w:jc w:val="both"/>
        <w:ind w:firstLine="144"/>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In 3A001.b.10, F is the offset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from the operating frequency in Hz and f is the operating frequency in MHz.</w:t>
      </w:r>
    </w:p>
    <w:p>
      <w:pPr>
        <w:spacing w:after="0" w:line="201"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b.11. ‘Frequency synthesizer’ “electronic assemblies” having a “frequency switching time” as specified by any of the following:</w:t>
      </w:r>
    </w:p>
    <w:p>
      <w:pPr>
        <w:spacing w:after="0" w:line="206" w:lineRule="exact"/>
        <w:rPr>
          <w:sz w:val="20"/>
          <w:szCs w:val="20"/>
          <w:color w:val="auto"/>
        </w:rPr>
      </w:pPr>
    </w:p>
    <w:p>
      <w:pPr>
        <w:ind w:left="280"/>
        <w:spacing w:after="0"/>
        <w:tabs>
          <w:tab w:leader="none" w:pos="1420" w:val="left"/>
        </w:tabs>
        <w:rPr>
          <w:sz w:val="20"/>
          <w:szCs w:val="20"/>
          <w:color w:val="auto"/>
        </w:rPr>
      </w:pPr>
      <w:r>
        <w:rPr>
          <w:rFonts w:ascii="Times New Roman" w:cs="Times New Roman" w:eastAsia="Times New Roman" w:hAnsi="Times New Roman"/>
          <w:sz w:val="22"/>
          <w:szCs w:val="22"/>
          <w:color w:val="auto"/>
        </w:rPr>
        <w:t>b.11.a.</w:t>
      </w:r>
      <w:r>
        <w:rPr>
          <w:sz w:val="20"/>
          <w:szCs w:val="20"/>
          <w:color w:val="auto"/>
        </w:rPr>
        <w:tab/>
      </w:r>
      <w:r>
        <w:rPr>
          <w:rFonts w:ascii="Times New Roman" w:cs="Times New Roman" w:eastAsia="Times New Roman" w:hAnsi="Times New Roman"/>
          <w:sz w:val="22"/>
          <w:szCs w:val="22"/>
          <w:color w:val="auto"/>
        </w:rPr>
        <w:t>Less than 143 ps;</w:t>
      </w:r>
    </w:p>
    <w:p>
      <w:pPr>
        <w:spacing w:after="0" w:line="494"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200" w:lineRule="exact"/>
        <w:rPr>
          <w:sz w:val="20"/>
          <w:szCs w:val="20"/>
          <w:color w:val="auto"/>
        </w:rPr>
      </w:pPr>
    </w:p>
    <w:p>
      <w:pPr>
        <w:spacing w:after="0" w:line="330"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11" w:name="page12"/>
    <w:bookmarkEnd w:id="11"/>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12</w:t>
      </w:r>
    </w:p>
    <w:p>
      <w:pPr>
        <w:sectPr>
          <w:pgSz w:w="12240" w:h="15840" w:orient="portrait"/>
          <w:cols w:equalWidth="0" w:num="1">
            <w:col w:w="9360"/>
          </w:cols>
          <w:pgMar w:left="1440" w:top="1062" w:right="1440" w:bottom="892" w:gutter="0" w:footer="0" w:header="0"/>
        </w:sectPr>
      </w:pPr>
    </w:p>
    <w:p>
      <w:pPr>
        <w:spacing w:after="0" w:line="260" w:lineRule="exact"/>
        <w:rPr>
          <w:sz w:val="20"/>
          <w:szCs w:val="20"/>
          <w:color w:val="auto"/>
        </w:rPr>
      </w:pPr>
    </w:p>
    <w:p>
      <w:pPr>
        <w:jc w:val="both"/>
        <w:ind w:firstLine="288"/>
        <w:spacing w:after="0" w:line="250" w:lineRule="auto"/>
        <w:rPr>
          <w:sz w:val="20"/>
          <w:szCs w:val="20"/>
          <w:color w:val="auto"/>
        </w:rPr>
      </w:pPr>
      <w:r>
        <w:rPr>
          <w:rFonts w:ascii="Times New Roman" w:cs="Times New Roman" w:eastAsia="Times New Roman" w:hAnsi="Times New Roman"/>
          <w:sz w:val="22"/>
          <w:szCs w:val="22"/>
          <w:color w:val="auto"/>
        </w:rPr>
        <w:t>b.11.b. Less than 100 s for any frequency change exceeding 2.2 GHz within the synthesized frequency range exceeding 4.8 GHz but not exceeding 31.8 GHz;</w:t>
      </w:r>
    </w:p>
    <w:p>
      <w:pPr>
        <w:spacing w:after="0" w:line="212"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color w:val="auto"/>
        </w:rPr>
        <w:t>b.11.c.  [Reserved]</w:t>
      </w:r>
    </w:p>
    <w:p>
      <w:pPr>
        <w:spacing w:after="0" w:line="252" w:lineRule="exact"/>
        <w:rPr>
          <w:sz w:val="20"/>
          <w:szCs w:val="20"/>
          <w:color w:val="auto"/>
        </w:rPr>
      </w:pPr>
    </w:p>
    <w:p>
      <w:pPr>
        <w:jc w:val="both"/>
        <w:ind w:firstLine="288"/>
        <w:spacing w:after="0" w:line="250" w:lineRule="auto"/>
        <w:rPr>
          <w:sz w:val="20"/>
          <w:szCs w:val="20"/>
          <w:color w:val="auto"/>
        </w:rPr>
      </w:pPr>
      <w:r>
        <w:rPr>
          <w:rFonts w:ascii="Times New Roman" w:cs="Times New Roman" w:eastAsia="Times New Roman" w:hAnsi="Times New Roman"/>
          <w:sz w:val="22"/>
          <w:szCs w:val="22"/>
          <w:color w:val="auto"/>
        </w:rPr>
        <w:t xml:space="preserve">b.11.d. Less than 500 µs for any frequency change exceeding 550 MHz within the synthesized frequency range exceeding 31.8 GHz but not exceeding 37 GHz;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jc w:val="both"/>
        <w:ind w:firstLine="432"/>
        <w:spacing w:after="0" w:line="250" w:lineRule="auto"/>
        <w:rPr>
          <w:sz w:val="20"/>
          <w:szCs w:val="20"/>
          <w:color w:val="auto"/>
        </w:rPr>
      </w:pPr>
      <w:r>
        <w:rPr>
          <w:rFonts w:ascii="Times New Roman" w:cs="Times New Roman" w:eastAsia="Times New Roman" w:hAnsi="Times New Roman"/>
          <w:sz w:val="22"/>
          <w:szCs w:val="22"/>
          <w:color w:val="auto"/>
        </w:rPr>
        <w:t xml:space="preserve">b.11.e. Less than 100 µs for any frequency change exceeding 2.2 GHz within the synthesized frequency range exceeding 37 GHz but not exceeding 90 GHz;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b.11.f. [Reserved]</w:t>
      </w:r>
    </w:p>
    <w:p>
      <w:pPr>
        <w:spacing w:after="0" w:line="253"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b.11.g. Less than 1 ms within the synthesized frequency range exceeding 90 GHz;</w:t>
      </w:r>
    </w:p>
    <w:p>
      <w:pPr>
        <w:spacing w:after="0" w:line="183" w:lineRule="exact"/>
        <w:rPr>
          <w:sz w:val="20"/>
          <w:szCs w:val="20"/>
          <w:color w:val="auto"/>
        </w:rPr>
      </w:pPr>
    </w:p>
    <w:p>
      <w:pPr>
        <w:jc w:val="both"/>
        <w:ind w:firstLine="360"/>
        <w:spacing w:after="0" w:line="245"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A ‘frequency synthesizer’ is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any kind of frequency source, regardless of the actual technique used, providing a multiplicity of simultaneous or alternative output frequencies, from one or more outputs, controlled by, derived from or disciplined by a lesser number of standard (or master) frequencies.</w:t>
      </w:r>
    </w:p>
    <w:p>
      <w:pPr>
        <w:spacing w:after="0" w:line="210" w:lineRule="exact"/>
        <w:rPr>
          <w:sz w:val="20"/>
          <w:szCs w:val="20"/>
          <w:color w:val="auto"/>
        </w:rPr>
      </w:pPr>
    </w:p>
    <w:p>
      <w:pPr>
        <w:jc w:val="both"/>
        <w:ind w:firstLine="144"/>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N.B.</w:t>
      </w:r>
      <w:r>
        <w:rPr>
          <w:rFonts w:ascii="Times New Roman" w:cs="Times New Roman" w:eastAsia="Times New Roman" w:hAnsi="Times New Roman"/>
          <w:sz w:val="22"/>
          <w:szCs w:val="22"/>
          <w:i w:val="1"/>
          <w:iCs w:val="1"/>
          <w:color w:val="auto"/>
        </w:rPr>
        <w:t>: For general purpose “signal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analyzers”, signal generators, network analyzers and microwave test receivers, see 3A002.c, 3A002.d, 3A002.e and 3A002.f, respectively.</w:t>
      </w:r>
    </w:p>
    <w:p>
      <w:pPr>
        <w:spacing w:after="0" w:line="200" w:lineRule="exact"/>
        <w:rPr>
          <w:sz w:val="20"/>
          <w:szCs w:val="20"/>
          <w:color w:val="auto"/>
        </w:rPr>
      </w:pPr>
    </w:p>
    <w:p>
      <w:pPr>
        <w:spacing w:after="0" w:line="273" w:lineRule="exact"/>
        <w:rPr>
          <w:sz w:val="20"/>
          <w:szCs w:val="20"/>
          <w:color w:val="auto"/>
        </w:rPr>
      </w:pPr>
    </w:p>
    <w:p>
      <w:pPr>
        <w:spacing w:after="0"/>
        <w:tabs>
          <w:tab w:leader="none" w:pos="1140" w:val="left"/>
          <w:tab w:leader="none" w:pos="3420" w:val="left"/>
        </w:tabs>
        <w:rPr>
          <w:sz w:val="20"/>
          <w:szCs w:val="20"/>
          <w:color w:val="auto"/>
        </w:rPr>
      </w:pPr>
      <w:r>
        <w:rPr>
          <w:rFonts w:ascii="Times New Roman" w:cs="Times New Roman" w:eastAsia="Times New Roman" w:hAnsi="Times New Roman"/>
          <w:sz w:val="22"/>
          <w:szCs w:val="22"/>
          <w:color w:val="auto"/>
        </w:rPr>
        <w:t>b.12.</w:t>
      </w:r>
      <w:r>
        <w:rPr>
          <w:sz w:val="20"/>
          <w:szCs w:val="20"/>
          <w:color w:val="auto"/>
        </w:rPr>
        <w:tab/>
      </w:r>
      <w:r>
        <w:rPr>
          <w:rFonts w:ascii="Times New Roman" w:cs="Times New Roman" w:eastAsia="Times New Roman" w:hAnsi="Times New Roman"/>
          <w:sz w:val="22"/>
          <w:szCs w:val="22"/>
          <w:color w:val="auto"/>
        </w:rPr>
        <w:t>‘Transmit/receive</w:t>
      </w:r>
      <w:r>
        <w:rPr>
          <w:sz w:val="20"/>
          <w:szCs w:val="20"/>
          <w:color w:val="auto"/>
        </w:rPr>
        <w:tab/>
      </w:r>
      <w:r>
        <w:rPr>
          <w:rFonts w:ascii="Times New Roman" w:cs="Times New Roman" w:eastAsia="Times New Roman" w:hAnsi="Times New Roman"/>
          <w:sz w:val="22"/>
          <w:szCs w:val="22"/>
          <w:color w:val="auto"/>
        </w:rPr>
        <w:t>modules,’</w:t>
      </w:r>
    </w:p>
    <w:p>
      <w:pPr>
        <w:jc w:val="both"/>
        <w:spacing w:after="0" w:line="250" w:lineRule="auto"/>
        <w:rPr>
          <w:sz w:val="20"/>
          <w:szCs w:val="20"/>
          <w:color w:val="auto"/>
        </w:rPr>
      </w:pPr>
      <w:r>
        <w:rPr>
          <w:rFonts w:ascii="Times New Roman" w:cs="Times New Roman" w:eastAsia="Times New Roman" w:hAnsi="Times New Roman"/>
          <w:sz w:val="22"/>
          <w:szCs w:val="22"/>
          <w:color w:val="auto"/>
        </w:rPr>
        <w:t>‘transmit/receive MMICs,’ ‘transmit modules,’ and ‘transmit MMICs,’ rated for operation at frequencies above 2.7 GHz and having all of the following</w:t>
      </w:r>
      <w:r>
        <w:rPr>
          <w:rFonts w:ascii="Times New Roman" w:cs="Times New Roman" w:eastAsia="Times New Roman" w:hAnsi="Times New Roman"/>
          <w:sz w:val="22"/>
          <w:szCs w:val="22"/>
          <w:i w:val="1"/>
          <w:iCs w:val="1"/>
          <w:color w:val="auto"/>
        </w:rPr>
        <w:t>:</w:t>
      </w:r>
    </w:p>
    <w:p>
      <w:pPr>
        <w:spacing w:after="0" w:line="211" w:lineRule="exact"/>
        <w:rPr>
          <w:sz w:val="20"/>
          <w:szCs w:val="20"/>
          <w:color w:val="auto"/>
        </w:rPr>
      </w:pPr>
    </w:p>
    <w:p>
      <w:pPr>
        <w:jc w:val="both"/>
        <w:ind w:firstLine="144"/>
        <w:spacing w:after="0" w:line="257" w:lineRule="auto"/>
        <w:rPr>
          <w:sz w:val="20"/>
          <w:szCs w:val="20"/>
          <w:color w:val="auto"/>
        </w:rPr>
      </w:pPr>
      <w:r>
        <w:rPr>
          <w:rFonts w:ascii="Times New Roman" w:cs="Times New Roman" w:eastAsia="Times New Roman" w:hAnsi="Times New Roman"/>
          <w:sz w:val="22"/>
          <w:szCs w:val="22"/>
          <w:color w:val="auto"/>
        </w:rPr>
        <w:t>b.12.a. A peak saturated power output (in watts), P</w:t>
      </w:r>
      <w:r>
        <w:rPr>
          <w:rFonts w:ascii="Times New Roman" w:cs="Times New Roman" w:eastAsia="Times New Roman" w:hAnsi="Times New Roman"/>
          <w:sz w:val="14"/>
          <w:szCs w:val="14"/>
          <w:color w:val="auto"/>
        </w:rPr>
        <w:t>sat</w:t>
      </w:r>
      <w:r>
        <w:rPr>
          <w:rFonts w:ascii="Times New Roman" w:cs="Times New Roman" w:eastAsia="Times New Roman" w:hAnsi="Times New Roman"/>
          <w:sz w:val="22"/>
          <w:szCs w:val="22"/>
          <w:color w:val="auto"/>
        </w:rPr>
        <w:t>, greater than 505.62 divided by the maximum operating frequency (in GHz) squared [P</w:t>
      </w:r>
      <w:r>
        <w:rPr>
          <w:rFonts w:ascii="Times New Roman" w:cs="Times New Roman" w:eastAsia="Times New Roman" w:hAnsi="Times New Roman"/>
          <w:sz w:val="14"/>
          <w:szCs w:val="14"/>
          <w:color w:val="auto"/>
        </w:rPr>
        <w:t>sat</w:t>
      </w:r>
      <w:r>
        <w:rPr>
          <w:rFonts w:ascii="Times New Roman" w:cs="Times New Roman" w:eastAsia="Times New Roman" w:hAnsi="Times New Roman"/>
          <w:sz w:val="22"/>
          <w:szCs w:val="22"/>
          <w:color w:val="auto"/>
        </w:rPr>
        <w:t>&gt;505.62 W*GHz</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/f</w:t>
      </w:r>
      <w:r>
        <w:rPr>
          <w:rFonts w:ascii="Times New Roman" w:cs="Times New Roman" w:eastAsia="Times New Roman" w:hAnsi="Times New Roman"/>
          <w:sz w:val="14"/>
          <w:szCs w:val="14"/>
          <w:color w:val="auto"/>
        </w:rPr>
        <w:t>GHz</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for any channel;</w:t>
      </w:r>
    </w:p>
    <w:p>
      <w:pPr>
        <w:spacing w:after="0" w:line="20" w:lineRule="exact"/>
        <w:rPr>
          <w:sz w:val="20"/>
          <w:szCs w:val="20"/>
          <w:color w:val="auto"/>
        </w:rPr>
      </w:pPr>
      <w:r>
        <w:rPr>
          <w:sz w:val="20"/>
          <w:szCs w:val="20"/>
          <w:color w:val="auto"/>
        </w:rPr>
        <w:br w:type="column"/>
      </w:r>
    </w:p>
    <w:p>
      <w:pPr>
        <w:spacing w:after="0" w:line="225"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b.12.b. A “fractional bandwidth” of 5% or greater for any channel;</w:t>
      </w:r>
    </w:p>
    <w:p>
      <w:pPr>
        <w:spacing w:after="0" w:line="187" w:lineRule="exact"/>
        <w:rPr>
          <w:sz w:val="20"/>
          <w:szCs w:val="20"/>
          <w:color w:val="auto"/>
        </w:rPr>
      </w:pPr>
    </w:p>
    <w:p>
      <w:pPr>
        <w:jc w:val="both"/>
        <w:ind w:firstLine="144"/>
        <w:spacing w:after="0" w:line="247" w:lineRule="auto"/>
        <w:rPr>
          <w:sz w:val="20"/>
          <w:szCs w:val="20"/>
          <w:color w:val="auto"/>
        </w:rPr>
      </w:pPr>
      <w:r>
        <w:rPr>
          <w:rFonts w:ascii="Times New Roman" w:cs="Times New Roman" w:eastAsia="Times New Roman" w:hAnsi="Times New Roman"/>
          <w:sz w:val="22"/>
          <w:szCs w:val="22"/>
          <w:color w:val="auto"/>
        </w:rPr>
        <w:t>b.12.c. Any planar side with length d (in cm) equal to or less than 15 divided by the lowest operating frequency in GHz [d ≤ 15cm*GHz*N/f</w:t>
      </w:r>
      <w:r>
        <w:rPr>
          <w:rFonts w:ascii="Times New Roman" w:cs="Times New Roman" w:eastAsia="Times New Roman" w:hAnsi="Times New Roman"/>
          <w:sz w:val="14"/>
          <w:szCs w:val="14"/>
          <w:color w:val="auto"/>
        </w:rPr>
        <w:t>GHz</w:t>
      </w:r>
      <w:r>
        <w:rPr>
          <w:rFonts w:ascii="Times New Roman" w:cs="Times New Roman" w:eastAsia="Times New Roman" w:hAnsi="Times New Roman"/>
          <w:sz w:val="22"/>
          <w:szCs w:val="22"/>
          <w:color w:val="auto"/>
        </w:rPr>
        <w:t xml:space="preserve">] where N is the number of transmit or transmit/receive channels; </w:t>
      </w:r>
      <w:r>
        <w:rPr>
          <w:rFonts w:ascii="Times New Roman" w:cs="Times New Roman" w:eastAsia="Times New Roman" w:hAnsi="Times New Roman"/>
          <w:sz w:val="22"/>
          <w:szCs w:val="22"/>
          <w:i w:val="1"/>
          <w:iCs w:val="1"/>
          <w:color w:val="auto"/>
        </w:rPr>
        <w:t>and</w:t>
      </w:r>
    </w:p>
    <w:p>
      <w:pPr>
        <w:spacing w:after="0" w:line="216"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b.12.d. An electronically variable phase shifter per channel.</w:t>
      </w:r>
    </w:p>
    <w:p>
      <w:pPr>
        <w:spacing w:after="0" w:line="18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54" w:lineRule="exact"/>
        <w:rPr>
          <w:sz w:val="20"/>
          <w:szCs w:val="20"/>
          <w:color w:val="auto"/>
        </w:rPr>
      </w:pPr>
    </w:p>
    <w:p>
      <w:pPr>
        <w:jc w:val="both"/>
        <w:ind w:firstLine="144"/>
        <w:spacing w:after="0" w:line="248" w:lineRule="auto"/>
        <w:tabs>
          <w:tab w:leader="none" w:pos="907" w:val="left"/>
        </w:tabs>
        <w:numPr>
          <w:ilvl w:val="0"/>
          <w:numId w:val="1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‘transmit/receive module’ is a multifunction “electronic assembly” that provides bi-directional amplitude and phase control for transmission and reception of signals.</w:t>
      </w:r>
    </w:p>
    <w:p>
      <w:pPr>
        <w:spacing w:after="0" w:line="210" w:lineRule="exact"/>
        <w:rPr>
          <w:rFonts w:ascii="Times New Roman" w:cs="Times New Roman" w:eastAsia="Times New Roman" w:hAnsi="Times New Roman"/>
          <w:sz w:val="22"/>
          <w:szCs w:val="22"/>
          <w:i w:val="1"/>
          <w:iCs w:val="1"/>
          <w:color w:val="auto"/>
        </w:rPr>
      </w:pPr>
    </w:p>
    <w:p>
      <w:pPr>
        <w:jc w:val="both"/>
        <w:ind w:firstLine="144"/>
        <w:spacing w:after="0" w:line="257" w:lineRule="auto"/>
        <w:tabs>
          <w:tab w:leader="none" w:pos="472" w:val="left"/>
        </w:tabs>
        <w:numPr>
          <w:ilvl w:val="0"/>
          <w:numId w:val="1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‘transmit module’ is an “electronic assembly” that provides amplitude and phase control for transmission of signals.</w:t>
      </w:r>
    </w:p>
    <w:p>
      <w:pPr>
        <w:spacing w:after="0" w:line="198" w:lineRule="exact"/>
        <w:rPr>
          <w:rFonts w:ascii="Times New Roman" w:cs="Times New Roman" w:eastAsia="Times New Roman" w:hAnsi="Times New Roman"/>
          <w:sz w:val="22"/>
          <w:szCs w:val="22"/>
          <w:i w:val="1"/>
          <w:iCs w:val="1"/>
          <w:color w:val="auto"/>
        </w:rPr>
      </w:pPr>
    </w:p>
    <w:p>
      <w:pPr>
        <w:jc w:val="both"/>
        <w:ind w:firstLine="144"/>
        <w:spacing w:after="0" w:line="251" w:lineRule="auto"/>
        <w:tabs>
          <w:tab w:leader="none" w:pos="431" w:val="left"/>
        </w:tabs>
        <w:numPr>
          <w:ilvl w:val="0"/>
          <w:numId w:val="1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‘transmit/receive MMIC’ is a multifunction “MMIC” that provides bi-directional amplitude and phase control for transmission and reception of signals.</w:t>
      </w:r>
    </w:p>
    <w:p>
      <w:pPr>
        <w:spacing w:after="0" w:line="206" w:lineRule="exact"/>
        <w:rPr>
          <w:rFonts w:ascii="Times New Roman" w:cs="Times New Roman" w:eastAsia="Times New Roman" w:hAnsi="Times New Roman"/>
          <w:sz w:val="22"/>
          <w:szCs w:val="22"/>
          <w:i w:val="1"/>
          <w:iCs w:val="1"/>
          <w:color w:val="auto"/>
        </w:rPr>
      </w:pPr>
    </w:p>
    <w:p>
      <w:pPr>
        <w:jc w:val="both"/>
        <w:ind w:firstLine="144"/>
        <w:spacing w:after="0" w:line="257" w:lineRule="auto"/>
        <w:tabs>
          <w:tab w:leader="none" w:pos="554" w:val="left"/>
        </w:tabs>
        <w:numPr>
          <w:ilvl w:val="0"/>
          <w:numId w:val="1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‘transmit MMIC’ is a “MMIC” that provides amplitude and phase control for transmission of signals.</w:t>
      </w:r>
    </w:p>
    <w:p>
      <w:pPr>
        <w:spacing w:after="0" w:line="200" w:lineRule="exact"/>
        <w:rPr>
          <w:rFonts w:ascii="Times New Roman" w:cs="Times New Roman" w:eastAsia="Times New Roman" w:hAnsi="Times New Roman"/>
          <w:sz w:val="22"/>
          <w:szCs w:val="22"/>
          <w:i w:val="1"/>
          <w:iCs w:val="1"/>
          <w:color w:val="auto"/>
        </w:rPr>
      </w:pPr>
    </w:p>
    <w:p>
      <w:pPr>
        <w:jc w:val="both"/>
        <w:ind w:firstLine="144"/>
        <w:spacing w:after="0" w:line="246" w:lineRule="auto"/>
        <w:tabs>
          <w:tab w:leader="none" w:pos="432" w:val="left"/>
        </w:tabs>
        <w:numPr>
          <w:ilvl w:val="0"/>
          <w:numId w:val="1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2.7 GHz should be used as the lowest operating frequency (f</w:t>
      </w:r>
      <w:r>
        <w:rPr>
          <w:rFonts w:ascii="Times New Roman" w:cs="Times New Roman" w:eastAsia="Times New Roman" w:hAnsi="Times New Roman"/>
          <w:sz w:val="14"/>
          <w:szCs w:val="14"/>
          <w:i w:val="1"/>
          <w:iCs w:val="1"/>
          <w:color w:val="auto"/>
        </w:rPr>
        <w:t>GHz</w:t>
      </w:r>
      <w:r>
        <w:rPr>
          <w:rFonts w:ascii="Times New Roman" w:cs="Times New Roman" w:eastAsia="Times New Roman" w:hAnsi="Times New Roman"/>
          <w:sz w:val="22"/>
          <w:szCs w:val="22"/>
          <w:i w:val="1"/>
          <w:iCs w:val="1"/>
          <w:color w:val="auto"/>
        </w:rPr>
        <w:t>) in the formula in 3A001.b.12.c for transmit/receive or transmit modules that have a rated operation range extending downward to 2.7 GHz and below [d≤15cm*GHz*N/2.7 GHz].</w:t>
      </w:r>
    </w:p>
    <w:p>
      <w:pPr>
        <w:spacing w:after="0" w:line="214" w:lineRule="exact"/>
        <w:rPr>
          <w:rFonts w:ascii="Times New Roman" w:cs="Times New Roman" w:eastAsia="Times New Roman" w:hAnsi="Times New Roman"/>
          <w:sz w:val="22"/>
          <w:szCs w:val="22"/>
          <w:i w:val="1"/>
          <w:iCs w:val="1"/>
          <w:color w:val="auto"/>
        </w:rPr>
      </w:pPr>
    </w:p>
    <w:p>
      <w:pPr>
        <w:jc w:val="both"/>
        <w:ind w:firstLine="144"/>
        <w:spacing w:after="0" w:line="247" w:lineRule="auto"/>
        <w:tabs>
          <w:tab w:leader="none" w:pos="432" w:val="left"/>
        </w:tabs>
        <w:numPr>
          <w:ilvl w:val="0"/>
          <w:numId w:val="1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3A001.b.12 applies to ‘transmit/receive modules’ or ‘transmit modules’ with or without a heat sink. The value of d in 3A001.b.12.c does not include any portion of the ‘transmit/receive module’ or ‘transmit module’ that functions as a heat sink.</w:t>
      </w:r>
    </w:p>
    <w:p>
      <w:pPr>
        <w:spacing w:after="0" w:line="574"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200" w:lineRule="exact"/>
        <w:rPr>
          <w:sz w:val="20"/>
          <w:szCs w:val="20"/>
          <w:color w:val="auto"/>
        </w:rPr>
      </w:pPr>
    </w:p>
    <w:p>
      <w:pPr>
        <w:spacing w:after="0" w:line="210"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12" w:name="page13"/>
    <w:bookmarkEnd w:id="12"/>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13</w:t>
      </w:r>
    </w:p>
    <w:p>
      <w:pPr>
        <w:sectPr>
          <w:pgSz w:w="12240" w:h="15840" w:orient="portrait"/>
          <w:cols w:equalWidth="0" w:num="1">
            <w:col w:w="9360"/>
          </w:cols>
          <w:pgMar w:left="1440" w:top="1062" w:right="1440" w:bottom="892" w:gutter="0" w:footer="0" w:header="0"/>
        </w:sectPr>
      </w:pPr>
    </w:p>
    <w:p>
      <w:pPr>
        <w:spacing w:after="0" w:line="242" w:lineRule="exact"/>
        <w:rPr>
          <w:sz w:val="20"/>
          <w:szCs w:val="20"/>
          <w:color w:val="auto"/>
        </w:rPr>
      </w:pPr>
    </w:p>
    <w:p>
      <w:pPr>
        <w:jc w:val="both"/>
        <w:ind w:firstLine="144"/>
        <w:spacing w:after="0" w:line="246" w:lineRule="auto"/>
        <w:tabs>
          <w:tab w:leader="none" w:pos="564" w:val="left"/>
        </w:tabs>
        <w:numPr>
          <w:ilvl w:val="1"/>
          <w:numId w:val="1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‘Transmit/receive modules’ or ‘transmit modules,’ ‘transmit/receive MMICs’ or ‘transmit MMICs’ may or may not have N integrated radiating antenna elements where N is the number of transmit or transmit/receive channels.</w:t>
      </w:r>
    </w:p>
    <w:p>
      <w:pPr>
        <w:spacing w:after="0" w:line="218" w:lineRule="exact"/>
        <w:rPr>
          <w:rFonts w:ascii="Times New Roman" w:cs="Times New Roman" w:eastAsia="Times New Roman" w:hAnsi="Times New Roman"/>
          <w:sz w:val="22"/>
          <w:szCs w:val="22"/>
          <w:i w:val="1"/>
          <w:iCs w:val="1"/>
          <w:color w:val="auto"/>
        </w:rPr>
      </w:pPr>
    </w:p>
    <w:p>
      <w:pPr>
        <w:spacing w:after="0" w:line="270" w:lineRule="auto"/>
        <w:tabs>
          <w:tab w:leader="none" w:pos="336" w:val="left"/>
        </w:tabs>
        <w:numPr>
          <w:ilvl w:val="0"/>
          <w:numId w:val="1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Acoustic wave devices as follows and “specially designed” “components” therefor:</w:t>
      </w:r>
    </w:p>
    <w:p>
      <w:pPr>
        <w:spacing w:after="0" w:line="189"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c.1. Surface acoustic wave and surface skimming (shallow bulk) acoustic wave devices , having any of the following:</w:t>
      </w:r>
    </w:p>
    <w:p>
      <w:pPr>
        <w:spacing w:after="0" w:line="205"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color w:val="auto"/>
        </w:rPr>
        <w:t>c.1.a.  A carrier frequency exceeding 6 GHz;</w:t>
      </w:r>
    </w:p>
    <w:p>
      <w:pPr>
        <w:spacing w:after="0" w:line="253"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c.1.b. A carrier frequency exceeding 1 GHz, but not exceeding 6 GHz and having any of the following:</w:t>
      </w:r>
    </w:p>
    <w:p>
      <w:pPr>
        <w:spacing w:after="0" w:line="205"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c.1.b.1. A ‘frequency side-lobe rejection’ exceeding 65 dB;</w:t>
      </w:r>
    </w:p>
    <w:p>
      <w:pPr>
        <w:spacing w:after="0" w:line="188" w:lineRule="exact"/>
        <w:rPr>
          <w:sz w:val="20"/>
          <w:szCs w:val="20"/>
          <w:color w:val="auto"/>
        </w:rPr>
      </w:pPr>
    </w:p>
    <w:p>
      <w:pPr>
        <w:jc w:val="both"/>
        <w:ind w:firstLine="432"/>
        <w:spacing w:after="0" w:line="263" w:lineRule="auto"/>
        <w:rPr>
          <w:sz w:val="20"/>
          <w:szCs w:val="20"/>
          <w:color w:val="auto"/>
        </w:rPr>
      </w:pPr>
      <w:r>
        <w:rPr>
          <w:rFonts w:ascii="Times New Roman" w:cs="Times New Roman" w:eastAsia="Times New Roman" w:hAnsi="Times New Roman"/>
          <w:sz w:val="22"/>
          <w:szCs w:val="22"/>
          <w:color w:val="auto"/>
        </w:rPr>
        <w:t>c.1.b.2. A product of the maximum delay time and the bandwidth (time in s and bandwidth in MHz) of more than 100;</w:t>
      </w:r>
    </w:p>
    <w:p>
      <w:pPr>
        <w:spacing w:after="0" w:line="197" w:lineRule="exact"/>
        <w:rPr>
          <w:sz w:val="20"/>
          <w:szCs w:val="20"/>
          <w:color w:val="auto"/>
        </w:rPr>
      </w:pPr>
    </w:p>
    <w:p>
      <w:pPr>
        <w:jc w:val="both"/>
        <w:ind w:firstLine="432"/>
        <w:spacing w:after="0" w:line="270" w:lineRule="auto"/>
        <w:rPr>
          <w:sz w:val="20"/>
          <w:szCs w:val="20"/>
          <w:color w:val="auto"/>
        </w:rPr>
      </w:pPr>
      <w:r>
        <w:rPr>
          <w:rFonts w:ascii="Times New Roman" w:cs="Times New Roman" w:eastAsia="Times New Roman" w:hAnsi="Times New Roman"/>
          <w:sz w:val="22"/>
          <w:szCs w:val="22"/>
          <w:color w:val="auto"/>
        </w:rPr>
        <w:t xml:space="preserve">c.1.b.3. A bandwidth greater than 250 MHz; </w:t>
      </w:r>
      <w:r>
        <w:rPr>
          <w:rFonts w:ascii="Times New Roman" w:cs="Times New Roman" w:eastAsia="Times New Roman" w:hAnsi="Times New Roman"/>
          <w:sz w:val="22"/>
          <w:szCs w:val="22"/>
          <w:i w:val="1"/>
          <w:iCs w:val="1"/>
          <w:color w:val="auto"/>
        </w:rPr>
        <w:t>or</w:t>
      </w:r>
    </w:p>
    <w:p>
      <w:pPr>
        <w:spacing w:after="0" w:line="189"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 xml:space="preserve">c.1.b.4. A dispersive delay of more than 10 µs;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288"/>
        <w:spacing w:after="0" w:line="270" w:lineRule="auto"/>
        <w:rPr>
          <w:sz w:val="20"/>
          <w:szCs w:val="20"/>
          <w:color w:val="auto"/>
        </w:rPr>
      </w:pPr>
      <w:r>
        <w:rPr>
          <w:rFonts w:ascii="Times New Roman" w:cs="Times New Roman" w:eastAsia="Times New Roman" w:hAnsi="Times New Roman"/>
          <w:sz w:val="22"/>
          <w:szCs w:val="22"/>
          <w:color w:val="auto"/>
        </w:rPr>
        <w:t>c.1.c. A carrier frequency of 1 GHz or less and having any of the following:</w:t>
      </w:r>
    </w:p>
    <w:p>
      <w:pPr>
        <w:spacing w:after="0" w:line="189"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c.1.c.1. A product of the maximum delay time and the bandwidth (time in µs and bandwidth in MHz) of more than 100;</w:t>
      </w:r>
    </w:p>
    <w:p>
      <w:pPr>
        <w:spacing w:after="0" w:line="205"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 xml:space="preserve">c.1.c.2. A dispersive delay of more than 10 µs;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c.1.c.3. A ‘frequency side-lobe rejection’ exceeding 65 dB and a bandwidth greater than 100 MHz;</w:t>
      </w:r>
    </w:p>
    <w:p>
      <w:pPr>
        <w:spacing w:after="0" w:line="20" w:lineRule="exact"/>
        <w:rPr>
          <w:sz w:val="20"/>
          <w:szCs w:val="20"/>
          <w:color w:val="auto"/>
        </w:rPr>
      </w:pPr>
      <w:r>
        <w:rPr>
          <w:sz w:val="20"/>
          <w:szCs w:val="20"/>
          <w:color w:val="auto"/>
        </w:rPr>
        <w:br w:type="column"/>
      </w:r>
    </w:p>
    <w:p>
      <w:pPr>
        <w:spacing w:after="0" w:line="220" w:lineRule="exact"/>
        <w:rPr>
          <w:sz w:val="20"/>
          <w:szCs w:val="20"/>
          <w:color w:val="auto"/>
        </w:rPr>
      </w:pPr>
    </w:p>
    <w:p>
      <w:pPr>
        <w:jc w:val="both"/>
        <w:ind w:firstLine="144"/>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‘Frequency side-lobe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rejection’ is the maximum rejection value specified in data sheet.</w:t>
      </w:r>
    </w:p>
    <w:p>
      <w:pPr>
        <w:spacing w:after="0" w:line="204"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c.2. Bulk (volume) acoustic wave devices that permit the direct processing of signals at frequencies exceeding 6 GHz;</w:t>
      </w:r>
    </w:p>
    <w:p>
      <w:pPr>
        <w:spacing w:after="0" w:line="205" w:lineRule="exact"/>
        <w:rPr>
          <w:sz w:val="20"/>
          <w:szCs w:val="20"/>
          <w:color w:val="auto"/>
        </w:rPr>
      </w:pPr>
    </w:p>
    <w:p>
      <w:pPr>
        <w:jc w:val="both"/>
        <w:ind w:firstLine="144"/>
        <w:spacing w:after="0" w:line="246" w:lineRule="auto"/>
        <w:rPr>
          <w:sz w:val="20"/>
          <w:szCs w:val="20"/>
          <w:color w:val="auto"/>
        </w:rPr>
      </w:pPr>
      <w:r>
        <w:rPr>
          <w:rFonts w:ascii="Times New Roman" w:cs="Times New Roman" w:eastAsia="Times New Roman" w:hAnsi="Times New Roman"/>
          <w:sz w:val="22"/>
          <w:szCs w:val="22"/>
          <w:color w:val="auto"/>
        </w:rPr>
        <w:t>c.3. Acoustic -optic “signal processing” devices employing interaction between acoustic waves (bulk wave or surface wave) and light waves that permit the direct processing of signals or images, including spectral analysis, correlation or convolution;</w:t>
      </w:r>
    </w:p>
    <w:p>
      <w:pPr>
        <w:spacing w:after="0" w:line="211" w:lineRule="exact"/>
        <w:rPr>
          <w:sz w:val="20"/>
          <w:szCs w:val="20"/>
          <w:color w:val="auto"/>
        </w:rPr>
      </w:pPr>
    </w:p>
    <w:p>
      <w:pPr>
        <w:jc w:val="both"/>
        <w:ind w:firstLine="144"/>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3A001.c does not control acoustic wave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devices that are limited to a single band pass, low pass, high pass or notch filtering, or resonating function.</w:t>
      </w:r>
    </w:p>
    <w:p>
      <w:pPr>
        <w:spacing w:after="0" w:line="207" w:lineRule="exact"/>
        <w:rPr>
          <w:sz w:val="20"/>
          <w:szCs w:val="20"/>
          <w:color w:val="auto"/>
        </w:rPr>
      </w:pPr>
    </w:p>
    <w:p>
      <w:pPr>
        <w:ind w:left="460" w:hanging="460"/>
        <w:spacing w:after="0"/>
        <w:tabs>
          <w:tab w:leader="none" w:pos="460" w:val="left"/>
        </w:tabs>
        <w:numPr>
          <w:ilvl w:val="0"/>
          <w:numId w:val="1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Electronic devices and circuits containing</w:t>
      </w:r>
    </w:p>
    <w:p>
      <w:pPr>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“components”,manufactured</w:t>
      </w:r>
      <w:r>
        <w:rPr>
          <w:rFonts w:ascii="Times New Roman" w:cs="Times New Roman" w:eastAsia="Times New Roman" w:hAnsi="Times New Roman"/>
          <w:sz w:val="21"/>
          <w:szCs w:val="21"/>
          <w:color w:val="auto"/>
        </w:rPr>
        <w:t>from</w:t>
      </w:r>
    </w:p>
    <w:p>
      <w:pPr>
        <w:jc w:val="both"/>
        <w:spacing w:after="0" w:line="247" w:lineRule="auto"/>
        <w:rPr>
          <w:sz w:val="20"/>
          <w:szCs w:val="20"/>
          <w:color w:val="auto"/>
        </w:rPr>
      </w:pPr>
      <w:r>
        <w:rPr>
          <w:rFonts w:ascii="Times New Roman" w:cs="Times New Roman" w:eastAsia="Times New Roman" w:hAnsi="Times New Roman"/>
          <w:sz w:val="22"/>
          <w:szCs w:val="22"/>
          <w:color w:val="auto"/>
        </w:rPr>
        <w:t>“superconductive” materials, “specially designed” for operation at temperatures below the “critical temperature” of at least one of the “superconductive” constituents and having any of the following:</w:t>
      </w:r>
    </w:p>
    <w:p>
      <w:pPr>
        <w:spacing w:after="0" w:line="216" w:lineRule="exact"/>
        <w:rPr>
          <w:sz w:val="20"/>
          <w:szCs w:val="20"/>
          <w:color w:val="auto"/>
        </w:rPr>
      </w:pPr>
    </w:p>
    <w:p>
      <w:pPr>
        <w:jc w:val="both"/>
        <w:ind w:firstLine="144"/>
        <w:spacing w:after="0"/>
        <w:rPr>
          <w:sz w:val="20"/>
          <w:szCs w:val="20"/>
          <w:color w:val="auto"/>
        </w:rPr>
      </w:pPr>
      <w:r>
        <w:rPr>
          <w:rFonts w:ascii="Times New Roman" w:cs="Times New Roman" w:eastAsia="Times New Roman" w:hAnsi="Times New Roman"/>
          <w:sz w:val="22"/>
          <w:szCs w:val="22"/>
          <w:color w:val="auto"/>
        </w:rPr>
        <w:t>d.1. Current switching for digital circuits using “superconductive” gates with a product of delay time per gate (in seconds) and power dissipation per gate (in watts) of less than 10</w:t>
      </w:r>
      <w:r>
        <w:rPr>
          <w:rFonts w:ascii="Times New Roman" w:cs="Times New Roman" w:eastAsia="Times New Roman" w:hAnsi="Times New Roman"/>
          <w:sz w:val="28"/>
          <w:szCs w:val="28"/>
          <w:color w:val="auto"/>
          <w:vertAlign w:val="superscript"/>
        </w:rPr>
        <w:t>-14</w:t>
      </w:r>
      <w:r>
        <w:rPr>
          <w:rFonts w:ascii="Times New Roman" w:cs="Times New Roman" w:eastAsia="Times New Roman" w:hAnsi="Times New Roman"/>
          <w:sz w:val="22"/>
          <w:szCs w:val="22"/>
          <w:color w:val="auto"/>
        </w:rPr>
        <w:t xml:space="preserve"> J; </w:t>
      </w:r>
      <w:r>
        <w:rPr>
          <w:rFonts w:ascii="Times New Roman" w:cs="Times New Roman" w:eastAsia="Times New Roman" w:hAnsi="Times New Roman"/>
          <w:sz w:val="22"/>
          <w:szCs w:val="22"/>
          <w:i w:val="1"/>
          <w:iCs w:val="1"/>
          <w:color w:val="auto"/>
        </w:rPr>
        <w:t>or</w:t>
      </w:r>
    </w:p>
    <w:p>
      <w:pPr>
        <w:spacing w:after="0" w:line="200" w:lineRule="exact"/>
        <w:rPr>
          <w:sz w:val="20"/>
          <w:szCs w:val="20"/>
          <w:color w:val="auto"/>
        </w:rPr>
      </w:pPr>
    </w:p>
    <w:p>
      <w:pPr>
        <w:spacing w:after="0" w:line="237"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d.2. Frequency selection at all frequencies using resonant circuits with Q-values exceeding 10,000;</w:t>
      </w:r>
    </w:p>
    <w:p>
      <w:pPr>
        <w:spacing w:after="0" w:line="20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e. High energy devices as follows:</w:t>
      </w:r>
    </w:p>
    <w:p>
      <w:pPr>
        <w:spacing w:after="0" w:line="25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e.1. ‘Cells’ as follows:</w:t>
      </w:r>
    </w:p>
    <w:p>
      <w:pPr>
        <w:spacing w:after="0" w:line="253" w:lineRule="exact"/>
        <w:rPr>
          <w:sz w:val="20"/>
          <w:szCs w:val="20"/>
          <w:color w:val="auto"/>
        </w:rPr>
      </w:pPr>
    </w:p>
    <w:p>
      <w:pPr>
        <w:jc w:val="both"/>
        <w:ind w:firstLine="288"/>
        <w:spacing w:after="0" w:line="285" w:lineRule="auto"/>
        <w:rPr>
          <w:sz w:val="20"/>
          <w:szCs w:val="20"/>
          <w:color w:val="auto"/>
        </w:rPr>
      </w:pPr>
      <w:r>
        <w:rPr>
          <w:rFonts w:ascii="Times New Roman" w:cs="Times New Roman" w:eastAsia="Times New Roman" w:hAnsi="Times New Roman"/>
          <w:sz w:val="22"/>
          <w:szCs w:val="22"/>
          <w:color w:val="auto"/>
        </w:rPr>
        <w:t>e.1.a. ‘Primary cells’ having any of the following at 20</w:t>
      </w:r>
      <w:r>
        <w:rPr>
          <w:rFonts w:ascii="Times New Roman" w:cs="Times New Roman" w:eastAsia="Times New Roman" w:hAnsi="Times New Roman"/>
          <w:sz w:val="28"/>
          <w:szCs w:val="28"/>
          <w:color w:val="auto"/>
          <w:vertAlign w:val="superscript"/>
        </w:rPr>
        <w:t>o</w:t>
      </w:r>
      <w:r>
        <w:rPr>
          <w:rFonts w:ascii="Times New Roman" w:cs="Times New Roman" w:eastAsia="Times New Roman" w:hAnsi="Times New Roman"/>
          <w:sz w:val="22"/>
          <w:szCs w:val="22"/>
          <w:color w:val="auto"/>
        </w:rPr>
        <w:t>C:</w:t>
      </w:r>
    </w:p>
    <w:p>
      <w:pPr>
        <w:spacing w:after="0" w:line="77"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 xml:space="preserve">e.1.a.1. ‘Energy density’ exceeding 550 Wh/kg and a ‘continuous power density’ exceeding 50 W/kg; </w:t>
      </w:r>
      <w:r>
        <w:rPr>
          <w:rFonts w:ascii="Times New Roman" w:cs="Times New Roman" w:eastAsia="Times New Roman" w:hAnsi="Times New Roman"/>
          <w:sz w:val="22"/>
          <w:szCs w:val="22"/>
          <w:i w:val="1"/>
          <w:iCs w:val="1"/>
          <w:color w:val="auto"/>
        </w:rPr>
        <w:t>or</w:t>
      </w:r>
    </w:p>
    <w:p>
      <w:pPr>
        <w:spacing w:after="0" w:line="200"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271"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13" w:name="page14"/>
    <w:bookmarkEnd w:id="13"/>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14</w:t>
      </w:r>
    </w:p>
    <w:p>
      <w:pPr>
        <w:sectPr>
          <w:pgSz w:w="12240" w:h="15840" w:orient="portrait"/>
          <w:cols w:equalWidth="0" w:num="1">
            <w:col w:w="9360"/>
          </w:cols>
          <w:pgMar w:left="1440" w:top="1062" w:right="1440" w:bottom="892" w:gutter="0" w:footer="0" w:header="0"/>
        </w:sectPr>
      </w:pPr>
    </w:p>
    <w:p>
      <w:pPr>
        <w:spacing w:after="0" w:line="200" w:lineRule="exact"/>
        <w:rPr>
          <w:sz w:val="20"/>
          <w:szCs w:val="20"/>
          <w:color w:val="auto"/>
        </w:rPr>
      </w:pPr>
    </w:p>
    <w:p>
      <w:pPr>
        <w:spacing w:after="0" w:line="298"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e.1.a.2. ‘Energy density’ exceeding 50 Wh/kg and a ‘continuous power density’ exceeding 350 W/kg;</w:t>
      </w:r>
    </w:p>
    <w:p>
      <w:pPr>
        <w:spacing w:after="0" w:line="205"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e.1.b. ‘Secondary cells’ having an ‘energy density’ exceeding 350 Wh/kg at 293 K (20ºC);</w:t>
      </w:r>
    </w:p>
    <w:p>
      <w:pPr>
        <w:spacing w:after="0" w:line="18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b w:val="1"/>
          <w:bCs w:val="1"/>
          <w:color w:val="auto"/>
        </w:rPr>
        <w:t>s:</w:t>
      </w:r>
    </w:p>
    <w:p>
      <w:pPr>
        <w:spacing w:after="0" w:line="255" w:lineRule="exact"/>
        <w:rPr>
          <w:sz w:val="20"/>
          <w:szCs w:val="20"/>
          <w:color w:val="auto"/>
        </w:rPr>
      </w:pPr>
    </w:p>
    <w:p>
      <w:pPr>
        <w:jc w:val="both"/>
        <w:ind w:firstLine="144"/>
        <w:spacing w:after="0" w:line="244" w:lineRule="auto"/>
        <w:tabs>
          <w:tab w:leader="none" w:pos="432" w:val="left"/>
        </w:tabs>
        <w:numPr>
          <w:ilvl w:val="0"/>
          <w:numId w:val="19"/>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For the purpose of 3A001.e.1, ‘energy density’ (Wh/kg) is calculated from the nominal voltage multiplied by the nominal capacity in ampere-hours (Ah) divided by the mass in kilograms. If the nominal capacity is not stated, energy density is calculated from the nominal voltage squared then multiplied by the discharge duration in hours divided by the discharge load in Ohms and the mass in kilograms.</w:t>
      </w:r>
    </w:p>
    <w:p>
      <w:pPr>
        <w:spacing w:after="0" w:line="214" w:lineRule="exact"/>
        <w:rPr>
          <w:rFonts w:ascii="Times New Roman" w:cs="Times New Roman" w:eastAsia="Times New Roman" w:hAnsi="Times New Roman"/>
          <w:sz w:val="22"/>
          <w:szCs w:val="22"/>
          <w:b w:val="1"/>
          <w:bCs w:val="1"/>
          <w:i w:val="1"/>
          <w:iCs w:val="1"/>
          <w:color w:val="auto"/>
        </w:rPr>
      </w:pPr>
    </w:p>
    <w:p>
      <w:pPr>
        <w:jc w:val="both"/>
        <w:ind w:firstLine="144"/>
        <w:spacing w:after="0" w:line="248" w:lineRule="auto"/>
        <w:tabs>
          <w:tab w:leader="none" w:pos="432" w:val="left"/>
        </w:tabs>
        <w:numPr>
          <w:ilvl w:val="0"/>
          <w:numId w:val="19"/>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For the purpose of 3A001.e.1, a ‘cell’ is defined as an electrochemical device, which has positive and negative electrodes, an electrolyte, and is a source of electrical energy. It is the basic building block of a battery.</w:t>
      </w:r>
    </w:p>
    <w:p>
      <w:pPr>
        <w:spacing w:after="0" w:line="210" w:lineRule="exact"/>
        <w:rPr>
          <w:rFonts w:ascii="Times New Roman" w:cs="Times New Roman" w:eastAsia="Times New Roman" w:hAnsi="Times New Roman"/>
          <w:sz w:val="22"/>
          <w:szCs w:val="22"/>
          <w:b w:val="1"/>
          <w:bCs w:val="1"/>
          <w:i w:val="1"/>
          <w:iCs w:val="1"/>
          <w:color w:val="auto"/>
        </w:rPr>
      </w:pPr>
    </w:p>
    <w:p>
      <w:pPr>
        <w:jc w:val="both"/>
        <w:ind w:firstLine="144"/>
        <w:spacing w:after="0" w:line="257" w:lineRule="auto"/>
        <w:tabs>
          <w:tab w:leader="none" w:pos="432" w:val="left"/>
        </w:tabs>
        <w:numPr>
          <w:ilvl w:val="0"/>
          <w:numId w:val="19"/>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For the purpose of 3A001.e.1.a, a ‘primary cell’ is a ‘cell’ that is not designed to be charged by any other source.</w:t>
      </w:r>
    </w:p>
    <w:p>
      <w:pPr>
        <w:spacing w:after="0" w:line="198" w:lineRule="exact"/>
        <w:rPr>
          <w:rFonts w:ascii="Times New Roman" w:cs="Times New Roman" w:eastAsia="Times New Roman" w:hAnsi="Times New Roman"/>
          <w:sz w:val="22"/>
          <w:szCs w:val="22"/>
          <w:b w:val="1"/>
          <w:bCs w:val="1"/>
          <w:i w:val="1"/>
          <w:iCs w:val="1"/>
          <w:color w:val="auto"/>
        </w:rPr>
      </w:pPr>
    </w:p>
    <w:p>
      <w:pPr>
        <w:jc w:val="both"/>
        <w:ind w:firstLine="144"/>
        <w:spacing w:after="0" w:line="257" w:lineRule="auto"/>
        <w:tabs>
          <w:tab w:leader="none" w:pos="432" w:val="left"/>
        </w:tabs>
        <w:numPr>
          <w:ilvl w:val="0"/>
          <w:numId w:val="19"/>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For the purpose of 3A001.e.1.b, a ‘secondary cell’ is a ‘cell’ that is designed to be charged by an external electrical source.</w:t>
      </w:r>
    </w:p>
    <w:p>
      <w:pPr>
        <w:spacing w:after="0" w:line="198" w:lineRule="exact"/>
        <w:rPr>
          <w:sz w:val="20"/>
          <w:szCs w:val="20"/>
          <w:color w:val="auto"/>
        </w:rPr>
      </w:pPr>
    </w:p>
    <w:p>
      <w:pPr>
        <w:jc w:val="both"/>
        <w:ind w:firstLine="144"/>
        <w:spacing w:after="0" w:line="245" w:lineRule="auto"/>
        <w:rPr>
          <w:sz w:val="20"/>
          <w:szCs w:val="20"/>
          <w:color w:val="auto"/>
        </w:rPr>
      </w:pPr>
      <w:r>
        <w:rPr>
          <w:rFonts w:ascii="Times New Roman" w:cs="Times New Roman" w:eastAsia="Times New Roman" w:hAnsi="Times New Roman"/>
          <w:sz w:val="22"/>
          <w:szCs w:val="22"/>
          <w:b w:val="1"/>
          <w:bCs w:val="1"/>
          <w:i w:val="1"/>
          <w:iCs w:val="1"/>
          <w:color w:val="auto"/>
        </w:rPr>
        <w:t>5</w:t>
      </w:r>
      <w:r>
        <w:rPr>
          <w:rFonts w:ascii="Times New Roman" w:cs="Times New Roman" w:eastAsia="Times New Roman" w:hAnsi="Times New Roman"/>
          <w:sz w:val="22"/>
          <w:szCs w:val="22"/>
          <w:i w:val="1"/>
          <w:iCs w:val="1"/>
          <w:color w:val="auto"/>
        </w:rPr>
        <w:t>. For the purpose of 3A001.e.1.a,</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‘continuous power density’ (W/kg) is calculated from the nominal voltage multiplied by the specified maximum continuous discharge current in ampere (A) divided by the mass in kilograms. ‘Continuous power density’ is also referred to as specific power.</w:t>
      </w:r>
    </w:p>
    <w:p>
      <w:pPr>
        <w:spacing w:after="0" w:line="215" w:lineRule="exact"/>
        <w:rPr>
          <w:sz w:val="20"/>
          <w:szCs w:val="20"/>
          <w:color w:val="auto"/>
        </w:rPr>
      </w:pPr>
    </w:p>
    <w:p>
      <w:pPr>
        <w:jc w:val="both"/>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3A001.e does not control batteries,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including single-cell batteries.</w:t>
      </w:r>
    </w:p>
    <w:p>
      <w:pPr>
        <w:spacing w:after="0" w:line="18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e.2. High energy storage capacitors as follows:</w:t>
      </w:r>
    </w:p>
    <w:p>
      <w:pPr>
        <w:spacing w:after="0" w:line="20" w:lineRule="exact"/>
        <w:rPr>
          <w:sz w:val="20"/>
          <w:szCs w:val="20"/>
          <w:color w:val="auto"/>
        </w:rPr>
      </w:pPr>
      <w:r>
        <w:rPr>
          <w:sz w:val="20"/>
          <w:szCs w:val="20"/>
          <w:color w:val="auto"/>
        </w:rPr>
        <w:br w:type="column"/>
      </w:r>
    </w:p>
    <w:p>
      <w:pPr>
        <w:spacing w:after="0" w:line="224"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e.2.a. Capacitors with a repetition rate of less than 10 Hz (single shot capacitors) and having all of the following:</w:t>
      </w:r>
    </w:p>
    <w:p>
      <w:pPr>
        <w:spacing w:after="0" w:line="205"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e.2.a.1. A voltage rating equal to or more than 5 kV;</w:t>
      </w:r>
    </w:p>
    <w:p>
      <w:pPr>
        <w:spacing w:after="0" w:line="188" w:lineRule="exact"/>
        <w:rPr>
          <w:sz w:val="20"/>
          <w:szCs w:val="20"/>
          <w:color w:val="auto"/>
        </w:rPr>
      </w:pPr>
    </w:p>
    <w:p>
      <w:pPr>
        <w:jc w:val="both"/>
        <w:ind w:firstLine="432"/>
        <w:spacing w:after="0" w:line="270" w:lineRule="auto"/>
        <w:rPr>
          <w:sz w:val="20"/>
          <w:szCs w:val="20"/>
          <w:color w:val="auto"/>
        </w:rPr>
      </w:pPr>
      <w:r>
        <w:rPr>
          <w:rFonts w:ascii="Times New Roman" w:cs="Times New Roman" w:eastAsia="Times New Roman" w:hAnsi="Times New Roman"/>
          <w:sz w:val="22"/>
          <w:szCs w:val="22"/>
          <w:color w:val="auto"/>
        </w:rPr>
        <w:t xml:space="preserve">e.2.a.2. An energy density equal to or more than 250 J/kg; </w:t>
      </w:r>
      <w:r>
        <w:rPr>
          <w:rFonts w:ascii="Times New Roman" w:cs="Times New Roman" w:eastAsia="Times New Roman" w:hAnsi="Times New Roman"/>
          <w:sz w:val="22"/>
          <w:szCs w:val="22"/>
          <w:i w:val="1"/>
          <w:iCs w:val="1"/>
          <w:color w:val="auto"/>
        </w:rPr>
        <w:t>and</w:t>
      </w:r>
    </w:p>
    <w:p>
      <w:pPr>
        <w:spacing w:after="0" w:line="189"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e.2.a.3. A total energy equal to or more than 25 kJ;</w:t>
      </w:r>
    </w:p>
    <w:p>
      <w:pPr>
        <w:spacing w:after="0" w:line="187"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e.2.b. Capacitors with a repetition rate of 10 Hz or more (repetition rated capacitors) and having all of the following:</w:t>
      </w:r>
    </w:p>
    <w:p>
      <w:pPr>
        <w:spacing w:after="0" w:line="206" w:lineRule="exact"/>
        <w:rPr>
          <w:sz w:val="20"/>
          <w:szCs w:val="20"/>
          <w:color w:val="auto"/>
        </w:rPr>
      </w:pPr>
    </w:p>
    <w:p>
      <w:pPr>
        <w:jc w:val="both"/>
        <w:ind w:firstLine="432"/>
        <w:spacing w:after="0" w:line="270" w:lineRule="auto"/>
        <w:rPr>
          <w:sz w:val="20"/>
          <w:szCs w:val="20"/>
          <w:color w:val="auto"/>
        </w:rPr>
      </w:pPr>
      <w:r>
        <w:rPr>
          <w:rFonts w:ascii="Times New Roman" w:cs="Times New Roman" w:eastAsia="Times New Roman" w:hAnsi="Times New Roman"/>
          <w:sz w:val="22"/>
          <w:szCs w:val="22"/>
          <w:color w:val="auto"/>
        </w:rPr>
        <w:t>e.2.b.1. A voltage rating equal to or more than 5 kV;</w:t>
      </w:r>
    </w:p>
    <w:p>
      <w:pPr>
        <w:spacing w:after="0" w:line="189"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e.2.b.2. An energy density equal to or more than 50 J/kg;</w:t>
      </w:r>
    </w:p>
    <w:p>
      <w:pPr>
        <w:spacing w:after="0" w:line="188" w:lineRule="exact"/>
        <w:rPr>
          <w:sz w:val="20"/>
          <w:szCs w:val="20"/>
          <w:color w:val="auto"/>
        </w:rPr>
      </w:pPr>
    </w:p>
    <w:p>
      <w:pPr>
        <w:jc w:val="both"/>
        <w:ind w:firstLine="432"/>
        <w:spacing w:after="0" w:line="270" w:lineRule="auto"/>
        <w:rPr>
          <w:sz w:val="20"/>
          <w:szCs w:val="20"/>
          <w:color w:val="auto"/>
        </w:rPr>
      </w:pPr>
      <w:r>
        <w:rPr>
          <w:rFonts w:ascii="Times New Roman" w:cs="Times New Roman" w:eastAsia="Times New Roman" w:hAnsi="Times New Roman"/>
          <w:sz w:val="22"/>
          <w:szCs w:val="22"/>
          <w:color w:val="auto"/>
        </w:rPr>
        <w:t xml:space="preserve">e.2.b.3. A total energy equal to or more than 100 J; </w:t>
      </w:r>
      <w:r>
        <w:rPr>
          <w:rFonts w:ascii="Times New Roman" w:cs="Times New Roman" w:eastAsia="Times New Roman" w:hAnsi="Times New Roman"/>
          <w:sz w:val="22"/>
          <w:szCs w:val="22"/>
          <w:i w:val="1"/>
          <w:iCs w:val="1"/>
          <w:color w:val="auto"/>
        </w:rPr>
        <w:t>and</w:t>
      </w:r>
    </w:p>
    <w:p>
      <w:pPr>
        <w:spacing w:after="0" w:line="189"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e.2.b.4. A charge/discharge cycle life equal to or more than 10,000;</w:t>
      </w:r>
    </w:p>
    <w:p>
      <w:pPr>
        <w:spacing w:after="0" w:line="187" w:lineRule="exact"/>
        <w:rPr>
          <w:sz w:val="20"/>
          <w:szCs w:val="20"/>
          <w:color w:val="auto"/>
        </w:rPr>
      </w:pPr>
    </w:p>
    <w:p>
      <w:pPr>
        <w:jc w:val="both"/>
        <w:ind w:firstLine="144"/>
        <w:spacing w:after="0" w:line="250" w:lineRule="auto"/>
        <w:rPr>
          <w:sz w:val="20"/>
          <w:szCs w:val="20"/>
          <w:color w:val="auto"/>
        </w:rPr>
      </w:pPr>
      <w:r>
        <w:rPr>
          <w:rFonts w:ascii="Times New Roman" w:cs="Times New Roman" w:eastAsia="Times New Roman" w:hAnsi="Times New Roman"/>
          <w:sz w:val="22"/>
          <w:szCs w:val="22"/>
          <w:color w:val="auto"/>
        </w:rPr>
        <w:t>e.3. “Superconductive” electromagnets and solenoids, “specially designed” to be fully charged or discharged in less than one second and having all of the following:</w:t>
      </w:r>
    </w:p>
    <w:p>
      <w:pPr>
        <w:spacing w:after="0" w:line="207" w:lineRule="exact"/>
        <w:rPr>
          <w:sz w:val="20"/>
          <w:szCs w:val="20"/>
          <w:color w:val="auto"/>
        </w:rPr>
      </w:pPr>
    </w:p>
    <w:p>
      <w:pPr>
        <w:jc w:val="both"/>
        <w:ind w:firstLine="144"/>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3A001.e.3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“superconductive” electromagnets or solenoids “specially designed” for Magnetic Resonance Imaging (MRI) medical equipment.</w:t>
      </w:r>
    </w:p>
    <w:p>
      <w:pPr>
        <w:spacing w:after="0" w:line="207" w:lineRule="exact"/>
        <w:rPr>
          <w:sz w:val="20"/>
          <w:szCs w:val="20"/>
          <w:color w:val="auto"/>
        </w:rPr>
      </w:pPr>
    </w:p>
    <w:p>
      <w:pPr>
        <w:jc w:val="both"/>
        <w:ind w:firstLine="288"/>
        <w:spacing w:after="0" w:line="270" w:lineRule="auto"/>
        <w:rPr>
          <w:sz w:val="20"/>
          <w:szCs w:val="20"/>
          <w:color w:val="auto"/>
        </w:rPr>
      </w:pPr>
      <w:r>
        <w:rPr>
          <w:rFonts w:ascii="Times New Roman" w:cs="Times New Roman" w:eastAsia="Times New Roman" w:hAnsi="Times New Roman"/>
          <w:sz w:val="22"/>
          <w:szCs w:val="22"/>
          <w:color w:val="auto"/>
        </w:rPr>
        <w:t>e.3.a. Energy delivered during the discharge exceeding 10 kJ in the first second;</w:t>
      </w:r>
    </w:p>
    <w:p>
      <w:pPr>
        <w:spacing w:after="0" w:line="189"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 xml:space="preserve">e.3.b. Inner diameter of the current carrying windings of more than 250 mm; </w:t>
      </w:r>
      <w:r>
        <w:rPr>
          <w:rFonts w:ascii="Times New Roman" w:cs="Times New Roman" w:eastAsia="Times New Roman" w:hAnsi="Times New Roman"/>
          <w:sz w:val="22"/>
          <w:szCs w:val="22"/>
          <w:i w:val="1"/>
          <w:iCs w:val="1"/>
          <w:color w:val="auto"/>
        </w:rPr>
        <w:t>and</w:t>
      </w:r>
    </w:p>
    <w:p>
      <w:pPr>
        <w:spacing w:after="0" w:line="188" w:lineRule="exact"/>
        <w:rPr>
          <w:sz w:val="20"/>
          <w:szCs w:val="20"/>
          <w:color w:val="auto"/>
        </w:rPr>
      </w:pPr>
    </w:p>
    <w:p>
      <w:pPr>
        <w:jc w:val="both"/>
        <w:ind w:firstLine="288"/>
        <w:spacing w:after="0" w:line="264" w:lineRule="auto"/>
        <w:rPr>
          <w:sz w:val="20"/>
          <w:szCs w:val="20"/>
          <w:color w:val="auto"/>
        </w:rPr>
      </w:pPr>
      <w:r>
        <w:rPr>
          <w:rFonts w:ascii="Times New Roman" w:cs="Times New Roman" w:eastAsia="Times New Roman" w:hAnsi="Times New Roman"/>
          <w:sz w:val="22"/>
          <w:szCs w:val="22"/>
          <w:color w:val="auto"/>
        </w:rPr>
        <w:t>e.3.c. Rated for a magnetic induction of more than 8 T or “overall current density” in the winding of more than 300 A/mm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w:t>
      </w:r>
    </w:p>
    <w:p>
      <w:pPr>
        <w:spacing w:after="0" w:line="200"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167"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14" w:name="page15"/>
    <w:bookmarkEnd w:id="14"/>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15</w:t>
      </w:r>
    </w:p>
    <w:p>
      <w:pPr>
        <w:sectPr>
          <w:pgSz w:w="12240" w:h="15840" w:orient="portrait"/>
          <w:cols w:equalWidth="0" w:num="1">
            <w:col w:w="9360"/>
          </w:cols>
          <w:pgMar w:left="1440" w:top="1062" w:right="1440" w:bottom="892" w:gutter="0" w:footer="0" w:header="0"/>
        </w:sectPr>
      </w:pPr>
    </w:p>
    <w:p>
      <w:pPr>
        <w:spacing w:after="0" w:line="200" w:lineRule="exact"/>
        <w:rPr>
          <w:sz w:val="20"/>
          <w:szCs w:val="20"/>
          <w:color w:val="auto"/>
        </w:rPr>
      </w:pPr>
    </w:p>
    <w:p>
      <w:pPr>
        <w:spacing w:after="0" w:line="298" w:lineRule="exact"/>
        <w:rPr>
          <w:sz w:val="20"/>
          <w:szCs w:val="20"/>
          <w:color w:val="auto"/>
        </w:rPr>
      </w:pPr>
    </w:p>
    <w:p>
      <w:pPr>
        <w:jc w:val="both"/>
        <w:ind w:firstLine="144"/>
        <w:spacing w:after="0" w:line="249" w:lineRule="auto"/>
        <w:rPr>
          <w:sz w:val="20"/>
          <w:szCs w:val="20"/>
          <w:color w:val="auto"/>
        </w:rPr>
      </w:pPr>
      <w:r>
        <w:rPr>
          <w:rFonts w:ascii="Times New Roman" w:cs="Times New Roman" w:eastAsia="Times New Roman" w:hAnsi="Times New Roman"/>
          <w:sz w:val="22"/>
          <w:szCs w:val="22"/>
          <w:color w:val="auto"/>
        </w:rPr>
        <w:t>e.4. Solar cells, cell-interconnect-coverglass (CIC) assemblies, solar panels, and solar arrays, which are “space-qualified”, having a minimum average efficiency exceeding 20% at an operating temperature of 301 K (28ºC) under simulated ‘AM0’ illumination with an irradiance of 1,367 Watts per square meter (W/m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w:t>
      </w:r>
    </w:p>
    <w:p>
      <w:pPr>
        <w:spacing w:after="0" w:line="110" w:lineRule="exact"/>
        <w:rPr>
          <w:sz w:val="20"/>
          <w:szCs w:val="20"/>
          <w:color w:val="auto"/>
        </w:rPr>
      </w:pPr>
    </w:p>
    <w:p>
      <w:pPr>
        <w:jc w:val="both"/>
        <w:ind w:firstLine="144"/>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‘AM0,’ or ‘Air Mass Zero,’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refers to the spectral irradiance of sun light in the earth’s outer atmosphere when the distance between the earth and sun is one astronomical unit (AU).</w:t>
      </w:r>
    </w:p>
    <w:p>
      <w:pPr>
        <w:spacing w:after="0" w:line="210" w:lineRule="exact"/>
        <w:rPr>
          <w:sz w:val="20"/>
          <w:szCs w:val="20"/>
          <w:color w:val="auto"/>
        </w:rPr>
      </w:pPr>
    </w:p>
    <w:p>
      <w:pPr>
        <w:jc w:val="both"/>
        <w:spacing w:after="0" w:line="250" w:lineRule="auto"/>
        <w:tabs>
          <w:tab w:leader="none" w:pos="288" w:val="left"/>
        </w:tabs>
        <w:numPr>
          <w:ilvl w:val="0"/>
          <w:numId w:val="2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Rotary input type absolute position encoders having an “accuracy” equal to or less (better) than ± 1.0 second of arc and “specially designed” encoder rings, discs or scales therefor;</w:t>
      </w:r>
    </w:p>
    <w:p>
      <w:pPr>
        <w:spacing w:after="0" w:line="210" w:lineRule="exact"/>
        <w:rPr>
          <w:rFonts w:ascii="Times New Roman" w:cs="Times New Roman" w:eastAsia="Times New Roman" w:hAnsi="Times New Roman"/>
          <w:sz w:val="22"/>
          <w:szCs w:val="22"/>
          <w:color w:val="auto"/>
        </w:rPr>
      </w:pPr>
    </w:p>
    <w:p>
      <w:pPr>
        <w:jc w:val="both"/>
        <w:spacing w:after="0" w:line="247" w:lineRule="auto"/>
        <w:tabs>
          <w:tab w:leader="none" w:pos="288" w:val="left"/>
        </w:tabs>
        <w:numPr>
          <w:ilvl w:val="0"/>
          <w:numId w:val="2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Solid-state pulsed power switching thyristor devices and ‘thyristor modules,’ using either electrically, optically, or electron radiation controlled switch methods and having any of the following:</w:t>
      </w:r>
    </w:p>
    <w:p>
      <w:pPr>
        <w:spacing w:after="0" w:line="216"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 xml:space="preserve">g.1. A maximum turn-on current rate of rise (di/dt) greater than 30,000 A/µs and off-state voltage greater than 1,100 V; </w:t>
      </w:r>
      <w:r>
        <w:rPr>
          <w:rFonts w:ascii="Times New Roman" w:cs="Times New Roman" w:eastAsia="Times New Roman" w:hAnsi="Times New Roman"/>
          <w:sz w:val="22"/>
          <w:szCs w:val="22"/>
          <w:i w:val="1"/>
          <w:iCs w:val="1"/>
          <w:color w:val="auto"/>
        </w:rPr>
        <w:t>or</w:t>
      </w:r>
    </w:p>
    <w:p>
      <w:pPr>
        <w:spacing w:after="0" w:line="205"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g.2. A maximum turn- on current rate of rise (di/dt) greater than 2,000 A/µs and having all of the following:</w:t>
      </w:r>
    </w:p>
    <w:p>
      <w:pPr>
        <w:spacing w:after="0" w:line="206" w:lineRule="exact"/>
        <w:rPr>
          <w:sz w:val="20"/>
          <w:szCs w:val="20"/>
          <w:color w:val="auto"/>
        </w:rPr>
      </w:pPr>
    </w:p>
    <w:p>
      <w:pPr>
        <w:jc w:val="both"/>
        <w:ind w:firstLine="288"/>
        <w:spacing w:after="0" w:line="270" w:lineRule="auto"/>
        <w:rPr>
          <w:sz w:val="20"/>
          <w:szCs w:val="20"/>
          <w:color w:val="auto"/>
        </w:rPr>
      </w:pPr>
      <w:r>
        <w:rPr>
          <w:rFonts w:ascii="Times New Roman" w:cs="Times New Roman" w:eastAsia="Times New Roman" w:hAnsi="Times New Roman"/>
          <w:sz w:val="22"/>
          <w:szCs w:val="22"/>
          <w:color w:val="auto"/>
        </w:rPr>
        <w:t xml:space="preserve">g.2.a. An off- state peak voltage equal to or greater than 3,000 V; </w:t>
      </w:r>
      <w:r>
        <w:rPr>
          <w:rFonts w:ascii="Times New Roman" w:cs="Times New Roman" w:eastAsia="Times New Roman" w:hAnsi="Times New Roman"/>
          <w:sz w:val="22"/>
          <w:szCs w:val="22"/>
          <w:i w:val="1"/>
          <w:iCs w:val="1"/>
          <w:color w:val="auto"/>
        </w:rPr>
        <w:t>and</w:t>
      </w:r>
    </w:p>
    <w:p>
      <w:pPr>
        <w:spacing w:after="0" w:line="189"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g.2.b. A peak (surge) current equal to or greater than 3,000 A;</w:t>
      </w:r>
    </w:p>
    <w:p>
      <w:pPr>
        <w:spacing w:after="0" w:line="20" w:lineRule="exact"/>
        <w:rPr>
          <w:sz w:val="20"/>
          <w:szCs w:val="20"/>
          <w:color w:val="auto"/>
        </w:rPr>
      </w:pPr>
      <w:r>
        <w:rPr>
          <w:sz w:val="20"/>
          <w:szCs w:val="20"/>
          <w:color w:val="auto"/>
        </w:rPr>
        <w:br w:type="column"/>
      </w:r>
    </w:p>
    <w:p>
      <w:pPr>
        <w:spacing w:after="0" w:line="222" w:lineRule="exact"/>
        <w:rPr>
          <w:sz w:val="20"/>
          <w:szCs w:val="20"/>
          <w:color w:val="auto"/>
        </w:rPr>
      </w:pPr>
    </w:p>
    <w:p>
      <w:pPr>
        <w:ind w:firstLine="144"/>
        <w:spacing w:after="0" w:line="274" w:lineRule="auto"/>
        <w:tabs>
          <w:tab w:leader="none" w:pos="288" w:val="left"/>
        </w:tabs>
        <w:numPr>
          <w:ilvl w:val="0"/>
          <w:numId w:val="2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Integrated Gate Commutated Thyristors (IGCTs)</w:t>
      </w:r>
    </w:p>
    <w:p>
      <w:pPr>
        <w:spacing w:after="0" w:line="180" w:lineRule="exact"/>
        <w:rPr>
          <w:rFonts w:ascii="Times New Roman" w:cs="Times New Roman" w:eastAsia="Times New Roman" w:hAnsi="Times New Roman"/>
          <w:sz w:val="22"/>
          <w:szCs w:val="22"/>
          <w:i w:val="1"/>
          <w:iCs w:val="1"/>
          <w:color w:val="auto"/>
        </w:rPr>
      </w:pPr>
    </w:p>
    <w:p>
      <w:pPr>
        <w:ind w:left="280" w:hanging="136"/>
        <w:spacing w:after="0"/>
        <w:tabs>
          <w:tab w:leader="none" w:pos="280" w:val="left"/>
        </w:tabs>
        <w:numPr>
          <w:ilvl w:val="0"/>
          <w:numId w:val="2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Gate Turn-off Thyristors (GTOs)</w:t>
      </w:r>
    </w:p>
    <w:p>
      <w:pPr>
        <w:spacing w:after="0" w:line="253" w:lineRule="exact"/>
        <w:rPr>
          <w:rFonts w:ascii="Times New Roman" w:cs="Times New Roman" w:eastAsia="Times New Roman" w:hAnsi="Times New Roman"/>
          <w:sz w:val="22"/>
          <w:szCs w:val="22"/>
          <w:i w:val="1"/>
          <w:iCs w:val="1"/>
          <w:color w:val="auto"/>
        </w:rPr>
      </w:pPr>
    </w:p>
    <w:p>
      <w:pPr>
        <w:ind w:left="280" w:hanging="136"/>
        <w:spacing w:after="0"/>
        <w:tabs>
          <w:tab w:leader="none" w:pos="280" w:val="left"/>
        </w:tabs>
        <w:numPr>
          <w:ilvl w:val="0"/>
          <w:numId w:val="2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MOS Controlled Thyristors (MCTs)</w:t>
      </w:r>
    </w:p>
    <w:p>
      <w:pPr>
        <w:spacing w:after="0" w:line="253" w:lineRule="exact"/>
        <w:rPr>
          <w:rFonts w:ascii="Times New Roman" w:cs="Times New Roman" w:eastAsia="Times New Roman" w:hAnsi="Times New Roman"/>
          <w:sz w:val="22"/>
          <w:szCs w:val="22"/>
          <w:i w:val="1"/>
          <w:iCs w:val="1"/>
          <w:color w:val="auto"/>
        </w:rPr>
      </w:pPr>
    </w:p>
    <w:p>
      <w:pPr>
        <w:ind w:left="280" w:hanging="136"/>
        <w:spacing w:after="0"/>
        <w:tabs>
          <w:tab w:leader="none" w:pos="280" w:val="left"/>
        </w:tabs>
        <w:numPr>
          <w:ilvl w:val="0"/>
          <w:numId w:val="2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Solidtrons</w:t>
      </w:r>
    </w:p>
    <w:p>
      <w:pPr>
        <w:spacing w:after="0" w:line="250" w:lineRule="exact"/>
        <w:rPr>
          <w:sz w:val="20"/>
          <w:szCs w:val="20"/>
          <w:color w:val="auto"/>
        </w:rPr>
      </w:pPr>
    </w:p>
    <w:p>
      <w:pPr>
        <w:jc w:val="both"/>
        <w:ind w:firstLine="144"/>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2: </w:t>
      </w:r>
      <w:r>
        <w:rPr>
          <w:rFonts w:ascii="Times New Roman" w:cs="Times New Roman" w:eastAsia="Times New Roman" w:hAnsi="Times New Roman"/>
          <w:sz w:val="22"/>
          <w:szCs w:val="22"/>
          <w:i w:val="1"/>
          <w:iCs w:val="1"/>
          <w:color w:val="auto"/>
        </w:rPr>
        <w:t>3A001.g does not control thyristor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devices and ‘thyristor modules’ incorporated into equipment designed for civil railway or “civil aircraft” applications.</w:t>
      </w:r>
    </w:p>
    <w:p>
      <w:pPr>
        <w:spacing w:after="0" w:line="202" w:lineRule="exact"/>
        <w:rPr>
          <w:sz w:val="20"/>
          <w:szCs w:val="20"/>
          <w:color w:val="auto"/>
        </w:rPr>
      </w:pPr>
    </w:p>
    <w:p>
      <w:pPr>
        <w:jc w:val="both"/>
        <w:ind w:firstLine="144"/>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For the purposes of 3A001.g,</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 ‘thyristor module’ contains one or more thyristor devices.</w:t>
      </w:r>
    </w:p>
    <w:p>
      <w:pPr>
        <w:spacing w:after="0" w:line="201" w:lineRule="exact"/>
        <w:rPr>
          <w:sz w:val="20"/>
          <w:szCs w:val="20"/>
          <w:color w:val="auto"/>
        </w:rPr>
      </w:pPr>
    </w:p>
    <w:p>
      <w:pPr>
        <w:jc w:val="both"/>
        <w:spacing w:after="0" w:line="255" w:lineRule="auto"/>
        <w:tabs>
          <w:tab w:leader="none" w:pos="304" w:val="left"/>
        </w:tabs>
        <w:numPr>
          <w:ilvl w:val="0"/>
          <w:numId w:val="2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Solid-state power semiconductor switches, diodes, or ‘modules,’ having all of the following:</w:t>
      </w:r>
    </w:p>
    <w:p>
      <w:pPr>
        <w:spacing w:after="0" w:line="206"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h.1. Rated for a maximum operating junction temperature greater than 488 K (215˚C);</w:t>
      </w:r>
    </w:p>
    <w:p>
      <w:pPr>
        <w:spacing w:after="0" w:line="187"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 xml:space="preserve">h.2. Repetitive peak off-state voltage (blocking voltage) exceeding 300 V; </w:t>
      </w:r>
      <w:r>
        <w:rPr>
          <w:rFonts w:ascii="Times New Roman" w:cs="Times New Roman" w:eastAsia="Times New Roman" w:hAnsi="Times New Roman"/>
          <w:sz w:val="22"/>
          <w:szCs w:val="22"/>
          <w:i w:val="1"/>
          <w:iCs w:val="1"/>
          <w:color w:val="auto"/>
        </w:rPr>
        <w:t>and</w:t>
      </w:r>
    </w:p>
    <w:p>
      <w:pPr>
        <w:spacing w:after="0" w:line="188"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h.3. Continuous current greater than 1 A.</w:t>
      </w:r>
    </w:p>
    <w:p>
      <w:pPr>
        <w:spacing w:after="0" w:line="247" w:lineRule="exact"/>
        <w:rPr>
          <w:sz w:val="20"/>
          <w:szCs w:val="20"/>
          <w:color w:val="auto"/>
        </w:rPr>
      </w:pPr>
    </w:p>
    <w:p>
      <w:pPr>
        <w:jc w:val="both"/>
        <w:ind w:firstLine="144"/>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For the purposes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3A001.h, ‘modules’ contain one or more solid-state power semiconductor switches or diodes.</w:t>
      </w:r>
    </w:p>
    <w:p>
      <w:pPr>
        <w:spacing w:after="0" w:line="197" w:lineRule="exact"/>
        <w:rPr>
          <w:sz w:val="20"/>
          <w:szCs w:val="20"/>
          <w:color w:val="auto"/>
        </w:rPr>
      </w:pPr>
    </w:p>
    <w:p>
      <w:pPr>
        <w:jc w:val="both"/>
        <w:ind w:firstLine="144"/>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Repetitive peak off-state voltage in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3A001.h includes drain to source voltage, collector to emitter voltage, repetitive peak reverse voltage and peak repetitive off-state blocking voltage.</w:t>
      </w:r>
    </w:p>
    <w:p>
      <w:pPr>
        <w:spacing w:after="0" w:line="204"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tbl>
      <w:tblPr>
        <w:tblLayout w:type="fixed"/>
        <w:tblInd w:w="140" w:type="dxa"/>
        <w:tblCellMar>
          <w:top w:w="0" w:type="dxa"/>
          <w:left w:w="0" w:type="dxa"/>
          <w:bottom w:w="0" w:type="dxa"/>
          <w:right w:w="0" w:type="dxa"/>
        </w:tblCellMar>
      </w:tblPr>
      <w:tr>
        <w:trPr>
          <w:trHeight w:val="292"/>
        </w:trPr>
        <w:tc>
          <w:tcPr>
            <w:tcW w:w="4340" w:type="dxa"/>
            <w:vAlign w:val="bottom"/>
          </w:tcPr>
          <w:p>
            <w:pPr>
              <w:spacing w:after="0"/>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3A001.g includes:</w:t>
            </w:r>
          </w:p>
        </w:tc>
        <w:tc>
          <w:tcPr>
            <w:tcW w:w="4880" w:type="dxa"/>
            <w:vAlign w:val="bottom"/>
            <w:gridSpan w:val="2"/>
          </w:tcPr>
          <w:p>
            <w:pPr>
              <w:ind w:left="700"/>
              <w:spacing w:after="0"/>
              <w:rPr>
                <w:sz w:val="20"/>
                <w:szCs w:val="20"/>
                <w:color w:val="auto"/>
              </w:rPr>
            </w:pPr>
            <w:r>
              <w:rPr>
                <w:rFonts w:ascii="Times New Roman" w:cs="Times New Roman" w:eastAsia="Times New Roman" w:hAnsi="Times New Roman"/>
                <w:sz w:val="22"/>
                <w:szCs w:val="22"/>
                <w:b w:val="1"/>
                <w:bCs w:val="1"/>
                <w:i w:val="1"/>
                <w:iCs w:val="1"/>
                <w:color w:val="auto"/>
              </w:rPr>
              <w:t xml:space="preserve">Note 2: </w:t>
            </w:r>
            <w:r>
              <w:rPr>
                <w:rFonts w:ascii="Times New Roman" w:cs="Times New Roman" w:eastAsia="Times New Roman" w:hAnsi="Times New Roman"/>
                <w:sz w:val="22"/>
                <w:szCs w:val="22"/>
                <w:i w:val="1"/>
                <w:iCs w:val="1"/>
                <w:color w:val="auto"/>
              </w:rPr>
              <w:t>3A001.h includes:</w:t>
            </w:r>
          </w:p>
        </w:tc>
        <w:tc>
          <w:tcPr>
            <w:tcW w:w="0" w:type="dxa"/>
            <w:vAlign w:val="bottom"/>
          </w:tcPr>
          <w:p>
            <w:pPr>
              <w:spacing w:after="0"/>
              <w:rPr>
                <w:sz w:val="1"/>
                <w:szCs w:val="1"/>
                <w:color w:val="auto"/>
              </w:rPr>
            </w:pPr>
          </w:p>
        </w:tc>
      </w:tr>
      <w:tr>
        <w:trPr>
          <w:trHeight w:val="506"/>
        </w:trPr>
        <w:tc>
          <w:tcPr>
            <w:tcW w:w="4340" w:type="dxa"/>
            <w:vAlign w:val="bottom"/>
          </w:tcPr>
          <w:p>
            <w:pPr>
              <w:spacing w:after="0"/>
              <w:rPr>
                <w:sz w:val="20"/>
                <w:szCs w:val="20"/>
                <w:color w:val="auto"/>
              </w:rPr>
            </w:pPr>
            <w:r>
              <w:rPr>
                <w:rFonts w:ascii="Times New Roman" w:cs="Times New Roman" w:eastAsia="Times New Roman" w:hAnsi="Times New Roman"/>
                <w:sz w:val="22"/>
                <w:szCs w:val="22"/>
                <w:i w:val="1"/>
                <w:iCs w:val="1"/>
                <w:color w:val="auto"/>
              </w:rPr>
              <w:t>- Silicon Controlled Rectifiers (SCRs)</w:t>
            </w:r>
          </w:p>
        </w:tc>
        <w:tc>
          <w:tcPr>
            <w:tcW w:w="1060" w:type="dxa"/>
            <w:vAlign w:val="bottom"/>
          </w:tcPr>
          <w:p>
            <w:pPr>
              <w:ind w:left="920"/>
              <w:spacing w:after="0"/>
              <w:rPr>
                <w:sz w:val="20"/>
                <w:szCs w:val="20"/>
                <w:color w:val="auto"/>
              </w:rPr>
            </w:pPr>
            <w:r>
              <w:rPr>
                <w:rFonts w:ascii="Times New Roman" w:cs="Times New Roman" w:eastAsia="Times New Roman" w:hAnsi="Times New Roman"/>
                <w:sz w:val="22"/>
                <w:szCs w:val="22"/>
                <w:i w:val="1"/>
                <w:iCs w:val="1"/>
                <w:color w:val="auto"/>
              </w:rPr>
              <w:t>-</w:t>
            </w:r>
          </w:p>
        </w:tc>
        <w:tc>
          <w:tcPr>
            <w:tcW w:w="3820" w:type="dxa"/>
            <w:vAlign w:val="bottom"/>
          </w:tcPr>
          <w:p>
            <w:pPr>
              <w:ind w:left="80"/>
              <w:spacing w:after="0"/>
              <w:rPr>
                <w:sz w:val="20"/>
                <w:szCs w:val="20"/>
                <w:color w:val="auto"/>
              </w:rPr>
            </w:pPr>
            <w:r>
              <w:rPr>
                <w:rFonts w:ascii="Times New Roman" w:cs="Times New Roman" w:eastAsia="Times New Roman" w:hAnsi="Times New Roman"/>
                <w:sz w:val="22"/>
                <w:szCs w:val="22"/>
                <w:i w:val="1"/>
                <w:iCs w:val="1"/>
                <w:color w:val="auto"/>
              </w:rPr>
              <w:t>Junction Field Effect Transistors (JFETs)</w:t>
            </w:r>
          </w:p>
        </w:tc>
        <w:tc>
          <w:tcPr>
            <w:tcW w:w="0" w:type="dxa"/>
            <w:vAlign w:val="bottom"/>
          </w:tcPr>
          <w:p>
            <w:pPr>
              <w:spacing w:after="0"/>
              <w:rPr>
                <w:sz w:val="1"/>
                <w:szCs w:val="1"/>
                <w:color w:val="auto"/>
              </w:rPr>
            </w:pPr>
          </w:p>
        </w:tc>
      </w:tr>
      <w:tr>
        <w:trPr>
          <w:trHeight w:val="470"/>
        </w:trPr>
        <w:tc>
          <w:tcPr>
            <w:tcW w:w="4340" w:type="dxa"/>
            <w:vAlign w:val="bottom"/>
          </w:tcPr>
          <w:p>
            <w:pPr>
              <w:spacing w:after="0"/>
              <w:rPr>
                <w:sz w:val="20"/>
                <w:szCs w:val="20"/>
                <w:color w:val="auto"/>
              </w:rPr>
            </w:pPr>
            <w:r>
              <w:rPr>
                <w:rFonts w:ascii="Times New Roman" w:cs="Times New Roman" w:eastAsia="Times New Roman" w:hAnsi="Times New Roman"/>
                <w:sz w:val="22"/>
                <w:szCs w:val="22"/>
                <w:i w:val="1"/>
                <w:iCs w:val="1"/>
                <w:color w:val="auto"/>
              </w:rPr>
              <w:t>- Electrical Triggering Thyristors (ETTs)</w:t>
            </w:r>
          </w:p>
        </w:tc>
        <w:tc>
          <w:tcPr>
            <w:tcW w:w="1060" w:type="dxa"/>
            <w:vAlign w:val="bottom"/>
          </w:tcPr>
          <w:p>
            <w:pPr>
              <w:ind w:left="920"/>
              <w:spacing w:after="0"/>
              <w:rPr>
                <w:sz w:val="20"/>
                <w:szCs w:val="20"/>
                <w:color w:val="auto"/>
              </w:rPr>
            </w:pPr>
            <w:r>
              <w:rPr>
                <w:rFonts w:ascii="Times New Roman" w:cs="Times New Roman" w:eastAsia="Times New Roman" w:hAnsi="Times New Roman"/>
                <w:sz w:val="22"/>
                <w:szCs w:val="22"/>
                <w:i w:val="1"/>
                <w:iCs w:val="1"/>
                <w:color w:val="auto"/>
              </w:rPr>
              <w:t>-</w:t>
            </w:r>
          </w:p>
        </w:tc>
        <w:tc>
          <w:tcPr>
            <w:tcW w:w="3820" w:type="dxa"/>
            <w:vAlign w:val="bottom"/>
          </w:tcPr>
          <w:p>
            <w:pPr>
              <w:ind w:left="80"/>
              <w:spacing w:after="0"/>
              <w:rPr>
                <w:sz w:val="20"/>
                <w:szCs w:val="20"/>
                <w:color w:val="auto"/>
              </w:rPr>
            </w:pPr>
            <w:r>
              <w:rPr>
                <w:rFonts w:ascii="Times New Roman" w:cs="Times New Roman" w:eastAsia="Times New Roman" w:hAnsi="Times New Roman"/>
                <w:sz w:val="22"/>
                <w:szCs w:val="22"/>
                <w:i w:val="1"/>
                <w:iCs w:val="1"/>
                <w:color w:val="auto"/>
              </w:rPr>
              <w:t>Vertical Junction Field Effect Transistors</w:t>
            </w:r>
          </w:p>
        </w:tc>
        <w:tc>
          <w:tcPr>
            <w:tcW w:w="0" w:type="dxa"/>
            <w:vAlign w:val="bottom"/>
          </w:tcPr>
          <w:p>
            <w:pPr>
              <w:spacing w:after="0"/>
              <w:rPr>
                <w:sz w:val="1"/>
                <w:szCs w:val="1"/>
                <w:color w:val="auto"/>
              </w:rPr>
            </w:pPr>
          </w:p>
        </w:tc>
      </w:tr>
      <w:tr>
        <w:trPr>
          <w:trHeight w:val="290"/>
        </w:trPr>
        <w:tc>
          <w:tcPr>
            <w:tcW w:w="4340" w:type="dxa"/>
            <w:vAlign w:val="bottom"/>
            <w:vMerge w:val="restart"/>
          </w:tcPr>
          <w:p>
            <w:pPr>
              <w:spacing w:after="0"/>
              <w:rPr>
                <w:sz w:val="20"/>
                <w:szCs w:val="20"/>
                <w:color w:val="auto"/>
              </w:rPr>
            </w:pPr>
            <w:r>
              <w:rPr>
                <w:rFonts w:ascii="Times New Roman" w:cs="Times New Roman" w:eastAsia="Times New Roman" w:hAnsi="Times New Roman"/>
                <w:sz w:val="22"/>
                <w:szCs w:val="22"/>
                <w:i w:val="1"/>
                <w:iCs w:val="1"/>
                <w:color w:val="auto"/>
              </w:rPr>
              <w:t>- Light Triggering Thyristors (LTTs)</w:t>
            </w:r>
          </w:p>
        </w:tc>
        <w:tc>
          <w:tcPr>
            <w:tcW w:w="4880" w:type="dxa"/>
            <w:vAlign w:val="bottom"/>
            <w:gridSpan w:val="2"/>
          </w:tcPr>
          <w:p>
            <w:pPr>
              <w:ind w:left="920"/>
              <w:spacing w:after="0"/>
              <w:rPr>
                <w:sz w:val="20"/>
                <w:szCs w:val="20"/>
                <w:color w:val="auto"/>
              </w:rPr>
            </w:pPr>
            <w:r>
              <w:rPr>
                <w:rFonts w:ascii="Times New Roman" w:cs="Times New Roman" w:eastAsia="Times New Roman" w:hAnsi="Times New Roman"/>
                <w:sz w:val="22"/>
                <w:szCs w:val="22"/>
                <w:i w:val="1"/>
                <w:iCs w:val="1"/>
                <w:color w:val="auto"/>
              </w:rPr>
              <w:t>(VJFETs)</w:t>
            </w:r>
          </w:p>
        </w:tc>
        <w:tc>
          <w:tcPr>
            <w:tcW w:w="0" w:type="dxa"/>
            <w:vAlign w:val="bottom"/>
          </w:tcPr>
          <w:p>
            <w:pPr>
              <w:spacing w:after="0"/>
              <w:rPr>
                <w:sz w:val="1"/>
                <w:szCs w:val="1"/>
                <w:color w:val="auto"/>
              </w:rPr>
            </w:pPr>
          </w:p>
        </w:tc>
      </w:tr>
      <w:tr>
        <w:trPr>
          <w:trHeight w:val="252"/>
        </w:trPr>
        <w:tc>
          <w:tcPr>
            <w:tcW w:w="4340" w:type="dxa"/>
            <w:vAlign w:val="bottom"/>
            <w:vMerge w:val="continue"/>
          </w:tcPr>
          <w:p>
            <w:pPr>
              <w:spacing w:after="0"/>
              <w:rPr>
                <w:sz w:val="21"/>
                <w:szCs w:val="21"/>
                <w:color w:val="auto"/>
              </w:rPr>
            </w:pPr>
          </w:p>
        </w:tc>
        <w:tc>
          <w:tcPr>
            <w:tcW w:w="1060" w:type="dxa"/>
            <w:vAlign w:val="bottom"/>
          </w:tcPr>
          <w:p>
            <w:pPr>
              <w:spacing w:after="0"/>
              <w:rPr>
                <w:sz w:val="21"/>
                <w:szCs w:val="21"/>
                <w:color w:val="auto"/>
              </w:rPr>
            </w:pPr>
          </w:p>
        </w:tc>
        <w:tc>
          <w:tcPr>
            <w:tcW w:w="3820" w:type="dxa"/>
            <w:vAlign w:val="bottom"/>
          </w:tcPr>
          <w:p>
            <w:pPr>
              <w:spacing w:after="0"/>
              <w:rPr>
                <w:sz w:val="21"/>
                <w:szCs w:val="21"/>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339"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15" w:name="page16"/>
    <w:bookmarkEnd w:id="15"/>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16</w:t>
      </w:r>
    </w:p>
    <w:p>
      <w:pPr>
        <w:sectPr>
          <w:pgSz w:w="12240" w:h="15840" w:orient="portrait"/>
          <w:cols w:equalWidth="0" w:num="1">
            <w:col w:w="9460"/>
          </w:cols>
          <w:pgMar w:left="1440" w:top="1062" w:right="1340" w:bottom="892" w:gutter="0" w:footer="0" w:header="0"/>
        </w:sectPr>
      </w:pPr>
    </w:p>
    <w:p>
      <w:pPr>
        <w:spacing w:after="0" w:line="242" w:lineRule="exact"/>
        <w:rPr>
          <w:sz w:val="20"/>
          <w:szCs w:val="20"/>
          <w:color w:val="auto"/>
        </w:rPr>
      </w:pPr>
    </w:p>
    <w:p>
      <w:pPr>
        <w:ind w:left="360"/>
        <w:spacing w:after="0" w:line="274" w:lineRule="auto"/>
        <w:tabs>
          <w:tab w:leader="none" w:pos="576" w:val="left"/>
        </w:tabs>
        <w:numPr>
          <w:ilvl w:val="0"/>
          <w:numId w:val="2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Metal Oxide Semiconductor Field Effect Transistors (MOSFETs)</w:t>
      </w:r>
    </w:p>
    <w:p>
      <w:pPr>
        <w:spacing w:after="0" w:line="180" w:lineRule="exact"/>
        <w:rPr>
          <w:rFonts w:ascii="Times New Roman" w:cs="Times New Roman" w:eastAsia="Times New Roman" w:hAnsi="Times New Roman"/>
          <w:sz w:val="22"/>
          <w:szCs w:val="22"/>
          <w:i w:val="1"/>
          <w:iCs w:val="1"/>
          <w:color w:val="auto"/>
        </w:rPr>
      </w:pPr>
    </w:p>
    <w:p>
      <w:pPr>
        <w:jc w:val="both"/>
        <w:ind w:left="360"/>
        <w:spacing w:after="0" w:line="257" w:lineRule="auto"/>
        <w:tabs>
          <w:tab w:leader="none" w:pos="576" w:val="left"/>
        </w:tabs>
        <w:numPr>
          <w:ilvl w:val="0"/>
          <w:numId w:val="2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Double Diffused Metal Oxide Semiconductor Field Effect Transistor (DMOSFET)</w:t>
      </w:r>
    </w:p>
    <w:p>
      <w:pPr>
        <w:spacing w:after="0" w:line="200" w:lineRule="exact"/>
        <w:rPr>
          <w:rFonts w:ascii="Times New Roman" w:cs="Times New Roman" w:eastAsia="Times New Roman" w:hAnsi="Times New Roman"/>
          <w:sz w:val="22"/>
          <w:szCs w:val="22"/>
          <w:i w:val="1"/>
          <w:iCs w:val="1"/>
          <w:color w:val="auto"/>
        </w:rPr>
      </w:pPr>
    </w:p>
    <w:p>
      <w:pPr>
        <w:ind w:left="580" w:hanging="220"/>
        <w:spacing w:after="0"/>
        <w:tabs>
          <w:tab w:leader="none" w:pos="580" w:val="left"/>
        </w:tabs>
        <w:numPr>
          <w:ilvl w:val="0"/>
          <w:numId w:val="2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Insulated Gate Bipolar Transistor (IGBT)</w:t>
      </w:r>
    </w:p>
    <w:p>
      <w:pPr>
        <w:spacing w:after="0" w:line="252" w:lineRule="exact"/>
        <w:rPr>
          <w:rFonts w:ascii="Times New Roman" w:cs="Times New Roman" w:eastAsia="Times New Roman" w:hAnsi="Times New Roman"/>
          <w:sz w:val="22"/>
          <w:szCs w:val="22"/>
          <w:i w:val="1"/>
          <w:iCs w:val="1"/>
          <w:color w:val="auto"/>
        </w:rPr>
      </w:pPr>
    </w:p>
    <w:p>
      <w:pPr>
        <w:ind w:left="360"/>
        <w:spacing w:after="0" w:line="274" w:lineRule="auto"/>
        <w:tabs>
          <w:tab w:leader="none" w:pos="576" w:val="left"/>
        </w:tabs>
        <w:numPr>
          <w:ilvl w:val="0"/>
          <w:numId w:val="2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High Electron Mobility Transistors (HEMTs)</w:t>
      </w:r>
    </w:p>
    <w:p>
      <w:pPr>
        <w:spacing w:after="0" w:line="181" w:lineRule="exact"/>
        <w:rPr>
          <w:rFonts w:ascii="Times New Roman" w:cs="Times New Roman" w:eastAsia="Times New Roman" w:hAnsi="Times New Roman"/>
          <w:sz w:val="22"/>
          <w:szCs w:val="22"/>
          <w:i w:val="1"/>
          <w:iCs w:val="1"/>
          <w:color w:val="auto"/>
        </w:rPr>
      </w:pPr>
    </w:p>
    <w:p>
      <w:pPr>
        <w:ind w:left="580" w:hanging="220"/>
        <w:spacing w:after="0"/>
        <w:tabs>
          <w:tab w:leader="none" w:pos="580" w:val="left"/>
        </w:tabs>
        <w:numPr>
          <w:ilvl w:val="0"/>
          <w:numId w:val="2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Bipolar Junction Transistors (BJTs)</w:t>
      </w:r>
    </w:p>
    <w:p>
      <w:pPr>
        <w:spacing w:after="0" w:line="252" w:lineRule="exact"/>
        <w:rPr>
          <w:rFonts w:ascii="Times New Roman" w:cs="Times New Roman" w:eastAsia="Times New Roman" w:hAnsi="Times New Roman"/>
          <w:sz w:val="22"/>
          <w:szCs w:val="22"/>
          <w:i w:val="1"/>
          <w:iCs w:val="1"/>
          <w:color w:val="auto"/>
        </w:rPr>
      </w:pPr>
    </w:p>
    <w:p>
      <w:pPr>
        <w:ind w:left="360"/>
        <w:spacing w:after="0" w:line="274" w:lineRule="auto"/>
        <w:tabs>
          <w:tab w:leader="none" w:pos="576" w:val="left"/>
        </w:tabs>
        <w:numPr>
          <w:ilvl w:val="0"/>
          <w:numId w:val="2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Thyristors and Silicon Controlled Rectifiers (SCRs)</w:t>
      </w:r>
    </w:p>
    <w:p>
      <w:pPr>
        <w:spacing w:after="0" w:line="181" w:lineRule="exact"/>
        <w:rPr>
          <w:rFonts w:ascii="Times New Roman" w:cs="Times New Roman" w:eastAsia="Times New Roman" w:hAnsi="Times New Roman"/>
          <w:sz w:val="22"/>
          <w:szCs w:val="22"/>
          <w:i w:val="1"/>
          <w:iCs w:val="1"/>
          <w:color w:val="auto"/>
        </w:rPr>
      </w:pPr>
    </w:p>
    <w:p>
      <w:pPr>
        <w:ind w:left="580" w:hanging="220"/>
        <w:spacing w:after="0"/>
        <w:tabs>
          <w:tab w:leader="none" w:pos="580" w:val="left"/>
        </w:tabs>
        <w:numPr>
          <w:ilvl w:val="0"/>
          <w:numId w:val="2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Gate Turn -Off Thyristors (GTOs)</w:t>
      </w:r>
    </w:p>
    <w:p>
      <w:pPr>
        <w:spacing w:after="0" w:line="200" w:lineRule="exact"/>
        <w:rPr>
          <w:rFonts w:ascii="Times New Roman" w:cs="Times New Roman" w:eastAsia="Times New Roman" w:hAnsi="Times New Roman"/>
          <w:sz w:val="22"/>
          <w:szCs w:val="22"/>
          <w:i w:val="1"/>
          <w:iCs w:val="1"/>
          <w:color w:val="auto"/>
        </w:rPr>
      </w:pPr>
    </w:p>
    <w:p>
      <w:pPr>
        <w:spacing w:after="0" w:line="305" w:lineRule="exact"/>
        <w:rPr>
          <w:rFonts w:ascii="Times New Roman" w:cs="Times New Roman" w:eastAsia="Times New Roman" w:hAnsi="Times New Roman"/>
          <w:sz w:val="22"/>
          <w:szCs w:val="22"/>
          <w:i w:val="1"/>
          <w:iCs w:val="1"/>
          <w:color w:val="auto"/>
        </w:rPr>
      </w:pPr>
    </w:p>
    <w:p>
      <w:pPr>
        <w:ind w:left="580" w:hanging="220"/>
        <w:spacing w:after="0"/>
        <w:tabs>
          <w:tab w:leader="none" w:pos="580" w:val="left"/>
        </w:tabs>
        <w:numPr>
          <w:ilvl w:val="0"/>
          <w:numId w:val="2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Emitter Turn-Off Thyristors (ETOs)</w:t>
      </w:r>
    </w:p>
    <w:p>
      <w:pPr>
        <w:spacing w:after="0" w:line="253" w:lineRule="exact"/>
        <w:rPr>
          <w:rFonts w:ascii="Times New Roman" w:cs="Times New Roman" w:eastAsia="Times New Roman" w:hAnsi="Times New Roman"/>
          <w:sz w:val="22"/>
          <w:szCs w:val="22"/>
          <w:i w:val="1"/>
          <w:iCs w:val="1"/>
          <w:color w:val="auto"/>
        </w:rPr>
      </w:pPr>
    </w:p>
    <w:p>
      <w:pPr>
        <w:ind w:left="580" w:hanging="220"/>
        <w:spacing w:after="0"/>
        <w:tabs>
          <w:tab w:leader="none" w:pos="580" w:val="left"/>
        </w:tabs>
        <w:numPr>
          <w:ilvl w:val="0"/>
          <w:numId w:val="2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PiN Diodes</w:t>
      </w:r>
    </w:p>
    <w:p>
      <w:pPr>
        <w:spacing w:after="0" w:line="252" w:lineRule="exact"/>
        <w:rPr>
          <w:rFonts w:ascii="Times New Roman" w:cs="Times New Roman" w:eastAsia="Times New Roman" w:hAnsi="Times New Roman"/>
          <w:sz w:val="22"/>
          <w:szCs w:val="22"/>
          <w:i w:val="1"/>
          <w:iCs w:val="1"/>
          <w:color w:val="auto"/>
        </w:rPr>
      </w:pPr>
    </w:p>
    <w:p>
      <w:pPr>
        <w:ind w:left="580" w:hanging="220"/>
        <w:spacing w:after="0"/>
        <w:tabs>
          <w:tab w:leader="none" w:pos="580" w:val="left"/>
        </w:tabs>
        <w:numPr>
          <w:ilvl w:val="0"/>
          <w:numId w:val="2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Schottky Diodes</w:t>
      </w:r>
    </w:p>
    <w:p>
      <w:pPr>
        <w:spacing w:after="0" w:line="251" w:lineRule="exact"/>
        <w:rPr>
          <w:sz w:val="20"/>
          <w:szCs w:val="20"/>
          <w:color w:val="auto"/>
        </w:rPr>
      </w:pPr>
    </w:p>
    <w:p>
      <w:pPr>
        <w:jc w:val="both"/>
        <w:ind w:firstLine="288"/>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3: </w:t>
      </w:r>
      <w:r>
        <w:rPr>
          <w:rFonts w:ascii="Times New Roman" w:cs="Times New Roman" w:eastAsia="Times New Roman" w:hAnsi="Times New Roman"/>
          <w:sz w:val="22"/>
          <w:szCs w:val="22"/>
          <w:i w:val="1"/>
          <w:iCs w:val="1"/>
          <w:color w:val="auto"/>
        </w:rPr>
        <w:t>3A001.h does not apply to switches,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diodes, or ‘modules’, incorporated into equipment designed for civil automobile, civil railway, or “civil aircraft” applications.</w:t>
      </w:r>
    </w:p>
    <w:p>
      <w:pPr>
        <w:spacing w:after="0" w:line="207" w:lineRule="exact"/>
        <w:rPr>
          <w:sz w:val="20"/>
          <w:szCs w:val="20"/>
          <w:color w:val="auto"/>
        </w:rPr>
      </w:pPr>
    </w:p>
    <w:p>
      <w:pPr>
        <w:jc w:val="both"/>
        <w:spacing w:after="0" w:line="255" w:lineRule="auto"/>
        <w:rPr>
          <w:sz w:val="20"/>
          <w:szCs w:val="20"/>
          <w:color w:val="auto"/>
        </w:rPr>
      </w:pPr>
      <w:r>
        <w:rPr>
          <w:rFonts w:ascii="Times New Roman" w:cs="Times New Roman" w:eastAsia="Times New Roman" w:hAnsi="Times New Roman"/>
          <w:sz w:val="22"/>
          <w:szCs w:val="22"/>
          <w:color w:val="auto"/>
        </w:rPr>
        <w:t>i. Intensity, amplitude, or phase electro- optic modulators, designed for analog signals and having any of the following:</w:t>
      </w:r>
    </w:p>
    <w:p>
      <w:pPr>
        <w:spacing w:after="0" w:line="205" w:lineRule="exact"/>
        <w:rPr>
          <w:sz w:val="20"/>
          <w:szCs w:val="20"/>
          <w:color w:val="auto"/>
        </w:rPr>
      </w:pPr>
    </w:p>
    <w:p>
      <w:pPr>
        <w:jc w:val="both"/>
        <w:ind w:firstLine="180"/>
        <w:spacing w:after="0" w:line="250" w:lineRule="auto"/>
        <w:rPr>
          <w:sz w:val="20"/>
          <w:szCs w:val="20"/>
          <w:color w:val="auto"/>
        </w:rPr>
      </w:pPr>
      <w:r>
        <w:rPr>
          <w:rFonts w:ascii="Times New Roman" w:cs="Times New Roman" w:eastAsia="Times New Roman" w:hAnsi="Times New Roman"/>
          <w:sz w:val="22"/>
          <w:szCs w:val="22"/>
          <w:color w:val="auto"/>
        </w:rPr>
        <w:t>i.1. A maximum operating frequency of more than 10 GHz but less than 20 GHz, an optical insertion loss equal to or less than 3 dB and having any of the following:</w:t>
      </w:r>
    </w:p>
    <w:p>
      <w:pPr>
        <w:spacing w:after="0" w:line="211"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i.1.a. A ‘half-wave voltage’ (‘V</w:t>
      </w:r>
      <w:r>
        <w:rPr>
          <w:rFonts w:ascii="Times New Roman" w:cs="Times New Roman" w:eastAsia="Times New Roman" w:hAnsi="Times New Roman"/>
          <w:sz w:val="22"/>
          <w:szCs w:val="22"/>
          <w:color w:val="auto"/>
        </w:rPr>
        <w:t>π</w:t>
      </w:r>
      <w:r>
        <w:rPr>
          <w:rFonts w:ascii="Times New Roman" w:cs="Times New Roman" w:eastAsia="Times New Roman" w:hAnsi="Times New Roman"/>
          <w:sz w:val="22"/>
          <w:szCs w:val="22"/>
          <w:color w:val="auto"/>
        </w:rPr>
        <w:t xml:space="preserve">’) less than 2.7 V when measured at a frequency of 1 GHz or below; </w:t>
      </w:r>
      <w:r>
        <w:rPr>
          <w:rFonts w:ascii="Times New Roman" w:cs="Times New Roman" w:eastAsia="Times New Roman" w:hAnsi="Times New Roman"/>
          <w:sz w:val="22"/>
          <w:szCs w:val="22"/>
          <w:i w:val="1"/>
          <w:iCs w:val="1"/>
          <w:color w:val="auto"/>
        </w:rPr>
        <w:t>or</w:t>
      </w:r>
    </w:p>
    <w:p>
      <w:pPr>
        <w:spacing w:after="0" w:line="206"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i.1.b. A ‘V</w:t>
      </w:r>
      <w:r>
        <w:rPr>
          <w:rFonts w:ascii="Times New Roman" w:cs="Times New Roman" w:eastAsia="Times New Roman" w:hAnsi="Times New Roman"/>
          <w:sz w:val="22"/>
          <w:szCs w:val="22"/>
          <w:color w:val="auto"/>
        </w:rPr>
        <w:t>π</w:t>
      </w:r>
      <w:r>
        <w:rPr>
          <w:rFonts w:ascii="Times New Roman" w:cs="Times New Roman" w:eastAsia="Times New Roman" w:hAnsi="Times New Roman"/>
          <w:sz w:val="22"/>
          <w:szCs w:val="22"/>
          <w:color w:val="auto"/>
        </w:rPr>
        <w:t xml:space="preserve">’ of less than 4 V when measured at a frequency of more than 1 GHz; </w:t>
      </w:r>
      <w:r>
        <w:rPr>
          <w:rFonts w:ascii="Times New Roman" w:cs="Times New Roman" w:eastAsia="Times New Roman" w:hAnsi="Times New Roman"/>
          <w:sz w:val="22"/>
          <w:szCs w:val="22"/>
          <w:i w:val="1"/>
          <w:iCs w:val="1"/>
          <w:color w:val="auto"/>
        </w:rPr>
        <w:t>or</w:t>
      </w:r>
    </w:p>
    <w:p>
      <w:pPr>
        <w:spacing w:after="0" w:line="20" w:lineRule="exact"/>
        <w:rPr>
          <w:sz w:val="20"/>
          <w:szCs w:val="20"/>
          <w:color w:val="auto"/>
        </w:rPr>
      </w:pPr>
      <w:r>
        <w:rPr>
          <w:sz w:val="20"/>
          <w:szCs w:val="20"/>
          <w:color w:val="auto"/>
        </w:rPr>
        <w:br w:type="column"/>
      </w:r>
    </w:p>
    <w:p>
      <w:pPr>
        <w:spacing w:after="0" w:line="224" w:lineRule="exact"/>
        <w:rPr>
          <w:sz w:val="20"/>
          <w:szCs w:val="20"/>
          <w:color w:val="auto"/>
        </w:rPr>
      </w:pPr>
    </w:p>
    <w:p>
      <w:pPr>
        <w:jc w:val="both"/>
        <w:ind w:right="100" w:firstLine="180"/>
        <w:spacing w:after="0" w:line="250" w:lineRule="auto"/>
        <w:rPr>
          <w:sz w:val="20"/>
          <w:szCs w:val="20"/>
          <w:color w:val="auto"/>
        </w:rPr>
      </w:pPr>
      <w:r>
        <w:rPr>
          <w:rFonts w:ascii="Times New Roman" w:cs="Times New Roman" w:eastAsia="Times New Roman" w:hAnsi="Times New Roman"/>
          <w:sz w:val="22"/>
          <w:szCs w:val="22"/>
          <w:color w:val="auto"/>
        </w:rPr>
        <w:t>i.2. A maximum operating frequency equal to or greater than 20 GHz, an optical insertion loss equal to or less than 3 dB and having any of the following:</w:t>
      </w:r>
    </w:p>
    <w:p>
      <w:pPr>
        <w:spacing w:after="0" w:line="211" w:lineRule="exact"/>
        <w:rPr>
          <w:sz w:val="20"/>
          <w:szCs w:val="20"/>
          <w:color w:val="auto"/>
        </w:rPr>
      </w:pPr>
    </w:p>
    <w:p>
      <w:pPr>
        <w:jc w:val="both"/>
        <w:ind w:right="100" w:firstLine="360"/>
        <w:spacing w:after="0" w:line="271" w:lineRule="auto"/>
        <w:rPr>
          <w:sz w:val="20"/>
          <w:szCs w:val="20"/>
          <w:color w:val="auto"/>
        </w:rPr>
      </w:pPr>
      <w:r>
        <w:rPr>
          <w:rFonts w:ascii="Times New Roman" w:cs="Times New Roman" w:eastAsia="Times New Roman" w:hAnsi="Times New Roman"/>
          <w:sz w:val="22"/>
          <w:szCs w:val="22"/>
          <w:color w:val="auto"/>
        </w:rPr>
        <w:t>i.2.a. A ‘V</w:t>
      </w:r>
      <w:r>
        <w:rPr>
          <w:rFonts w:ascii="Times New Roman" w:cs="Times New Roman" w:eastAsia="Times New Roman" w:hAnsi="Times New Roman"/>
          <w:sz w:val="22"/>
          <w:szCs w:val="22"/>
          <w:color w:val="auto"/>
        </w:rPr>
        <w:t>π</w:t>
      </w:r>
      <w:r>
        <w:rPr>
          <w:rFonts w:ascii="Times New Roman" w:cs="Times New Roman" w:eastAsia="Times New Roman" w:hAnsi="Times New Roman"/>
          <w:sz w:val="22"/>
          <w:szCs w:val="22"/>
          <w:color w:val="auto"/>
        </w:rPr>
        <w:t xml:space="preserve">’ less than 3.3 V when measured at a frequency of 1 GHz or below;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right="100" w:firstLine="360"/>
        <w:spacing w:after="0" w:line="271" w:lineRule="auto"/>
        <w:rPr>
          <w:sz w:val="20"/>
          <w:szCs w:val="20"/>
          <w:color w:val="auto"/>
        </w:rPr>
      </w:pPr>
      <w:r>
        <w:rPr>
          <w:rFonts w:ascii="Times New Roman" w:cs="Times New Roman" w:eastAsia="Times New Roman" w:hAnsi="Times New Roman"/>
          <w:sz w:val="22"/>
          <w:szCs w:val="22"/>
          <w:color w:val="auto"/>
        </w:rPr>
        <w:t>i.2.b. A ‘V</w:t>
      </w:r>
      <w:r>
        <w:rPr>
          <w:rFonts w:ascii="Times New Roman" w:cs="Times New Roman" w:eastAsia="Times New Roman" w:hAnsi="Times New Roman"/>
          <w:sz w:val="22"/>
          <w:szCs w:val="22"/>
          <w:color w:val="auto"/>
        </w:rPr>
        <w:t>π</w:t>
      </w:r>
      <w:r>
        <w:rPr>
          <w:rFonts w:ascii="Times New Roman" w:cs="Times New Roman" w:eastAsia="Times New Roman" w:hAnsi="Times New Roman"/>
          <w:sz w:val="22"/>
          <w:szCs w:val="22"/>
          <w:color w:val="auto"/>
        </w:rPr>
        <w:t>’ less than 5 V when measured at a frequency of more than 1 GHz.</w:t>
      </w:r>
    </w:p>
    <w:p>
      <w:pPr>
        <w:spacing w:after="0" w:line="183" w:lineRule="exact"/>
        <w:rPr>
          <w:sz w:val="20"/>
          <w:szCs w:val="20"/>
          <w:color w:val="auto"/>
        </w:rPr>
      </w:pPr>
    </w:p>
    <w:p>
      <w:pPr>
        <w:jc w:val="both"/>
        <w:ind w:right="100" w:firstLine="18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3A001.i includes electro-optic</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modulators having optical input and output connectors (e.g., fiber-optic pigtails).</w:t>
      </w:r>
    </w:p>
    <w:p>
      <w:pPr>
        <w:spacing w:after="0" w:line="199"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For the purposes of 3A001.i,</w:t>
      </w:r>
    </w:p>
    <w:p>
      <w:pPr>
        <w:spacing w:after="0" w:line="6" w:lineRule="exact"/>
        <w:rPr>
          <w:sz w:val="20"/>
          <w:szCs w:val="20"/>
          <w:color w:val="auto"/>
        </w:rPr>
      </w:pPr>
    </w:p>
    <w:p>
      <w:pPr>
        <w:jc w:val="both"/>
        <w:ind w:right="100"/>
        <w:spacing w:after="0" w:line="250" w:lineRule="auto"/>
        <w:tabs>
          <w:tab w:leader="none" w:pos="266" w:val="left"/>
        </w:tabs>
        <w:numPr>
          <w:ilvl w:val="0"/>
          <w:numId w:val="2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‘half-wave voltage’ (‘V</w:t>
      </w:r>
      <w:r>
        <w:rPr>
          <w:rFonts w:ascii="Times New Roman" w:cs="Times New Roman" w:eastAsia="Times New Roman" w:hAnsi="Times New Roman"/>
          <w:sz w:val="22"/>
          <w:szCs w:val="22"/>
          <w:i w:val="1"/>
          <w:iCs w:val="1"/>
          <w:color w:val="auto"/>
        </w:rPr>
        <w:t>π</w:t>
      </w:r>
      <w:r>
        <w:rPr>
          <w:rFonts w:ascii="Times New Roman" w:cs="Times New Roman" w:eastAsia="Times New Roman" w:hAnsi="Times New Roman"/>
          <w:sz w:val="22"/>
          <w:szCs w:val="22"/>
          <w:i w:val="1"/>
          <w:iCs w:val="1"/>
          <w:color w:val="auto"/>
        </w:rPr>
        <w:t>’) is the applied voltage necessary to make a phase change of 180 degrees in the wavelength of light propagating through the optical modulator.</w:t>
      </w:r>
    </w:p>
    <w:p>
      <w:pPr>
        <w:spacing w:after="0" w:line="200" w:lineRule="exact"/>
        <w:rPr>
          <w:sz w:val="20"/>
          <w:szCs w:val="20"/>
          <w:color w:val="auto"/>
        </w:rPr>
      </w:pPr>
    </w:p>
    <w:p>
      <w:pPr>
        <w:spacing w:after="0" w:line="260" w:lineRule="exact"/>
        <w:rPr>
          <w:sz w:val="20"/>
          <w:szCs w:val="20"/>
          <w:color w:val="auto"/>
        </w:rPr>
      </w:pPr>
    </w:p>
    <w:p>
      <w:pPr>
        <w:jc w:val="both"/>
        <w:ind w:right="100"/>
        <w:spacing w:after="0" w:line="257" w:lineRule="auto"/>
        <w:rPr>
          <w:sz w:val="20"/>
          <w:szCs w:val="20"/>
          <w:color w:val="auto"/>
        </w:rPr>
      </w:pPr>
      <w:r>
        <w:rPr>
          <w:rFonts w:ascii="Times New Roman" w:cs="Times New Roman" w:eastAsia="Times New Roman" w:hAnsi="Times New Roman"/>
          <w:sz w:val="22"/>
          <w:szCs w:val="22"/>
          <w:b w:val="1"/>
          <w:bCs w:val="1"/>
          <w:color w:val="auto"/>
        </w:rPr>
        <w:t>3A002 General purpose “electronic assemblies,” modules and equipment, as follows (see List of Items Controlled).</w:t>
      </w:r>
    </w:p>
    <w:p>
      <w:pPr>
        <w:spacing w:after="0" w:line="29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00" w:lineRule="exact"/>
        <w:rPr>
          <w:sz w:val="20"/>
          <w:szCs w:val="20"/>
          <w:color w:val="auto"/>
        </w:rPr>
      </w:pPr>
    </w:p>
    <w:p>
      <w:pPr>
        <w:spacing w:after="0" w:line="251"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b w:val="1"/>
          <w:bCs w:val="1"/>
          <w:i w:val="1"/>
          <w:iCs w:val="1"/>
          <w:color w:val="auto"/>
        </w:rPr>
        <w:t>Reason for Control</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color w:val="auto"/>
        </w:rPr>
        <w:t>NS, MT, AT</w:t>
      </w:r>
    </w:p>
    <w:p>
      <w:pPr>
        <w:spacing w:after="0" w:line="254"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900" w:type="dxa"/>
            <w:vAlign w:val="bottom"/>
            <w:tcBorders>
              <w:top w:val="single" w:sz="8" w:color="auto"/>
              <w:left w:val="single" w:sz="8" w:color="auto"/>
              <w:right w:val="single" w:sz="8" w:color="auto"/>
            </w:tcBorders>
          </w:tcPr>
          <w:p>
            <w:pPr>
              <w:spacing w:after="0"/>
              <w:rPr>
                <w:sz w:val="22"/>
                <w:szCs w:val="22"/>
                <w:color w:val="auto"/>
              </w:rPr>
            </w:pPr>
          </w:p>
        </w:tc>
        <w:tc>
          <w:tcPr>
            <w:tcW w:w="154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900" w:type="dxa"/>
            <w:vAlign w:val="bottom"/>
            <w:tcBorders>
              <w:left w:val="single" w:sz="8" w:color="auto"/>
              <w:right w:val="single" w:sz="8" w:color="auto"/>
            </w:tcBorders>
          </w:tcPr>
          <w:p>
            <w:pPr>
              <w:ind w:left="98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540" w:type="dxa"/>
            <w:vAlign w:val="bottom"/>
            <w:tcBorders>
              <w:right w:val="single" w:sz="8" w:color="auto"/>
            </w:tcBorders>
          </w:tcPr>
          <w:p>
            <w:pPr>
              <w:ind w:left="20"/>
              <w:spacing w:after="0"/>
              <w:rPr>
                <w:sz w:val="20"/>
                <w:szCs w:val="20"/>
                <w:color w:val="auto"/>
              </w:rPr>
            </w:pPr>
            <w:r>
              <w:rPr>
                <w:rFonts w:ascii="Times New Roman" w:cs="Times New Roman" w:eastAsia="Times New Roman" w:hAnsi="Times New Roman"/>
                <w:sz w:val="22"/>
                <w:szCs w:val="22"/>
                <w:i w:val="1"/>
                <w:iCs w:val="1"/>
                <w:color w:val="auto"/>
              </w:rPr>
              <w:t>(See Supp. No. 1</w:t>
            </w:r>
          </w:p>
        </w:tc>
      </w:tr>
      <w:tr>
        <w:trPr>
          <w:trHeight w:val="287"/>
        </w:trPr>
        <w:tc>
          <w:tcPr>
            <w:tcW w:w="2900" w:type="dxa"/>
            <w:vAlign w:val="bottom"/>
            <w:tcBorders>
              <w:left w:val="single" w:sz="8" w:color="auto"/>
              <w:bottom w:val="single" w:sz="8" w:color="auto"/>
              <w:right w:val="single" w:sz="8" w:color="auto"/>
            </w:tcBorders>
          </w:tcPr>
          <w:p>
            <w:pPr>
              <w:spacing w:after="0"/>
              <w:rPr>
                <w:sz w:val="24"/>
                <w:szCs w:val="24"/>
                <w:color w:val="auto"/>
              </w:rPr>
            </w:pPr>
          </w:p>
        </w:tc>
        <w:tc>
          <w:tcPr>
            <w:tcW w:w="154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3"/>
        </w:trPr>
        <w:tc>
          <w:tcPr>
            <w:tcW w:w="2900" w:type="dxa"/>
            <w:vAlign w:val="bottom"/>
            <w:tcBorders>
              <w:left w:val="single" w:sz="8" w:color="auto"/>
              <w:bottom w:val="single" w:sz="8" w:color="auto"/>
              <w:right w:val="single" w:sz="8" w:color="auto"/>
            </w:tcBorders>
          </w:tcPr>
          <w:p>
            <w:pPr>
              <w:ind w:left="20"/>
              <w:spacing w:after="0" w:line="243" w:lineRule="exact"/>
              <w:rPr>
                <w:sz w:val="20"/>
                <w:szCs w:val="20"/>
                <w:color w:val="auto"/>
              </w:rPr>
            </w:pPr>
            <w:r>
              <w:rPr>
                <w:rFonts w:ascii="Times New Roman" w:cs="Times New Roman" w:eastAsia="Times New Roman" w:hAnsi="Times New Roman"/>
                <w:sz w:val="22"/>
                <w:szCs w:val="22"/>
                <w:color w:val="auto"/>
              </w:rPr>
              <w:t>NS applies to entire entry</w:t>
            </w:r>
          </w:p>
        </w:tc>
        <w:tc>
          <w:tcPr>
            <w:tcW w:w="1540" w:type="dxa"/>
            <w:vAlign w:val="bottom"/>
            <w:tcBorders>
              <w:bottom w:val="single" w:sz="8" w:color="auto"/>
              <w:right w:val="single" w:sz="8" w:color="auto"/>
            </w:tcBorders>
          </w:tcPr>
          <w:p>
            <w:pPr>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27"/>
        </w:trPr>
        <w:tc>
          <w:tcPr>
            <w:tcW w:w="2900" w:type="dxa"/>
            <w:vAlign w:val="bottom"/>
            <w:tcBorders>
              <w:left w:val="single" w:sz="8" w:color="auto"/>
              <w:right w:val="single" w:sz="8" w:color="auto"/>
            </w:tcBorders>
          </w:tcPr>
          <w:p>
            <w:pPr>
              <w:ind w:left="20"/>
              <w:spacing w:after="0" w:line="227" w:lineRule="exact"/>
              <w:rPr>
                <w:sz w:val="20"/>
                <w:szCs w:val="20"/>
                <w:color w:val="auto"/>
              </w:rPr>
            </w:pPr>
            <w:r>
              <w:rPr>
                <w:rFonts w:ascii="Times New Roman" w:cs="Times New Roman" w:eastAsia="Times New Roman" w:hAnsi="Times New Roman"/>
                <w:sz w:val="22"/>
                <w:szCs w:val="22"/>
                <w:color w:val="auto"/>
              </w:rPr>
              <w:t>MT applies to 3A002.h when</w:t>
            </w:r>
          </w:p>
        </w:tc>
        <w:tc>
          <w:tcPr>
            <w:tcW w:w="1540" w:type="dxa"/>
            <w:vAlign w:val="bottom"/>
            <w:tcBorders>
              <w:right w:val="single" w:sz="8" w:color="auto"/>
            </w:tcBorders>
          </w:tcPr>
          <w:p>
            <w:pPr>
              <w:spacing w:after="0"/>
              <w:rPr>
                <w:sz w:val="19"/>
                <w:szCs w:val="19"/>
                <w:color w:val="auto"/>
              </w:rPr>
            </w:pPr>
          </w:p>
        </w:tc>
      </w:tr>
      <w:tr>
        <w:trPr>
          <w:trHeight w:val="253"/>
        </w:trPr>
        <w:tc>
          <w:tcPr>
            <w:tcW w:w="2900" w:type="dxa"/>
            <w:vAlign w:val="bottom"/>
            <w:tcBorders>
              <w:left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the parameters in 3A101.a.2.b</w:t>
            </w:r>
          </w:p>
        </w:tc>
        <w:tc>
          <w:tcPr>
            <w:tcW w:w="154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MT Column 1</w:t>
            </w:r>
          </w:p>
        </w:tc>
      </w:tr>
      <w:tr>
        <w:trPr>
          <w:trHeight w:val="269"/>
        </w:trPr>
        <w:tc>
          <w:tcPr>
            <w:tcW w:w="2900" w:type="dxa"/>
            <w:vAlign w:val="bottom"/>
            <w:tcBorders>
              <w:left w:val="single" w:sz="8" w:color="auto"/>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are met or exceeded</w:t>
            </w:r>
          </w:p>
        </w:tc>
        <w:tc>
          <w:tcPr>
            <w:tcW w:w="1540" w:type="dxa"/>
            <w:vAlign w:val="bottom"/>
            <w:tcBorders>
              <w:bottom w:val="single" w:sz="8" w:color="auto"/>
              <w:right w:val="single" w:sz="8" w:color="auto"/>
            </w:tcBorders>
          </w:tcPr>
          <w:p>
            <w:pPr>
              <w:spacing w:after="0"/>
              <w:rPr>
                <w:sz w:val="23"/>
                <w:szCs w:val="23"/>
                <w:color w:val="auto"/>
              </w:rPr>
            </w:pPr>
          </w:p>
        </w:tc>
      </w:tr>
      <w:tr>
        <w:trPr>
          <w:trHeight w:val="243"/>
        </w:trPr>
        <w:tc>
          <w:tcPr>
            <w:tcW w:w="2900" w:type="dxa"/>
            <w:vAlign w:val="bottom"/>
            <w:tcBorders>
              <w:left w:val="single" w:sz="8" w:color="auto"/>
              <w:bottom w:val="single" w:sz="8" w:color="auto"/>
              <w:right w:val="single" w:sz="8" w:color="auto"/>
            </w:tcBorders>
          </w:tcPr>
          <w:p>
            <w:pPr>
              <w:ind w:left="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540" w:type="dxa"/>
            <w:vAlign w:val="bottom"/>
            <w:tcBorders>
              <w:bottom w:val="single" w:sz="8" w:color="auto"/>
              <w:right w:val="single" w:sz="8" w:color="auto"/>
            </w:tcBorders>
          </w:tcPr>
          <w:p>
            <w:pPr>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332" w:lineRule="exact"/>
        <w:rPr>
          <w:sz w:val="20"/>
          <w:szCs w:val="20"/>
          <w:color w:val="auto"/>
        </w:rPr>
      </w:pPr>
    </w:p>
    <w:p>
      <w:pPr>
        <w:jc w:val="both"/>
        <w:ind w:right="100" w:firstLine="18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Reporting Requirements: </w:t>
      </w:r>
      <w:r>
        <w:rPr>
          <w:rFonts w:ascii="Times New Roman" w:cs="Times New Roman" w:eastAsia="Times New Roman" w:hAnsi="Times New Roman"/>
          <w:sz w:val="22"/>
          <w:szCs w:val="22"/>
          <w:i w:val="1"/>
          <w:iCs w:val="1"/>
          <w:color w:val="auto"/>
        </w:rPr>
        <w:t>See §743.1 of the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EAR for reporting requirements for exports under License Exceptions, and Validated End-User authorizations.</w:t>
      </w:r>
    </w:p>
    <w:p>
      <w:pPr>
        <w:spacing w:after="0" w:line="51" w:lineRule="exact"/>
        <w:rPr>
          <w:sz w:val="20"/>
          <w:szCs w:val="20"/>
          <w:color w:val="auto"/>
        </w:rPr>
      </w:pPr>
    </w:p>
    <w:p>
      <w:pPr>
        <w:jc w:val="both"/>
        <w:ind w:right="10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200" w:lineRule="exact"/>
        <w:rPr>
          <w:sz w:val="20"/>
          <w:szCs w:val="20"/>
          <w:color w:val="auto"/>
        </w:rPr>
      </w:pPr>
    </w:p>
    <w:p>
      <w:pPr>
        <w:sectPr>
          <w:pgSz w:w="12240" w:h="15840" w:orient="portrait"/>
          <w:cols w:equalWidth="0" w:num="2">
            <w:col w:w="4320" w:space="720"/>
            <w:col w:w="4420"/>
          </w:cols>
          <w:pgMar w:left="1440" w:top="1062" w:right="1340" w:bottom="892" w:gutter="0" w:footer="0" w:header="0"/>
          <w:type w:val="continuous"/>
        </w:sectPr>
      </w:pPr>
    </w:p>
    <w:p>
      <w:pPr>
        <w:spacing w:after="0" w:line="200" w:lineRule="exact"/>
        <w:rPr>
          <w:sz w:val="20"/>
          <w:szCs w:val="20"/>
          <w:color w:val="auto"/>
        </w:rPr>
      </w:pPr>
    </w:p>
    <w:p>
      <w:pPr>
        <w:spacing w:after="0" w:line="228"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60"/>
          </w:cols>
          <w:pgMar w:left="1440" w:top="1062" w:right="1340" w:bottom="892" w:gutter="0" w:footer="0" w:header="0"/>
          <w:type w:val="continuous"/>
        </w:sectPr>
      </w:pPr>
    </w:p>
    <w:bookmarkStart w:id="16" w:name="page17"/>
    <w:bookmarkEnd w:id="16"/>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17</w:t>
      </w:r>
    </w:p>
    <w:p>
      <w:pPr>
        <w:sectPr>
          <w:pgSz w:w="12240" w:h="15840" w:orient="portrait"/>
          <w:cols w:equalWidth="0" w:num="1">
            <w:col w:w="9360"/>
          </w:cols>
          <w:pgMar w:left="1440" w:top="1062" w:right="1440" w:bottom="892" w:gutter="0" w:footer="0" w:header="0"/>
        </w:sectPr>
      </w:pPr>
    </w:p>
    <w:p>
      <w:pPr>
        <w:spacing w:after="0" w:line="241" w:lineRule="exact"/>
        <w:rPr>
          <w:sz w:val="20"/>
          <w:szCs w:val="20"/>
          <w:color w:val="auto"/>
        </w:rPr>
      </w:pPr>
    </w:p>
    <w:p>
      <w:pPr>
        <w:ind w:left="1080" w:hanging="799"/>
        <w:spacing w:after="0" w:line="239" w:lineRule="auto"/>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$3000: 3A002.a, .e, .f, and .g $5000: 3A002.c to .d, and .h (unless controlled for MT);</w:t>
      </w:r>
    </w:p>
    <w:p>
      <w:pPr>
        <w:spacing w:after="0" w:line="7" w:lineRule="exact"/>
        <w:rPr>
          <w:sz w:val="20"/>
          <w:szCs w:val="20"/>
          <w:color w:val="auto"/>
        </w:rPr>
      </w:pPr>
    </w:p>
    <w:p>
      <w:pPr>
        <w:jc w:val="both"/>
        <w:ind w:left="1080" w:hanging="809"/>
        <w:spacing w:after="0" w:line="271" w:lineRule="auto"/>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Yes, for 3A002.h (unless controlled for MT)</w:t>
      </w:r>
    </w:p>
    <w:p>
      <w:pPr>
        <w:spacing w:after="0" w:line="31" w:lineRule="exact"/>
        <w:rPr>
          <w:sz w:val="20"/>
          <w:szCs w:val="20"/>
          <w:color w:val="auto"/>
        </w:rPr>
      </w:pPr>
    </w:p>
    <w:p>
      <w:pPr>
        <w:jc w:val="both"/>
        <w:ind w:left="1080" w:hanging="809"/>
        <w:spacing w:after="0" w:line="271" w:lineRule="auto"/>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Yes, for 3A002.h (unless controlled for MT)</w:t>
      </w:r>
    </w:p>
    <w:p>
      <w:pPr>
        <w:spacing w:after="0" w:line="3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52" w:lineRule="exact"/>
        <w:rPr>
          <w:sz w:val="20"/>
          <w:szCs w:val="20"/>
          <w:color w:val="auto"/>
        </w:rPr>
      </w:pPr>
    </w:p>
    <w:p>
      <w:pPr>
        <w:jc w:val="both"/>
        <w:ind w:left="1080" w:hanging="799"/>
        <w:spacing w:after="0" w:line="246" w:lineRule="auto"/>
        <w:tabs>
          <w:tab w:leader="none" w:pos="1060" w:val="left"/>
        </w:tabs>
        <w:rPr>
          <w:sz w:val="20"/>
          <w:szCs w:val="20"/>
          <w:color w:val="auto"/>
        </w:rPr>
      </w:pPr>
      <w:r>
        <w:rPr>
          <w:rFonts w:ascii="Times New Roman" w:cs="Times New Roman" w:eastAsia="Times New Roman" w:hAnsi="Times New Roman"/>
          <w:sz w:val="22"/>
          <w:szCs w:val="22"/>
          <w:i w:val="1"/>
          <w:iCs w:val="1"/>
          <w:color w:val="auto"/>
        </w:rPr>
        <w:t>STA:</w:t>
      </w:r>
      <w:r>
        <w:rPr>
          <w:sz w:val="20"/>
          <w:szCs w:val="20"/>
          <w:color w:val="auto"/>
        </w:rPr>
        <w:tab/>
      </w:r>
      <w:r>
        <w:rPr>
          <w:rFonts w:ascii="Times New Roman" w:cs="Times New Roman" w:eastAsia="Times New Roman" w:hAnsi="Times New Roman"/>
          <w:sz w:val="22"/>
          <w:szCs w:val="22"/>
          <w:color w:val="auto"/>
        </w:rPr>
        <w:t>License Exception STA may not be used to ship any item in 3A002.g.1 to any of the destinations listed in Country Group A:6 (See Supplement No.1 to part 740 of the EAR).</w:t>
      </w:r>
    </w:p>
    <w:p>
      <w:pPr>
        <w:spacing w:after="0" w:line="21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jc w:val="both"/>
        <w:ind w:left="180"/>
        <w:spacing w:after="0" w:line="24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Category XV(e)(9) of</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the USML for certain “space-qualified” atomic frequency standards “subject to the ITAR” (see 22 CFR parts 120 through 130). See also 3A101, 3A992 and 9A515.x.</w:t>
      </w:r>
    </w:p>
    <w:p>
      <w:pPr>
        <w:spacing w:after="0" w:line="211" w:lineRule="exact"/>
        <w:rPr>
          <w:sz w:val="20"/>
          <w:szCs w:val="20"/>
          <w:color w:val="auto"/>
        </w:rPr>
      </w:pPr>
    </w:p>
    <w:p>
      <w:pPr>
        <w:jc w:val="both"/>
        <w:ind w:left="180"/>
        <w:spacing w:after="0" w:line="257"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Constant percentage</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bandwidth filters are also known as octave or fractional octave filters.</w:t>
      </w:r>
    </w:p>
    <w:p>
      <w:pPr>
        <w:spacing w:after="0" w:line="199"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7"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a. Recording equipment and oscilloscopes, as follows:</w:t>
      </w:r>
    </w:p>
    <w:p>
      <w:pPr>
        <w:spacing w:after="0" w:line="187"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a.1. to a.5. [Reserved]</w:t>
      </w:r>
    </w:p>
    <w:p>
      <w:pPr>
        <w:spacing w:after="0" w:line="249" w:lineRule="exact"/>
        <w:rPr>
          <w:sz w:val="20"/>
          <w:szCs w:val="20"/>
          <w:color w:val="auto"/>
        </w:rPr>
      </w:pPr>
    </w:p>
    <w:p>
      <w:pPr>
        <w:jc w:val="both"/>
        <w:ind w:firstLine="144"/>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N.B.</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For waveform digitizers and transient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recorders, see 3A002.h.</w:t>
      </w:r>
    </w:p>
    <w:p>
      <w:pPr>
        <w:spacing w:after="0" w:line="181"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a.6. Digital data recorders having all of the following:</w:t>
      </w:r>
    </w:p>
    <w:p>
      <w:pPr>
        <w:spacing w:after="0" w:line="188"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 xml:space="preserve">a.6.a. A sustained ‘continuous throughput’ of more than 6.4 Gbit/s to disk or solid-state drive memory; </w:t>
      </w:r>
      <w:r>
        <w:rPr>
          <w:rFonts w:ascii="Times New Roman" w:cs="Times New Roman" w:eastAsia="Times New Roman" w:hAnsi="Times New Roman"/>
          <w:sz w:val="22"/>
          <w:szCs w:val="22"/>
          <w:i w:val="1"/>
          <w:iCs w:val="1"/>
          <w:color w:val="auto"/>
        </w:rPr>
        <w:t>and</w:t>
      </w:r>
    </w:p>
    <w:p>
      <w:pPr>
        <w:spacing w:after="0" w:line="205"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a.6.b. A processor that performs analysis of radio frequency signal data while it is being recorded;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r>
        <w:rPr>
          <w:rFonts w:ascii="Times New Roman" w:cs="Times New Roman" w:eastAsia="Times New Roman" w:hAnsi="Times New Roman"/>
          <w:sz w:val="22"/>
          <w:szCs w:val="22"/>
          <w:i w:val="1"/>
          <w:iCs w:val="1"/>
          <w:color w:val="auto"/>
        </w:rPr>
        <w:t>:</w:t>
      </w:r>
    </w:p>
    <w:p>
      <w:pPr>
        <w:spacing w:after="0" w:line="254" w:lineRule="exact"/>
        <w:rPr>
          <w:sz w:val="20"/>
          <w:szCs w:val="20"/>
          <w:color w:val="auto"/>
        </w:rPr>
      </w:pPr>
    </w:p>
    <w:p>
      <w:pPr>
        <w:jc w:val="both"/>
        <w:ind w:firstLine="144"/>
        <w:spacing w:after="0" w:line="251" w:lineRule="auto"/>
        <w:tabs>
          <w:tab w:leader="none" w:pos="432" w:val="left"/>
        </w:tabs>
        <w:numPr>
          <w:ilvl w:val="0"/>
          <w:numId w:val="2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recorders with a parallel bus architecture, the ‘continuous throughput’ rate is the highest word rate multiplied by the number of bits in a word.</w:t>
      </w:r>
    </w:p>
    <w:p>
      <w:pPr>
        <w:spacing w:after="0" w:line="206" w:lineRule="exact"/>
        <w:rPr>
          <w:rFonts w:ascii="Times New Roman" w:cs="Times New Roman" w:eastAsia="Times New Roman" w:hAnsi="Times New Roman"/>
          <w:sz w:val="22"/>
          <w:szCs w:val="22"/>
          <w:i w:val="1"/>
          <w:iCs w:val="1"/>
          <w:color w:val="auto"/>
        </w:rPr>
      </w:pPr>
    </w:p>
    <w:p>
      <w:pPr>
        <w:jc w:val="both"/>
        <w:ind w:firstLine="144"/>
        <w:spacing w:after="0" w:line="248" w:lineRule="auto"/>
        <w:tabs>
          <w:tab w:leader="none" w:pos="432" w:val="left"/>
        </w:tabs>
        <w:numPr>
          <w:ilvl w:val="0"/>
          <w:numId w:val="2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‘Continuous throughput’ is the fastest data rate the instrument can record to disk or solid-state drive memory without the loss of any information while sustaining the input digital data rate or digitizer conversion rate.</w:t>
      </w:r>
    </w:p>
    <w:p>
      <w:pPr>
        <w:spacing w:after="0" w:line="214" w:lineRule="exact"/>
        <w:rPr>
          <w:sz w:val="20"/>
          <w:szCs w:val="20"/>
          <w:color w:val="auto"/>
        </w:rPr>
      </w:pPr>
    </w:p>
    <w:p>
      <w:pPr>
        <w:jc w:val="both"/>
        <w:ind w:firstLine="144"/>
        <w:spacing w:after="0" w:line="246" w:lineRule="auto"/>
        <w:rPr>
          <w:sz w:val="20"/>
          <w:szCs w:val="20"/>
          <w:color w:val="auto"/>
        </w:rPr>
      </w:pPr>
      <w:r>
        <w:rPr>
          <w:rFonts w:ascii="Times New Roman" w:cs="Times New Roman" w:eastAsia="Times New Roman" w:hAnsi="Times New Roman"/>
          <w:sz w:val="22"/>
          <w:szCs w:val="22"/>
          <w:color w:val="auto"/>
        </w:rPr>
        <w:t>a.7. Real-time oscilloscopes having a vertical root- mean-square (rms) noise voltage of less than 2% of full-scale at the vertical scale setting that provides the lowest noise value for any input 3dB bandwidth of 60 GHz or greater per channel;</w:t>
      </w:r>
    </w:p>
    <w:p>
      <w:pPr>
        <w:spacing w:after="0" w:line="211" w:lineRule="exact"/>
        <w:rPr>
          <w:sz w:val="20"/>
          <w:szCs w:val="20"/>
          <w:color w:val="auto"/>
        </w:rPr>
      </w:pPr>
    </w:p>
    <w:p>
      <w:pPr>
        <w:jc w:val="both"/>
        <w:ind w:firstLine="144"/>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3A002.a.7 does not apply to equivalent-time sampling oscilloscopes.</w:t>
      </w:r>
    </w:p>
    <w:p>
      <w:pPr>
        <w:spacing w:after="0" w:line="181" w:lineRule="exact"/>
        <w:rPr>
          <w:sz w:val="20"/>
          <w:szCs w:val="20"/>
          <w:color w:val="auto"/>
        </w:rPr>
      </w:pPr>
    </w:p>
    <w:p>
      <w:pPr>
        <w:ind w:left="220" w:hanging="220"/>
        <w:spacing w:after="0"/>
        <w:tabs>
          <w:tab w:leader="none" w:pos="220" w:val="left"/>
        </w:tabs>
        <w:numPr>
          <w:ilvl w:val="0"/>
          <w:numId w:val="2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3" w:lineRule="exact"/>
        <w:rPr>
          <w:rFonts w:ascii="Times New Roman" w:cs="Times New Roman" w:eastAsia="Times New Roman" w:hAnsi="Times New Roman"/>
          <w:sz w:val="22"/>
          <w:szCs w:val="22"/>
          <w:color w:val="auto"/>
        </w:rPr>
      </w:pPr>
    </w:p>
    <w:p>
      <w:pPr>
        <w:ind w:left="200" w:hanging="200"/>
        <w:spacing w:after="0"/>
        <w:tabs>
          <w:tab w:leader="none" w:pos="200" w:val="left"/>
        </w:tabs>
        <w:numPr>
          <w:ilvl w:val="0"/>
          <w:numId w:val="2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“Signal analyzers” as follows:</w:t>
      </w:r>
    </w:p>
    <w:p>
      <w:pPr>
        <w:spacing w:after="0" w:line="253" w:lineRule="exact"/>
        <w:rPr>
          <w:sz w:val="20"/>
          <w:szCs w:val="20"/>
          <w:color w:val="auto"/>
        </w:rPr>
      </w:pPr>
    </w:p>
    <w:p>
      <w:pPr>
        <w:jc w:val="both"/>
        <w:ind w:firstLine="144"/>
        <w:spacing w:after="0" w:line="250" w:lineRule="auto"/>
        <w:rPr>
          <w:sz w:val="20"/>
          <w:szCs w:val="20"/>
          <w:color w:val="auto"/>
        </w:rPr>
      </w:pPr>
      <w:r>
        <w:rPr>
          <w:rFonts w:ascii="Times New Roman" w:cs="Times New Roman" w:eastAsia="Times New Roman" w:hAnsi="Times New Roman"/>
          <w:sz w:val="22"/>
          <w:szCs w:val="22"/>
          <w:color w:val="auto"/>
        </w:rPr>
        <w:t>c.1. “Signal analyzers” having a 3 dB resolution bandwidth (RBW) exceeding 40 MHz anywhere within the frequency range exceeding 31.8 GHz but not exceeding 37 GHz;</w:t>
      </w:r>
    </w:p>
    <w:p>
      <w:pPr>
        <w:spacing w:after="0" w:line="211" w:lineRule="exact"/>
        <w:rPr>
          <w:sz w:val="20"/>
          <w:szCs w:val="20"/>
          <w:color w:val="auto"/>
        </w:rPr>
      </w:pPr>
    </w:p>
    <w:p>
      <w:pPr>
        <w:jc w:val="both"/>
        <w:ind w:firstLine="144"/>
        <w:spacing w:after="0" w:line="239" w:lineRule="auto"/>
        <w:rPr>
          <w:sz w:val="20"/>
          <w:szCs w:val="20"/>
          <w:color w:val="auto"/>
        </w:rPr>
      </w:pPr>
      <w:r>
        <w:rPr>
          <w:rFonts w:ascii="Times New Roman" w:cs="Times New Roman" w:eastAsia="Times New Roman" w:hAnsi="Times New Roman"/>
          <w:sz w:val="22"/>
          <w:szCs w:val="22"/>
          <w:color w:val="auto"/>
        </w:rPr>
        <w:t>c.2. “Signal analyzers” having Displayed Average Noise Level (DANL) less (better) than</w:t>
      </w:r>
    </w:p>
    <w:p>
      <w:pPr>
        <w:spacing w:after="0" w:line="1" w:lineRule="exact"/>
        <w:rPr>
          <w:sz w:val="20"/>
          <w:szCs w:val="20"/>
          <w:color w:val="auto"/>
        </w:rPr>
      </w:pPr>
    </w:p>
    <w:p>
      <w:pPr>
        <w:jc w:val="both"/>
        <w:spacing w:after="0" w:line="255" w:lineRule="auto"/>
        <w:tabs>
          <w:tab w:leader="none" w:pos="174" w:val="left"/>
        </w:tabs>
        <w:numPr>
          <w:ilvl w:val="0"/>
          <w:numId w:val="2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150 dBm/Hz anywhere within the frequency range exceeding 43.5 GHz but not exceeding 90 GHz;</w:t>
      </w:r>
    </w:p>
    <w:p>
      <w:pPr>
        <w:spacing w:after="0" w:line="206" w:lineRule="exact"/>
        <w:rPr>
          <w:sz w:val="20"/>
          <w:szCs w:val="20"/>
          <w:color w:val="auto"/>
        </w:rPr>
      </w:pPr>
    </w:p>
    <w:p>
      <w:pPr>
        <w:ind w:firstLine="144"/>
        <w:spacing w:after="0" w:line="270" w:lineRule="auto"/>
        <w:rPr>
          <w:sz w:val="20"/>
          <w:szCs w:val="20"/>
          <w:color w:val="auto"/>
        </w:rPr>
      </w:pPr>
      <w:r>
        <w:rPr>
          <w:rFonts w:ascii="Times New Roman" w:cs="Times New Roman" w:eastAsia="Times New Roman" w:hAnsi="Times New Roman"/>
          <w:sz w:val="22"/>
          <w:szCs w:val="22"/>
          <w:color w:val="auto"/>
        </w:rPr>
        <w:t>c.3. “Signal analyzers” having a frequency exceeding 90 GHz;</w:t>
      </w:r>
    </w:p>
    <w:p>
      <w:pPr>
        <w:spacing w:after="0" w:line="189" w:lineRule="exact"/>
        <w:rPr>
          <w:sz w:val="20"/>
          <w:szCs w:val="20"/>
          <w:color w:val="auto"/>
        </w:rPr>
      </w:pPr>
    </w:p>
    <w:p>
      <w:pPr>
        <w:ind w:firstLine="144"/>
        <w:spacing w:after="0" w:line="271" w:lineRule="auto"/>
        <w:rPr>
          <w:sz w:val="20"/>
          <w:szCs w:val="20"/>
          <w:color w:val="auto"/>
        </w:rPr>
      </w:pPr>
      <w:r>
        <w:rPr>
          <w:rFonts w:ascii="Times New Roman" w:cs="Times New Roman" w:eastAsia="Times New Roman" w:hAnsi="Times New Roman"/>
          <w:sz w:val="22"/>
          <w:szCs w:val="22"/>
          <w:color w:val="auto"/>
        </w:rPr>
        <w:t>c.4. “Signal analyzers” having all of the following:</w:t>
      </w:r>
    </w:p>
    <w:p>
      <w:pPr>
        <w:spacing w:after="0" w:line="188" w:lineRule="exact"/>
        <w:rPr>
          <w:sz w:val="20"/>
          <w:szCs w:val="20"/>
          <w:color w:val="auto"/>
        </w:rPr>
      </w:pPr>
    </w:p>
    <w:p>
      <w:pPr>
        <w:ind w:firstLine="576"/>
        <w:spacing w:after="0" w:line="270" w:lineRule="auto"/>
        <w:rPr>
          <w:sz w:val="20"/>
          <w:szCs w:val="20"/>
          <w:color w:val="auto"/>
        </w:rPr>
      </w:pPr>
      <w:r>
        <w:rPr>
          <w:rFonts w:ascii="Times New Roman" w:cs="Times New Roman" w:eastAsia="Times New Roman" w:hAnsi="Times New Roman"/>
          <w:sz w:val="22"/>
          <w:szCs w:val="22"/>
          <w:color w:val="auto"/>
        </w:rPr>
        <w:t xml:space="preserve">c.4.a. ‘Real-time bandwidth’ exceeding 170 MHz; </w:t>
      </w:r>
      <w:r>
        <w:rPr>
          <w:rFonts w:ascii="Times New Roman" w:cs="Times New Roman" w:eastAsia="Times New Roman" w:hAnsi="Times New Roman"/>
          <w:sz w:val="22"/>
          <w:szCs w:val="22"/>
          <w:i w:val="1"/>
          <w:iCs w:val="1"/>
          <w:color w:val="auto"/>
        </w:rPr>
        <w:t>and</w:t>
      </w:r>
    </w:p>
    <w:p>
      <w:pPr>
        <w:spacing w:after="0" w:line="636"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72"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17" w:name="page18"/>
    <w:bookmarkEnd w:id="17"/>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18</w:t>
      </w:r>
    </w:p>
    <w:p>
      <w:pPr>
        <w:sectPr>
          <w:pgSz w:w="12240" w:h="15840" w:orient="portrait"/>
          <w:cols w:equalWidth="0" w:num="1">
            <w:col w:w="9360"/>
          </w:cols>
          <w:pgMar w:left="1440" w:top="1062" w:right="1440" w:bottom="892" w:gutter="0" w:footer="0" w:header="0"/>
        </w:sectPr>
      </w:pPr>
    </w:p>
    <w:p>
      <w:pPr>
        <w:spacing w:after="0" w:line="245" w:lineRule="exact"/>
        <w:rPr>
          <w:sz w:val="20"/>
          <w:szCs w:val="20"/>
          <w:color w:val="auto"/>
        </w:rPr>
      </w:pPr>
    </w:p>
    <w:p>
      <w:pPr>
        <w:ind w:left="580"/>
        <w:spacing w:after="0"/>
        <w:rPr>
          <w:sz w:val="20"/>
          <w:szCs w:val="20"/>
          <w:color w:val="auto"/>
        </w:rPr>
      </w:pPr>
      <w:r>
        <w:rPr>
          <w:rFonts w:ascii="Times New Roman" w:cs="Times New Roman" w:eastAsia="Times New Roman" w:hAnsi="Times New Roman"/>
          <w:sz w:val="22"/>
          <w:szCs w:val="22"/>
          <w:color w:val="auto"/>
        </w:rPr>
        <w:t>c.4.b. Having any of the following:</w:t>
      </w:r>
    </w:p>
    <w:p>
      <w:pPr>
        <w:spacing w:after="0" w:line="252" w:lineRule="exact"/>
        <w:rPr>
          <w:sz w:val="20"/>
          <w:szCs w:val="20"/>
          <w:color w:val="auto"/>
        </w:rPr>
      </w:pPr>
    </w:p>
    <w:p>
      <w:pPr>
        <w:jc w:val="both"/>
        <w:ind w:firstLine="720"/>
        <w:spacing w:after="0" w:line="250" w:lineRule="auto"/>
        <w:rPr>
          <w:sz w:val="20"/>
          <w:szCs w:val="20"/>
          <w:color w:val="auto"/>
        </w:rPr>
      </w:pPr>
      <w:r>
        <w:rPr>
          <w:rFonts w:ascii="Times New Roman" w:cs="Times New Roman" w:eastAsia="Times New Roman" w:hAnsi="Times New Roman"/>
          <w:sz w:val="22"/>
          <w:szCs w:val="22"/>
          <w:color w:val="auto"/>
        </w:rPr>
        <w:t xml:space="preserve">c.4.b.1. 100% probability of discovery, with less than a 3 dB reduction from full amplitude due to gaps or windowing effects, of signals having a duration of 15 µs or less; </w:t>
      </w:r>
      <w:r>
        <w:rPr>
          <w:rFonts w:ascii="Times New Roman" w:cs="Times New Roman" w:eastAsia="Times New Roman" w:hAnsi="Times New Roman"/>
          <w:sz w:val="22"/>
          <w:szCs w:val="22"/>
          <w:i w:val="1"/>
          <w:iCs w:val="1"/>
          <w:color w:val="auto"/>
        </w:rPr>
        <w:t>or</w:t>
      </w:r>
    </w:p>
    <w:p>
      <w:pPr>
        <w:spacing w:after="0" w:line="212" w:lineRule="exact"/>
        <w:rPr>
          <w:sz w:val="20"/>
          <w:szCs w:val="20"/>
          <w:color w:val="auto"/>
        </w:rPr>
      </w:pPr>
    </w:p>
    <w:p>
      <w:pPr>
        <w:jc w:val="both"/>
        <w:ind w:firstLine="720"/>
        <w:spacing w:after="0" w:line="250" w:lineRule="auto"/>
        <w:rPr>
          <w:sz w:val="20"/>
          <w:szCs w:val="20"/>
          <w:color w:val="auto"/>
        </w:rPr>
      </w:pPr>
      <w:r>
        <w:rPr>
          <w:rFonts w:ascii="Times New Roman" w:cs="Times New Roman" w:eastAsia="Times New Roman" w:hAnsi="Times New Roman"/>
          <w:sz w:val="22"/>
          <w:szCs w:val="22"/>
          <w:color w:val="auto"/>
        </w:rPr>
        <w:t>c.4.b.2. A ‘frequency mask trigger’ function, with 100% probability of trigger (capture) for signals having a duration of 15 µs or less;</w:t>
      </w:r>
    </w:p>
    <w:p>
      <w:pPr>
        <w:spacing w:after="0" w:line="206"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54" w:lineRule="exact"/>
        <w:rPr>
          <w:sz w:val="20"/>
          <w:szCs w:val="20"/>
          <w:color w:val="auto"/>
        </w:rPr>
      </w:pPr>
    </w:p>
    <w:p>
      <w:pPr>
        <w:jc w:val="both"/>
        <w:ind w:firstLine="288"/>
        <w:spacing w:after="0" w:line="243" w:lineRule="auto"/>
        <w:tabs>
          <w:tab w:leader="none" w:pos="576" w:val="left"/>
        </w:tabs>
        <w:numPr>
          <w:ilvl w:val="0"/>
          <w:numId w:val="2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‘Real-time bandwidth’ is the widest frequency range for which the analyzer can continuously transform time-domain data entirely into frequency-domain results, using a Fourier or other discrete time transform that processes every incoming time point, without a reduction of measured amplitude of more than 3 dB below the actual signal amplitude caused by gaps or windowing effects, while outputting or displaying the transformed data.</w:t>
      </w:r>
    </w:p>
    <w:p>
      <w:pPr>
        <w:spacing w:after="0" w:line="221" w:lineRule="exact"/>
        <w:rPr>
          <w:rFonts w:ascii="Times New Roman" w:cs="Times New Roman" w:eastAsia="Times New Roman" w:hAnsi="Times New Roman"/>
          <w:sz w:val="22"/>
          <w:szCs w:val="22"/>
          <w:i w:val="1"/>
          <w:iCs w:val="1"/>
          <w:color w:val="auto"/>
        </w:rPr>
      </w:pPr>
    </w:p>
    <w:p>
      <w:pPr>
        <w:jc w:val="both"/>
        <w:ind w:firstLine="288"/>
        <w:spacing w:after="0" w:line="257" w:lineRule="auto"/>
        <w:tabs>
          <w:tab w:leader="none" w:pos="576" w:val="left"/>
        </w:tabs>
        <w:numPr>
          <w:ilvl w:val="0"/>
          <w:numId w:val="2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Probability of discovery in 3A002.c.4.b.1 is also referred to as probability of intercept or probability of capture.</w:t>
      </w:r>
    </w:p>
    <w:p>
      <w:pPr>
        <w:spacing w:after="0" w:line="198" w:lineRule="exact"/>
        <w:rPr>
          <w:rFonts w:ascii="Times New Roman" w:cs="Times New Roman" w:eastAsia="Times New Roman" w:hAnsi="Times New Roman"/>
          <w:sz w:val="22"/>
          <w:szCs w:val="22"/>
          <w:i w:val="1"/>
          <w:iCs w:val="1"/>
          <w:color w:val="auto"/>
        </w:rPr>
      </w:pPr>
    </w:p>
    <w:p>
      <w:pPr>
        <w:jc w:val="both"/>
        <w:ind w:firstLine="288"/>
        <w:spacing w:after="0" w:line="248" w:lineRule="auto"/>
        <w:tabs>
          <w:tab w:leader="none" w:pos="577" w:val="left"/>
        </w:tabs>
        <w:numPr>
          <w:ilvl w:val="0"/>
          <w:numId w:val="2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the purposes of 3A002.c.4.b.1, the duration for 100% probability of discovery is equivalent to the minimum signal duration necessary for the specified level measurement uncertainty.</w:t>
      </w:r>
    </w:p>
    <w:p>
      <w:pPr>
        <w:spacing w:after="0" w:line="210" w:lineRule="exact"/>
        <w:rPr>
          <w:rFonts w:ascii="Times New Roman" w:cs="Times New Roman" w:eastAsia="Times New Roman" w:hAnsi="Times New Roman"/>
          <w:sz w:val="22"/>
          <w:szCs w:val="22"/>
          <w:i w:val="1"/>
          <w:iCs w:val="1"/>
          <w:color w:val="auto"/>
        </w:rPr>
      </w:pPr>
    </w:p>
    <w:p>
      <w:pPr>
        <w:jc w:val="both"/>
        <w:ind w:firstLine="288"/>
        <w:spacing w:after="0" w:line="245" w:lineRule="auto"/>
        <w:tabs>
          <w:tab w:leader="none" w:pos="512" w:val="left"/>
        </w:tabs>
        <w:numPr>
          <w:ilvl w:val="0"/>
          <w:numId w:val="2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‘frequency mask trigger’ is a mechanism where the trigger function is able to select a frequency range to be triggered on as a subset of the acquisition bandwidth while ignoring other signals that may also be present within the same acquisition bandwidth. A ‘frequency mask trigger’ may contain more than one independent set of limits.</w:t>
      </w:r>
    </w:p>
    <w:p>
      <w:pPr>
        <w:spacing w:after="0" w:line="210" w:lineRule="exact"/>
        <w:rPr>
          <w:sz w:val="20"/>
          <w:szCs w:val="20"/>
          <w:color w:val="auto"/>
        </w:rPr>
      </w:pPr>
    </w:p>
    <w:p>
      <w:pPr>
        <w:jc w:val="both"/>
        <w:ind w:firstLine="288"/>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3A002.c.4 does not apply to those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“signal analyzers” using only constant percentage bandwidth filters (also known as octave or fractional octave filters).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8"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c.5. [RESERVED]</w:t>
      </w:r>
    </w:p>
    <w:p>
      <w:pPr>
        <w:spacing w:after="0" w:line="25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d. Signal generators having any of the following:</w:t>
      </w:r>
    </w:p>
    <w:p>
      <w:pPr>
        <w:spacing w:after="0" w:line="253" w:lineRule="exact"/>
        <w:rPr>
          <w:sz w:val="20"/>
          <w:szCs w:val="20"/>
          <w:color w:val="auto"/>
        </w:rPr>
      </w:pPr>
    </w:p>
    <w:p>
      <w:pPr>
        <w:jc w:val="both"/>
        <w:ind w:firstLine="144"/>
        <w:spacing w:after="0" w:line="250" w:lineRule="auto"/>
        <w:rPr>
          <w:sz w:val="20"/>
          <w:szCs w:val="20"/>
          <w:color w:val="auto"/>
        </w:rPr>
      </w:pPr>
      <w:r>
        <w:rPr>
          <w:rFonts w:ascii="Times New Roman" w:cs="Times New Roman" w:eastAsia="Times New Roman" w:hAnsi="Times New Roman"/>
          <w:sz w:val="22"/>
          <w:szCs w:val="22"/>
          <w:color w:val="auto"/>
        </w:rPr>
        <w:t>d.1. Specified to generate pulse- modulated signals having all of the following, anywhere within the frequency range exceeding 31.8 GHz but not exceeding 37 GHz:</w:t>
      </w:r>
    </w:p>
    <w:p>
      <w:pPr>
        <w:spacing w:after="0" w:line="207"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color w:val="auto"/>
        </w:rPr>
        <w:t xml:space="preserve">d.1.a. ‘Pulse duration’ of less than 25 ns; </w:t>
      </w:r>
      <w:r>
        <w:rPr>
          <w:rFonts w:ascii="Times New Roman" w:cs="Times New Roman" w:eastAsia="Times New Roman" w:hAnsi="Times New Roman"/>
          <w:sz w:val="22"/>
          <w:szCs w:val="22"/>
          <w:i w:val="1"/>
          <w:iCs w:val="1"/>
          <w:color w:val="auto"/>
        </w:rPr>
        <w:t>and</w:t>
      </w:r>
    </w:p>
    <w:p>
      <w:pPr>
        <w:spacing w:after="0" w:line="257" w:lineRule="exact"/>
        <w:rPr>
          <w:sz w:val="20"/>
          <w:szCs w:val="20"/>
          <w:color w:val="auto"/>
        </w:rPr>
      </w:pPr>
    </w:p>
    <w:p>
      <w:pPr>
        <w:jc w:val="both"/>
        <w:ind w:firstLine="720"/>
        <w:spacing w:after="0" w:line="270" w:lineRule="auto"/>
        <w:rPr>
          <w:sz w:val="20"/>
          <w:szCs w:val="20"/>
          <w:color w:val="auto"/>
        </w:rPr>
      </w:pPr>
      <w:r>
        <w:rPr>
          <w:rFonts w:ascii="Times New Roman" w:cs="Times New Roman" w:eastAsia="Times New Roman" w:hAnsi="Times New Roman"/>
          <w:sz w:val="22"/>
          <w:szCs w:val="22"/>
          <w:color w:val="auto"/>
        </w:rPr>
        <w:t>d.1.b. On/off ratio equal to or exceeding 65 dB;</w:t>
      </w:r>
    </w:p>
    <w:p>
      <w:pPr>
        <w:spacing w:after="0" w:line="189"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d.2. An output power exceeding 100 mW (20 dBm) anywhere within the frequency range exceeding 43.5 GHz but not exceeding 90 GHz;</w:t>
      </w:r>
    </w:p>
    <w:p>
      <w:pPr>
        <w:spacing w:after="0" w:line="205"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d.3. A “frequency switching time” as specified by any of the following:</w:t>
      </w:r>
    </w:p>
    <w:p>
      <w:pPr>
        <w:spacing w:after="0" w:line="188"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color w:val="auto"/>
        </w:rPr>
        <w:t>d.3.a. [Reserved]</w:t>
      </w:r>
    </w:p>
    <w:p>
      <w:pPr>
        <w:spacing w:after="0" w:line="252" w:lineRule="exact"/>
        <w:rPr>
          <w:sz w:val="20"/>
          <w:szCs w:val="20"/>
          <w:color w:val="auto"/>
        </w:rPr>
      </w:pPr>
    </w:p>
    <w:p>
      <w:pPr>
        <w:jc w:val="both"/>
        <w:ind w:firstLine="144"/>
        <w:spacing w:after="0"/>
        <w:rPr>
          <w:sz w:val="20"/>
          <w:szCs w:val="20"/>
          <w:color w:val="auto"/>
        </w:rPr>
      </w:pPr>
      <w:r>
        <w:rPr>
          <w:rFonts w:ascii="Times New Roman" w:cs="Times New Roman" w:eastAsia="Times New Roman" w:hAnsi="Times New Roman"/>
          <w:sz w:val="22"/>
          <w:szCs w:val="22"/>
          <w:color w:val="auto"/>
        </w:rPr>
        <w:t>d.3.b. Less than 100 µs for any frequency change exceeding 2.2 GHz within the frequency range exceeding 4.8 GHz but not exceeding 31.8 GHz;</w:t>
      </w:r>
    </w:p>
    <w:p>
      <w:pPr>
        <w:spacing w:after="0" w:line="1"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color w:val="auto"/>
        </w:rPr>
        <w:t>d.3.c. [Reserved]</w:t>
      </w:r>
    </w:p>
    <w:p>
      <w:pPr>
        <w:spacing w:after="0" w:line="252" w:lineRule="exact"/>
        <w:rPr>
          <w:sz w:val="20"/>
          <w:szCs w:val="20"/>
          <w:color w:val="auto"/>
        </w:rPr>
      </w:pPr>
    </w:p>
    <w:p>
      <w:pPr>
        <w:jc w:val="both"/>
        <w:ind w:firstLine="288"/>
        <w:spacing w:after="0" w:line="250" w:lineRule="auto"/>
        <w:rPr>
          <w:sz w:val="20"/>
          <w:szCs w:val="20"/>
          <w:color w:val="auto"/>
        </w:rPr>
      </w:pPr>
      <w:r>
        <w:rPr>
          <w:rFonts w:ascii="Times New Roman" w:cs="Times New Roman" w:eastAsia="Times New Roman" w:hAnsi="Times New Roman"/>
          <w:sz w:val="22"/>
          <w:szCs w:val="22"/>
          <w:color w:val="auto"/>
        </w:rPr>
        <w:t xml:space="preserve">d.3.d. Less than 500 µs for any frequency change exceeding 550 MHz within the frequency range exceeding 31.8 GHz but not exceeding 37 GHz;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jc w:val="both"/>
        <w:ind w:firstLine="288"/>
        <w:spacing w:after="0" w:line="250" w:lineRule="auto"/>
        <w:rPr>
          <w:sz w:val="20"/>
          <w:szCs w:val="20"/>
          <w:color w:val="auto"/>
        </w:rPr>
      </w:pPr>
      <w:r>
        <w:rPr>
          <w:rFonts w:ascii="Times New Roman" w:cs="Times New Roman" w:eastAsia="Times New Roman" w:hAnsi="Times New Roman"/>
          <w:sz w:val="22"/>
          <w:szCs w:val="22"/>
          <w:color w:val="auto"/>
        </w:rPr>
        <w:t>d.3.e. Less than 100 µs for any frequency change exceeding 2.2 GHz within the frequency range exceeding 37 GHz but not exceeding 90 GHz;</w:t>
      </w:r>
    </w:p>
    <w:p>
      <w:pPr>
        <w:spacing w:after="0" w:line="211"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color w:val="auto"/>
        </w:rPr>
        <w:t>d.3.f. [Reserved]</w:t>
      </w:r>
    </w:p>
    <w:p>
      <w:pPr>
        <w:spacing w:after="0" w:line="253"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d.4. Single sideband (SSB) phase noise, in dBc/Hz, specified as being any of the following:</w:t>
      </w:r>
    </w:p>
    <w:p>
      <w:pPr>
        <w:spacing w:after="0" w:line="188"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d.4.a. Less (better) thaṉ -(126 + 20 log</w:t>
      </w:r>
      <w:r>
        <w:rPr>
          <w:rFonts w:ascii="Times New Roman" w:cs="Times New Roman" w:eastAsia="Times New Roman" w:hAnsi="Times New Roman"/>
          <w:sz w:val="14"/>
          <w:szCs w:val="14"/>
          <w:color w:val="auto"/>
        </w:rPr>
        <w:t>10</w:t>
      </w:r>
      <w:r>
        <w:rPr>
          <w:rFonts w:ascii="Times New Roman" w:cs="Times New Roman" w:eastAsia="Times New Roman" w:hAnsi="Times New Roman"/>
          <w:sz w:val="22"/>
          <w:szCs w:val="22"/>
          <w:color w:val="auto"/>
        </w:rPr>
        <w:t xml:space="preserve"> F - 20log</w:t>
      </w:r>
      <w:r>
        <w:rPr>
          <w:rFonts w:ascii="Times New Roman" w:cs="Times New Roman" w:eastAsia="Times New Roman" w:hAnsi="Times New Roman"/>
          <w:sz w:val="14"/>
          <w:szCs w:val="14"/>
          <w:color w:val="auto"/>
        </w:rPr>
        <w:t>10</w:t>
      </w:r>
      <w:r>
        <w:rPr>
          <w:rFonts w:ascii="Times New Roman" w:cs="Times New Roman" w:eastAsia="Times New Roman" w:hAnsi="Times New Roman"/>
          <w:sz w:val="22"/>
          <w:szCs w:val="22"/>
          <w:color w:val="auto"/>
        </w:rPr>
        <w:t>f) for anywhere within the range of 10 Hz ≤ F ≤ 10 kHz anywhere within the frequency</w:t>
      </w:r>
    </w:p>
    <w:p>
      <w:pPr>
        <w:spacing w:after="0" w:line="200"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271"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18" w:name="page19"/>
    <w:bookmarkEnd w:id="18"/>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19</w:t>
      </w:r>
    </w:p>
    <w:p>
      <w:pPr>
        <w:sectPr>
          <w:pgSz w:w="12240" w:h="15840" w:orient="portrait"/>
          <w:cols w:equalWidth="0" w:num="1">
            <w:col w:w="9360"/>
          </w:cols>
          <w:pgMar w:left="1440" w:top="1062" w:right="1440" w:bottom="892" w:gutter="0" w:footer="0" w:header="0"/>
        </w:sectPr>
      </w:pPr>
    </w:p>
    <w:p>
      <w:pPr>
        <w:spacing w:after="0" w:line="245"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 xml:space="preserve">range exceeding 3.2 GHz but not exceeding 90 GHz;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288"/>
        <w:spacing w:after="0" w:line="248" w:lineRule="auto"/>
        <w:rPr>
          <w:sz w:val="20"/>
          <w:szCs w:val="20"/>
          <w:color w:val="auto"/>
        </w:rPr>
      </w:pPr>
      <w:r>
        <w:rPr>
          <w:rFonts w:ascii="Times New Roman" w:cs="Times New Roman" w:eastAsia="Times New Roman" w:hAnsi="Times New Roman"/>
          <w:sz w:val="22"/>
          <w:szCs w:val="22"/>
          <w:color w:val="auto"/>
        </w:rPr>
        <w:t>d.4.b. Less (better) than ̵(206 ̵20log</w:t>
      </w:r>
      <w:r>
        <w:rPr>
          <w:rFonts w:ascii="Times New Roman" w:cs="Times New Roman" w:eastAsia="Times New Roman" w:hAnsi="Times New Roman"/>
          <w:sz w:val="14"/>
          <w:szCs w:val="14"/>
          <w:color w:val="auto"/>
        </w:rPr>
        <w:t>10</w:t>
      </w:r>
      <w:r>
        <w:rPr>
          <w:rFonts w:ascii="Times New Roman" w:cs="Times New Roman" w:eastAsia="Times New Roman" w:hAnsi="Times New Roman"/>
          <w:sz w:val="22"/>
          <w:szCs w:val="22"/>
          <w:color w:val="auto"/>
        </w:rPr>
        <w:t xml:space="preserve">f) for anywhere within the range of 10 kHz &lt; F ≤ 100 kHz anywhere within the frequency range exceeding 3.2 GHz but not exceeding 90 GHz; </w:t>
      </w:r>
      <w:r>
        <w:rPr>
          <w:rFonts w:ascii="Times New Roman" w:cs="Times New Roman" w:eastAsia="Times New Roman" w:hAnsi="Times New Roman"/>
          <w:sz w:val="22"/>
          <w:szCs w:val="22"/>
          <w:i w:val="1"/>
          <w:iCs w:val="1"/>
          <w:color w:val="auto"/>
        </w:rPr>
        <w:t>or</w:t>
      </w:r>
    </w:p>
    <w:p>
      <w:pPr>
        <w:spacing w:after="0" w:line="206" w:lineRule="exact"/>
        <w:rPr>
          <w:sz w:val="20"/>
          <w:szCs w:val="20"/>
          <w:color w:val="auto"/>
        </w:rPr>
      </w:pPr>
    </w:p>
    <w:p>
      <w:pPr>
        <w:jc w:val="both"/>
        <w:ind w:firstLine="144"/>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In 3A002.d.4, F is the offset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from the operating frequency in Hz and f is the operating frequency in MHz.</w:t>
      </w:r>
    </w:p>
    <w:p>
      <w:pPr>
        <w:spacing w:after="0" w:line="201"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d.5. A maximum frequency exceeding 90 GHz;</w:t>
      </w:r>
    </w:p>
    <w:p>
      <w:pPr>
        <w:spacing w:after="0" w:line="183" w:lineRule="exact"/>
        <w:rPr>
          <w:sz w:val="20"/>
          <w:szCs w:val="20"/>
          <w:color w:val="auto"/>
        </w:rPr>
      </w:pPr>
    </w:p>
    <w:p>
      <w:pPr>
        <w:jc w:val="both"/>
        <w:ind w:firstLine="144"/>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Note 1</w:t>
      </w:r>
      <w:r>
        <w:rPr>
          <w:rFonts w:ascii="Times New Roman" w:cs="Times New Roman" w:eastAsia="Times New Roman" w:hAnsi="Times New Roman"/>
          <w:sz w:val="22"/>
          <w:szCs w:val="22"/>
          <w:i w:val="1"/>
          <w:iCs w:val="1"/>
          <w:color w:val="auto"/>
        </w:rPr>
        <w:t>: For the purpose of 3A002.d, signal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generators include arbitrary waveform and function generators.</w:t>
      </w:r>
    </w:p>
    <w:p>
      <w:pPr>
        <w:spacing w:after="0" w:line="199" w:lineRule="exact"/>
        <w:rPr>
          <w:sz w:val="20"/>
          <w:szCs w:val="20"/>
          <w:color w:val="auto"/>
        </w:rPr>
      </w:pPr>
    </w:p>
    <w:p>
      <w:pPr>
        <w:jc w:val="both"/>
        <w:ind w:firstLine="144"/>
        <w:spacing w:after="0" w:line="247" w:lineRule="auto"/>
        <w:rPr>
          <w:sz w:val="20"/>
          <w:szCs w:val="20"/>
          <w:color w:val="auto"/>
        </w:rPr>
      </w:pPr>
      <w:r>
        <w:rPr>
          <w:rFonts w:ascii="Times New Roman" w:cs="Times New Roman" w:eastAsia="Times New Roman" w:hAnsi="Times New Roman"/>
          <w:sz w:val="22"/>
          <w:szCs w:val="22"/>
          <w:b w:val="1"/>
          <w:bCs w:val="1"/>
          <w:i w:val="1"/>
          <w:iCs w:val="1"/>
          <w:color w:val="auto"/>
        </w:rPr>
        <w:t>Note 2</w:t>
      </w:r>
      <w:r>
        <w:rPr>
          <w:rFonts w:ascii="Times New Roman" w:cs="Times New Roman" w:eastAsia="Times New Roman" w:hAnsi="Times New Roman"/>
          <w:sz w:val="22"/>
          <w:szCs w:val="22"/>
          <w:i w:val="1"/>
          <w:iCs w:val="1"/>
          <w:color w:val="auto"/>
        </w:rPr>
        <w:t>: 3A002.d does not control equipment in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which the output frequency is either produced by the addition or subtraction of two or more crystal oscillator frequencies, or by an addition or subtraction followed by a multiplication of the result.</w:t>
      </w:r>
    </w:p>
    <w:p>
      <w:pPr>
        <w:spacing w:after="0" w:line="20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b w:val="1"/>
          <w:bCs w:val="1"/>
          <w:color w:val="auto"/>
        </w:rPr>
        <w:t>s:</w:t>
      </w:r>
    </w:p>
    <w:p>
      <w:pPr>
        <w:spacing w:after="0" w:line="254" w:lineRule="exact"/>
        <w:rPr>
          <w:sz w:val="20"/>
          <w:szCs w:val="20"/>
          <w:color w:val="auto"/>
        </w:rPr>
      </w:pPr>
    </w:p>
    <w:p>
      <w:pPr>
        <w:jc w:val="both"/>
        <w:ind w:left="180"/>
        <w:spacing w:after="0" w:line="251" w:lineRule="auto"/>
        <w:tabs>
          <w:tab w:leader="none" w:pos="467" w:val="left"/>
        </w:tabs>
        <w:numPr>
          <w:ilvl w:val="1"/>
          <w:numId w:val="29"/>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The maximum frequency of an arbitrary waveform or function generator is calculated by dividing the sample rate, in samples/second, by a factor of 2.5.</w:t>
      </w:r>
    </w:p>
    <w:p>
      <w:pPr>
        <w:spacing w:after="0" w:line="207" w:lineRule="exact"/>
        <w:rPr>
          <w:rFonts w:ascii="Times New Roman" w:cs="Times New Roman" w:eastAsia="Times New Roman" w:hAnsi="Times New Roman"/>
          <w:sz w:val="22"/>
          <w:szCs w:val="22"/>
          <w:b w:val="1"/>
          <w:bCs w:val="1"/>
          <w:i w:val="1"/>
          <w:iCs w:val="1"/>
          <w:color w:val="auto"/>
        </w:rPr>
      </w:pPr>
    </w:p>
    <w:p>
      <w:pPr>
        <w:jc w:val="both"/>
        <w:ind w:left="180"/>
        <w:spacing w:after="0" w:line="248" w:lineRule="auto"/>
        <w:tabs>
          <w:tab w:leader="none" w:pos="470" w:val="left"/>
        </w:tabs>
        <w:numPr>
          <w:ilvl w:val="1"/>
          <w:numId w:val="29"/>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For the purposes of 3A002.d.1.a, ‘pulse duration’ is defined as the time interval from the point on the leading edge that is 50% of the pulse amplitude to the point on the trailing edge that is 50% of the pulse amplitude.</w:t>
      </w:r>
    </w:p>
    <w:p>
      <w:pPr>
        <w:spacing w:after="0" w:line="212" w:lineRule="exact"/>
        <w:rPr>
          <w:rFonts w:ascii="Times New Roman" w:cs="Times New Roman" w:eastAsia="Times New Roman" w:hAnsi="Times New Roman"/>
          <w:sz w:val="22"/>
          <w:szCs w:val="22"/>
          <w:b w:val="1"/>
          <w:bCs w:val="1"/>
          <w:i w:val="1"/>
          <w:iCs w:val="1"/>
          <w:color w:val="auto"/>
        </w:rPr>
      </w:pPr>
    </w:p>
    <w:p>
      <w:pPr>
        <w:spacing w:after="0" w:line="271" w:lineRule="auto"/>
        <w:tabs>
          <w:tab w:leader="none" w:pos="353" w:val="left"/>
        </w:tabs>
        <w:numPr>
          <w:ilvl w:val="0"/>
          <w:numId w:val="3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Network analyzers having any of the following:</w:t>
      </w:r>
    </w:p>
    <w:p>
      <w:pPr>
        <w:spacing w:after="0" w:line="188" w:lineRule="exact"/>
        <w:rPr>
          <w:sz w:val="20"/>
          <w:szCs w:val="20"/>
          <w:color w:val="auto"/>
        </w:rPr>
      </w:pPr>
    </w:p>
    <w:p>
      <w:pPr>
        <w:jc w:val="both"/>
        <w:ind w:firstLine="144"/>
        <w:spacing w:after="0" w:line="250" w:lineRule="auto"/>
        <w:rPr>
          <w:sz w:val="20"/>
          <w:szCs w:val="20"/>
          <w:color w:val="auto"/>
        </w:rPr>
      </w:pPr>
      <w:r>
        <w:rPr>
          <w:rFonts w:ascii="Times New Roman" w:cs="Times New Roman" w:eastAsia="Times New Roman" w:hAnsi="Times New Roman"/>
          <w:sz w:val="22"/>
          <w:szCs w:val="22"/>
          <w:color w:val="auto"/>
        </w:rPr>
        <w:t>e.1. An output power exceeding 31.62 mW (15 dBm) anywhere within the operating frequency range exceeding 43.5 GHz but not exceeding 90 GHz;</w:t>
      </w:r>
    </w:p>
    <w:p>
      <w:pPr>
        <w:spacing w:after="0" w:line="20" w:lineRule="exact"/>
        <w:rPr>
          <w:sz w:val="20"/>
          <w:szCs w:val="20"/>
          <w:color w:val="auto"/>
        </w:rPr>
      </w:pPr>
      <w:r>
        <w:rPr>
          <w:sz w:val="20"/>
          <w:szCs w:val="20"/>
          <w:color w:val="auto"/>
        </w:rPr>
        <w:br w:type="column"/>
      </w:r>
    </w:p>
    <w:p>
      <w:pPr>
        <w:spacing w:after="0" w:line="225" w:lineRule="exact"/>
        <w:rPr>
          <w:sz w:val="20"/>
          <w:szCs w:val="20"/>
          <w:color w:val="auto"/>
        </w:rPr>
      </w:pPr>
    </w:p>
    <w:p>
      <w:pPr>
        <w:jc w:val="both"/>
        <w:ind w:firstLine="144"/>
        <w:spacing w:after="0" w:line="250" w:lineRule="auto"/>
        <w:rPr>
          <w:sz w:val="20"/>
          <w:szCs w:val="20"/>
          <w:color w:val="auto"/>
        </w:rPr>
      </w:pPr>
      <w:r>
        <w:rPr>
          <w:rFonts w:ascii="Times New Roman" w:cs="Times New Roman" w:eastAsia="Times New Roman" w:hAnsi="Times New Roman"/>
          <w:sz w:val="22"/>
          <w:szCs w:val="22"/>
          <w:color w:val="auto"/>
        </w:rPr>
        <w:t>e.2. An output power exceeding 1 mW (0 dBm) anywhere within the operating frequency range exceeding 90 GHz but not exceeding 110 GHz;</w:t>
      </w:r>
    </w:p>
    <w:p>
      <w:pPr>
        <w:spacing w:after="0" w:line="211"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 xml:space="preserve">e.3. ‘Nonlinear vector measurement functionality’ at frequencies exceeding 50 GHz but not exceeding 110 GHz; </w:t>
      </w:r>
      <w:r>
        <w:rPr>
          <w:rFonts w:ascii="Times New Roman" w:cs="Times New Roman" w:eastAsia="Times New Roman" w:hAnsi="Times New Roman"/>
          <w:sz w:val="22"/>
          <w:szCs w:val="22"/>
          <w:i w:val="1"/>
          <w:iCs w:val="1"/>
          <w:color w:val="auto"/>
        </w:rPr>
        <w:t>or</w:t>
      </w:r>
    </w:p>
    <w:p>
      <w:pPr>
        <w:spacing w:after="0" w:line="200" w:lineRule="exact"/>
        <w:rPr>
          <w:sz w:val="20"/>
          <w:szCs w:val="20"/>
          <w:color w:val="auto"/>
        </w:rPr>
      </w:pPr>
    </w:p>
    <w:p>
      <w:pPr>
        <w:jc w:val="both"/>
        <w:ind w:firstLine="144"/>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‘Nonlinear vector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measurement functionality’ is an instrument’s ability to analyze the test results of devices driven into the large-signal domain or the non-linear distortion range.</w:t>
      </w:r>
    </w:p>
    <w:p>
      <w:pPr>
        <w:spacing w:after="0" w:line="210" w:lineRule="exact"/>
        <w:rPr>
          <w:sz w:val="20"/>
          <w:szCs w:val="20"/>
          <w:color w:val="auto"/>
        </w:rPr>
      </w:pPr>
    </w:p>
    <w:p>
      <w:pPr>
        <w:jc w:val="both"/>
        <w:ind w:firstLine="110"/>
        <w:spacing w:after="0" w:line="271" w:lineRule="auto"/>
        <w:rPr>
          <w:sz w:val="20"/>
          <w:szCs w:val="20"/>
          <w:color w:val="auto"/>
        </w:rPr>
      </w:pPr>
      <w:r>
        <w:rPr>
          <w:rFonts w:ascii="Times New Roman" w:cs="Times New Roman" w:eastAsia="Times New Roman" w:hAnsi="Times New Roman"/>
          <w:sz w:val="22"/>
          <w:szCs w:val="22"/>
          <w:color w:val="auto"/>
        </w:rPr>
        <w:t>e.4. A maximum operating frequency exceeding 110 GHz;</w:t>
      </w:r>
    </w:p>
    <w:p>
      <w:pPr>
        <w:spacing w:after="0" w:line="187"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f. Microwave test receivers having all of the following:</w:t>
      </w:r>
    </w:p>
    <w:p>
      <w:pPr>
        <w:spacing w:after="0" w:line="188"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 xml:space="preserve">f.1. Maximum operating frequency exceeding 110 GHz; </w:t>
      </w:r>
      <w:r>
        <w:rPr>
          <w:rFonts w:ascii="Times New Roman" w:cs="Times New Roman" w:eastAsia="Times New Roman" w:hAnsi="Times New Roman"/>
          <w:sz w:val="22"/>
          <w:szCs w:val="22"/>
          <w:i w:val="1"/>
          <w:iCs w:val="1"/>
          <w:color w:val="auto"/>
        </w:rPr>
        <w:t>and</w:t>
      </w:r>
    </w:p>
    <w:p>
      <w:pPr>
        <w:spacing w:after="0" w:line="187"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f.2. Being capable of measuring amplitude and phase simultaneously;</w:t>
      </w:r>
    </w:p>
    <w:p>
      <w:pPr>
        <w:spacing w:after="0" w:line="188"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g. Atomic frequency standards being any of the following:</w:t>
      </w:r>
    </w:p>
    <w:p>
      <w:pPr>
        <w:spacing w:after="0" w:line="187"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g.1. “Space-qualified”;</w:t>
      </w:r>
    </w:p>
    <w:p>
      <w:pPr>
        <w:spacing w:after="0" w:line="253" w:lineRule="exact"/>
        <w:rPr>
          <w:sz w:val="20"/>
          <w:szCs w:val="20"/>
          <w:color w:val="auto"/>
        </w:rPr>
      </w:pPr>
    </w:p>
    <w:p>
      <w:pPr>
        <w:jc w:val="both"/>
        <w:ind w:firstLine="144"/>
        <w:spacing w:after="0" w:line="285" w:lineRule="auto"/>
        <w:rPr>
          <w:sz w:val="20"/>
          <w:szCs w:val="20"/>
          <w:color w:val="auto"/>
        </w:rPr>
      </w:pPr>
      <w:r>
        <w:rPr>
          <w:rFonts w:ascii="Times New Roman" w:cs="Times New Roman" w:eastAsia="Times New Roman" w:hAnsi="Times New Roman"/>
          <w:sz w:val="22"/>
          <w:szCs w:val="22"/>
          <w:color w:val="auto"/>
        </w:rPr>
        <w:t>g.2. Non-rubidium and having a long-term stability less (better) than 1 x 10</w:t>
      </w:r>
      <w:r>
        <w:rPr>
          <w:rFonts w:ascii="Times New Roman" w:cs="Times New Roman" w:eastAsia="Times New Roman" w:hAnsi="Times New Roman"/>
          <w:sz w:val="28"/>
          <w:szCs w:val="28"/>
          <w:color w:val="auto"/>
          <w:vertAlign w:val="superscript"/>
        </w:rPr>
        <w:t>-11</w:t>
      </w:r>
      <w:r>
        <w:rPr>
          <w:rFonts w:ascii="Times New Roman" w:cs="Times New Roman" w:eastAsia="Times New Roman" w:hAnsi="Times New Roman"/>
          <w:sz w:val="22"/>
          <w:szCs w:val="22"/>
          <w:color w:val="auto"/>
        </w:rPr>
        <w:t xml:space="preserve">/month; </w:t>
      </w:r>
      <w:r>
        <w:rPr>
          <w:rFonts w:ascii="Times New Roman" w:cs="Times New Roman" w:eastAsia="Times New Roman" w:hAnsi="Times New Roman"/>
          <w:sz w:val="22"/>
          <w:szCs w:val="22"/>
          <w:i w:val="1"/>
          <w:iCs w:val="1"/>
          <w:color w:val="auto"/>
        </w:rPr>
        <w:t>or</w:t>
      </w:r>
    </w:p>
    <w:p>
      <w:pPr>
        <w:spacing w:after="0" w:line="76"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g.3. Non-”space-qualified” and having all of the following:</w:t>
      </w:r>
    </w:p>
    <w:p>
      <w:pPr>
        <w:spacing w:after="0" w:line="188"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color w:val="auto"/>
        </w:rPr>
        <w:t>g.3.a. Being a rubidium standard;</w:t>
      </w:r>
    </w:p>
    <w:p>
      <w:pPr>
        <w:spacing w:after="0" w:line="252" w:lineRule="exact"/>
        <w:rPr>
          <w:sz w:val="20"/>
          <w:szCs w:val="20"/>
          <w:color w:val="auto"/>
        </w:rPr>
      </w:pPr>
    </w:p>
    <w:p>
      <w:pPr>
        <w:jc w:val="both"/>
        <w:ind w:firstLine="288"/>
        <w:spacing w:after="0" w:line="285" w:lineRule="auto"/>
        <w:rPr>
          <w:sz w:val="20"/>
          <w:szCs w:val="20"/>
          <w:color w:val="auto"/>
        </w:rPr>
      </w:pPr>
      <w:r>
        <w:rPr>
          <w:rFonts w:ascii="Times New Roman" w:cs="Times New Roman" w:eastAsia="Times New Roman" w:hAnsi="Times New Roman"/>
          <w:sz w:val="22"/>
          <w:szCs w:val="22"/>
          <w:color w:val="auto"/>
        </w:rPr>
        <w:t>g.3.b. Long-term stability less (better) than 1 x 10</w:t>
      </w:r>
      <w:r>
        <w:rPr>
          <w:rFonts w:ascii="Times New Roman" w:cs="Times New Roman" w:eastAsia="Times New Roman" w:hAnsi="Times New Roman"/>
          <w:sz w:val="28"/>
          <w:szCs w:val="28"/>
          <w:color w:val="auto"/>
          <w:vertAlign w:val="superscript"/>
        </w:rPr>
        <w:t>-11</w:t>
      </w:r>
      <w:r>
        <w:rPr>
          <w:rFonts w:ascii="Times New Roman" w:cs="Times New Roman" w:eastAsia="Times New Roman" w:hAnsi="Times New Roman"/>
          <w:sz w:val="22"/>
          <w:szCs w:val="22"/>
          <w:color w:val="auto"/>
        </w:rPr>
        <w:t xml:space="preserve">/month; </w:t>
      </w:r>
      <w:r>
        <w:rPr>
          <w:rFonts w:ascii="Times New Roman" w:cs="Times New Roman" w:eastAsia="Times New Roman" w:hAnsi="Times New Roman"/>
          <w:sz w:val="22"/>
          <w:szCs w:val="22"/>
          <w:i w:val="1"/>
          <w:iCs w:val="1"/>
          <w:color w:val="auto"/>
        </w:rPr>
        <w:t>and</w:t>
      </w:r>
    </w:p>
    <w:p>
      <w:pPr>
        <w:spacing w:after="0" w:line="77"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g.3.c. Total power consumption of less than 1 Watt.</w:t>
      </w:r>
    </w:p>
    <w:p>
      <w:pPr>
        <w:spacing w:after="0" w:line="187"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h. “Electronic assemblies”, modules or equipment, specified to perform all of the</w:t>
      </w:r>
    </w:p>
    <w:p>
      <w:pPr>
        <w:spacing w:after="0" w:line="200"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254"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19" w:name="page20"/>
    <w:bookmarkEnd w:id="19"/>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20</w:t>
      </w:r>
    </w:p>
    <w:p>
      <w:pPr>
        <w:sectPr>
          <w:pgSz w:w="12240" w:h="15840" w:orient="portrait"/>
          <w:cols w:equalWidth="0" w:num="1">
            <w:col w:w="9480"/>
          </w:cols>
          <w:pgMar w:left="1440" w:top="1062" w:right="1320" w:bottom="892" w:gutter="0" w:footer="0" w:header="0"/>
        </w:sectPr>
      </w:pPr>
    </w:p>
    <w:p>
      <w:pPr>
        <w:spacing w:after="0" w:line="24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following:</w:t>
      </w:r>
    </w:p>
    <w:p>
      <w:pPr>
        <w:spacing w:after="0" w:line="252"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h.1. Analog-to- digital conversions meeting any of the following:</w:t>
      </w:r>
    </w:p>
    <w:p>
      <w:pPr>
        <w:spacing w:after="0" w:line="188"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h.1.a. A resolution of 8 bit or more, but less than 10 bit, with an input sample rate greater than 1.3 Giga Samples Per Second (GSPS);</w:t>
      </w:r>
    </w:p>
    <w:p>
      <w:pPr>
        <w:spacing w:after="0" w:line="205"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h.1.b. A resolution of 10 bit or more, but less than 12 bit, with an input sample rate greater than 1.0 GSPS;</w:t>
      </w:r>
    </w:p>
    <w:p>
      <w:pPr>
        <w:spacing w:after="0" w:line="205"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h.1.c. A resolution of 12 bit or more, but less than 14 bit, with an input sample rate greater than 1.0 GSPS;</w:t>
      </w:r>
    </w:p>
    <w:p>
      <w:pPr>
        <w:spacing w:after="0" w:line="206"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 xml:space="preserve">h.1.d. A resolution of 14 bit or more but less than 16 bit, with an input sample rate greater than 400 Mega Samples Per Second (MSPS); </w:t>
      </w:r>
      <w:r>
        <w:rPr>
          <w:rFonts w:ascii="Times New Roman" w:cs="Times New Roman" w:eastAsia="Times New Roman" w:hAnsi="Times New Roman"/>
          <w:sz w:val="22"/>
          <w:szCs w:val="22"/>
          <w:i w:val="1"/>
          <w:iCs w:val="1"/>
          <w:color w:val="auto"/>
        </w:rPr>
        <w:t>or</w:t>
      </w:r>
    </w:p>
    <w:p>
      <w:pPr>
        <w:spacing w:after="0" w:line="205"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 xml:space="preserve">h.1.e. A resolution of 16 bit or more with an input sample rate greater than 180 MSPS; </w:t>
      </w:r>
      <w:r>
        <w:rPr>
          <w:rFonts w:ascii="Times New Roman" w:cs="Times New Roman" w:eastAsia="Times New Roman" w:hAnsi="Times New Roman"/>
          <w:sz w:val="22"/>
          <w:szCs w:val="22"/>
          <w:i w:val="1"/>
          <w:iCs w:val="1"/>
          <w:color w:val="auto"/>
        </w:rPr>
        <w:t>and</w:t>
      </w:r>
    </w:p>
    <w:p>
      <w:pPr>
        <w:spacing w:after="0" w:line="187"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h.2. Any of the following:</w:t>
      </w:r>
    </w:p>
    <w:p>
      <w:pPr>
        <w:spacing w:after="0" w:line="253" w:lineRule="exact"/>
        <w:rPr>
          <w:sz w:val="20"/>
          <w:szCs w:val="20"/>
          <w:color w:val="auto"/>
        </w:rPr>
      </w:pPr>
    </w:p>
    <w:p>
      <w:pPr>
        <w:ind w:left="280" w:right="1000"/>
        <w:spacing w:after="0" w:line="478" w:lineRule="auto"/>
        <w:rPr>
          <w:sz w:val="20"/>
          <w:szCs w:val="20"/>
          <w:color w:val="auto"/>
        </w:rPr>
      </w:pPr>
      <w:r>
        <w:rPr>
          <w:rFonts w:ascii="Times New Roman" w:cs="Times New Roman" w:eastAsia="Times New Roman" w:hAnsi="Times New Roman"/>
          <w:sz w:val="22"/>
          <w:szCs w:val="22"/>
          <w:color w:val="auto"/>
        </w:rPr>
        <w:t xml:space="preserve">h.2.a. Output of digitized data; h.2.b. Storage of digitized data; </w:t>
      </w:r>
      <w:r>
        <w:rPr>
          <w:rFonts w:ascii="Times New Roman" w:cs="Times New Roman" w:eastAsia="Times New Roman" w:hAnsi="Times New Roman"/>
          <w:sz w:val="22"/>
          <w:szCs w:val="22"/>
          <w:i w:val="1"/>
          <w:iCs w:val="1"/>
          <w:color w:val="auto"/>
        </w:rPr>
        <w:t>or</w:t>
      </w:r>
      <w:r>
        <w:rPr>
          <w:rFonts w:ascii="Times New Roman" w:cs="Times New Roman" w:eastAsia="Times New Roman" w:hAnsi="Times New Roman"/>
          <w:sz w:val="22"/>
          <w:szCs w:val="22"/>
          <w:color w:val="auto"/>
        </w:rPr>
        <w:t xml:space="preserve"> h.2.c. Processing of digitized data;</w:t>
      </w:r>
    </w:p>
    <w:p>
      <w:pPr>
        <w:spacing w:after="0" w:line="2" w:lineRule="exact"/>
        <w:rPr>
          <w:sz w:val="20"/>
          <w:szCs w:val="20"/>
          <w:color w:val="auto"/>
        </w:rPr>
      </w:pPr>
    </w:p>
    <w:p>
      <w:pPr>
        <w:jc w:val="both"/>
        <w:ind w:firstLine="144"/>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w:t>
      </w:r>
      <w:r>
        <w:rPr>
          <w:rFonts w:ascii="Times New Roman" w:cs="Times New Roman" w:eastAsia="Times New Roman" w:hAnsi="Times New Roman"/>
          <w:sz w:val="22"/>
          <w:szCs w:val="22"/>
          <w:i w:val="1"/>
          <w:iCs w:val="1"/>
          <w:color w:val="auto"/>
        </w:rPr>
        <w:t>Digital data recorders, oscilloscopes,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“signal analyzers”, signal generators, network analyzers and microwave test receivers, are specified by 3A002.a.6, 3A002.a.7, 3A002.c, 3A002.d, 3A002.e and 3A002.f, respectively.</w:t>
      </w:r>
    </w:p>
    <w:p>
      <w:pPr>
        <w:spacing w:after="0" w:line="206"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54" w:lineRule="exact"/>
        <w:rPr>
          <w:sz w:val="20"/>
          <w:szCs w:val="20"/>
          <w:color w:val="auto"/>
        </w:rPr>
      </w:pPr>
    </w:p>
    <w:p>
      <w:pPr>
        <w:ind w:left="280" w:hanging="10"/>
        <w:spacing w:after="0" w:line="288" w:lineRule="auto"/>
        <w:tabs>
          <w:tab w:leader="none" w:pos="587" w:val="left"/>
        </w:tabs>
        <w:numPr>
          <w:ilvl w:val="0"/>
          <w:numId w:val="3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resolution of n bit corresponds to a quantization of 2</w:t>
      </w:r>
      <w:r>
        <w:rPr>
          <w:rFonts w:ascii="Times New Roman" w:cs="Times New Roman" w:eastAsia="Times New Roman" w:hAnsi="Times New Roman"/>
          <w:sz w:val="28"/>
          <w:szCs w:val="28"/>
          <w:i w:val="1"/>
          <w:iCs w:val="1"/>
          <w:color w:val="auto"/>
          <w:vertAlign w:val="superscript"/>
        </w:rPr>
        <w:t>n</w:t>
      </w:r>
      <w:r>
        <w:rPr>
          <w:rFonts w:ascii="Times New Roman" w:cs="Times New Roman" w:eastAsia="Times New Roman" w:hAnsi="Times New Roman"/>
          <w:sz w:val="22"/>
          <w:szCs w:val="22"/>
          <w:i w:val="1"/>
          <w:iCs w:val="1"/>
          <w:color w:val="auto"/>
        </w:rPr>
        <w:t xml:space="preserve"> levels.</w:t>
      </w:r>
    </w:p>
    <w:p>
      <w:pPr>
        <w:spacing w:after="0" w:line="69" w:lineRule="exact"/>
        <w:rPr>
          <w:rFonts w:ascii="Times New Roman" w:cs="Times New Roman" w:eastAsia="Times New Roman" w:hAnsi="Times New Roman"/>
          <w:sz w:val="22"/>
          <w:szCs w:val="22"/>
          <w:i w:val="1"/>
          <w:iCs w:val="1"/>
          <w:color w:val="auto"/>
        </w:rPr>
      </w:pPr>
    </w:p>
    <w:p>
      <w:pPr>
        <w:jc w:val="both"/>
        <w:ind w:left="280" w:hanging="10"/>
        <w:spacing w:after="0" w:line="248" w:lineRule="auto"/>
        <w:tabs>
          <w:tab w:leader="none" w:pos="587" w:val="left"/>
        </w:tabs>
        <w:numPr>
          <w:ilvl w:val="0"/>
          <w:numId w:val="3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The resolution of the ADC is the number of bits in of the digital output of the ADC that represents the measured analog input word. Effective Number of Bits (ENOB) is not used to determine the resolution of the ADC.</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5" w:lineRule="exact"/>
        <w:rPr>
          <w:sz w:val="20"/>
          <w:szCs w:val="20"/>
          <w:color w:val="auto"/>
        </w:rPr>
      </w:pPr>
    </w:p>
    <w:p>
      <w:pPr>
        <w:jc w:val="both"/>
        <w:ind w:left="280" w:right="120" w:hanging="10"/>
        <w:spacing w:after="0" w:line="248" w:lineRule="auto"/>
        <w:tabs>
          <w:tab w:leader="none" w:pos="586" w:val="left"/>
        </w:tabs>
        <w:numPr>
          <w:ilvl w:val="0"/>
          <w:numId w:val="3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non-interleaved multiple-channel “electronic assemblies”, modules, or equipment, the “sample rate” is not aggregated and the “sample rate” is the maximum rate of any single channel.</w:t>
      </w:r>
    </w:p>
    <w:p>
      <w:pPr>
        <w:spacing w:after="0" w:line="210" w:lineRule="exact"/>
        <w:rPr>
          <w:rFonts w:ascii="Times New Roman" w:cs="Times New Roman" w:eastAsia="Times New Roman" w:hAnsi="Times New Roman"/>
          <w:sz w:val="22"/>
          <w:szCs w:val="22"/>
          <w:i w:val="1"/>
          <w:iCs w:val="1"/>
          <w:color w:val="auto"/>
        </w:rPr>
      </w:pPr>
    </w:p>
    <w:p>
      <w:pPr>
        <w:jc w:val="both"/>
        <w:ind w:left="280" w:right="120" w:hanging="10"/>
        <w:spacing w:after="0" w:line="246" w:lineRule="auto"/>
        <w:tabs>
          <w:tab w:leader="none" w:pos="586" w:val="left"/>
        </w:tabs>
        <w:numPr>
          <w:ilvl w:val="0"/>
          <w:numId w:val="3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interleaved channels on multiple-channel “electronic assemblies”, modules, or equipment, the “sample rates” are aggregated and the “sample rate” is the maximum combined total rate of all the interleaved channels.</w:t>
      </w:r>
    </w:p>
    <w:p>
      <w:pPr>
        <w:spacing w:after="0" w:line="212" w:lineRule="exact"/>
        <w:rPr>
          <w:sz w:val="20"/>
          <w:szCs w:val="20"/>
          <w:color w:val="auto"/>
        </w:rPr>
      </w:pPr>
    </w:p>
    <w:p>
      <w:pPr>
        <w:jc w:val="both"/>
        <w:ind w:right="120" w:firstLine="144"/>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3A002.h includes ADC cards, waveform</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digitizers, data acquisition cards, signal acquisition boards and transient recorders.</w:t>
      </w:r>
    </w:p>
    <w:p>
      <w:pPr>
        <w:spacing w:after="0" w:line="200" w:lineRule="exact"/>
        <w:rPr>
          <w:sz w:val="20"/>
          <w:szCs w:val="20"/>
          <w:color w:val="auto"/>
        </w:rPr>
      </w:pPr>
    </w:p>
    <w:p>
      <w:pPr>
        <w:spacing w:after="0" w:line="251" w:lineRule="exact"/>
        <w:rPr>
          <w:sz w:val="20"/>
          <w:szCs w:val="20"/>
          <w:color w:val="auto"/>
        </w:rPr>
      </w:pPr>
    </w:p>
    <w:p>
      <w:pPr>
        <w:jc w:val="both"/>
        <w:ind w:right="120"/>
        <w:spacing w:after="0" w:line="244" w:lineRule="auto"/>
        <w:rPr>
          <w:sz w:val="20"/>
          <w:szCs w:val="20"/>
          <w:color w:val="auto"/>
        </w:rPr>
      </w:pPr>
      <w:r>
        <w:rPr>
          <w:rFonts w:ascii="Times New Roman" w:cs="Times New Roman" w:eastAsia="Times New Roman" w:hAnsi="Times New Roman"/>
          <w:sz w:val="22"/>
          <w:szCs w:val="22"/>
          <w:b w:val="1"/>
          <w:bCs w:val="1"/>
          <w:color w:val="auto"/>
        </w:rPr>
        <w:t>3A003 Spray cooling thermal management systems employing closed loop fluid handling and reconditioning equipment in a sealed enclosure where a dielectric fluid is sprayed onto electronic “components” using “specially designed” spray nozzles that are designed to maintain electronic “components” within their operating temperature range, and “specially designed” “components” therefor.</w:t>
      </w:r>
    </w:p>
    <w:p>
      <w:pPr>
        <w:spacing w:after="0" w:line="21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9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0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(See Supp. No. 1 to</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9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part 738)</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NS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00" w:lineRule="exact"/>
        <w:rPr>
          <w:sz w:val="20"/>
          <w:szCs w:val="20"/>
          <w:color w:val="auto"/>
        </w:rPr>
      </w:pPr>
    </w:p>
    <w:p>
      <w:pPr>
        <w:spacing w:after="0" w:line="287" w:lineRule="exact"/>
        <w:rPr>
          <w:sz w:val="20"/>
          <w:szCs w:val="20"/>
          <w:color w:val="auto"/>
        </w:rPr>
      </w:pPr>
    </w:p>
    <w:p>
      <w:pPr>
        <w:jc w:val="both"/>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1"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02" w:lineRule="exact"/>
        <w:rPr>
          <w:sz w:val="20"/>
          <w:szCs w:val="20"/>
          <w:color w:val="auto"/>
        </w:rPr>
      </w:pPr>
    </w:p>
    <w:p>
      <w:pPr>
        <w:sectPr>
          <w:pgSz w:w="12240" w:h="15840" w:orient="portrait"/>
          <w:cols w:equalWidth="0" w:num="2">
            <w:col w:w="4320" w:space="720"/>
            <w:col w:w="4440"/>
          </w:cols>
          <w:pgMar w:left="1440" w:top="1062" w:right="1320" w:bottom="892" w:gutter="0" w:footer="0" w:header="0"/>
          <w:type w:val="continuous"/>
        </w:sectPr>
      </w:pPr>
    </w:p>
    <w:p>
      <w:pPr>
        <w:spacing w:after="0" w:line="280"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062" w:right="1320" w:bottom="892" w:gutter="0" w:footer="0" w:header="0"/>
          <w:type w:val="continuous"/>
        </w:sectPr>
      </w:pPr>
    </w:p>
    <w:bookmarkStart w:id="20" w:name="page21"/>
    <w:bookmarkEnd w:id="2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21</w:t>
      </w:r>
    </w:p>
    <w:p>
      <w:pPr>
        <w:sectPr>
          <w:pgSz w:w="12240" w:h="15840" w:orient="portrait"/>
          <w:cols w:equalWidth="0" w:num="1">
            <w:col w:w="9480"/>
          </w:cols>
          <w:pgMar w:left="1440" w:top="1062" w:right="1320" w:bottom="892" w:gutter="0" w:footer="0" w:header="0"/>
        </w:sectPr>
      </w:pPr>
    </w:p>
    <w:p>
      <w:pPr>
        <w:spacing w:after="0" w:line="200" w:lineRule="exact"/>
        <w:rPr>
          <w:sz w:val="20"/>
          <w:szCs w:val="20"/>
          <w:color w:val="auto"/>
        </w:rPr>
      </w:pPr>
    </w:p>
    <w:p>
      <w:pPr>
        <w:spacing w:after="0" w:line="29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ind w:right="120"/>
        <w:spacing w:after="0" w:line="271"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237" w:lineRule="exact"/>
        <w:rPr>
          <w:sz w:val="20"/>
          <w:szCs w:val="20"/>
          <w:color w:val="auto"/>
        </w:rPr>
      </w:pPr>
    </w:p>
    <w:p>
      <w:pPr>
        <w:jc w:val="both"/>
        <w:ind w:right="120"/>
        <w:spacing w:after="0" w:line="251" w:lineRule="auto"/>
        <w:rPr>
          <w:sz w:val="20"/>
          <w:szCs w:val="20"/>
          <w:color w:val="auto"/>
        </w:rPr>
      </w:pPr>
      <w:r>
        <w:rPr>
          <w:rFonts w:ascii="Times New Roman" w:cs="Times New Roman" w:eastAsia="Times New Roman" w:hAnsi="Times New Roman"/>
          <w:sz w:val="22"/>
          <w:szCs w:val="22"/>
          <w:b w:val="1"/>
          <w:bCs w:val="1"/>
          <w:color w:val="auto"/>
        </w:rPr>
        <w:t>3A101 Electronic equipment, devices, “parts” and “components,” other than those controlled by 3A001, as follows (see List of Items Controlled).</w:t>
      </w:r>
    </w:p>
    <w:p>
      <w:pPr>
        <w:spacing w:after="0" w:line="20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MT,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9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2"/>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0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(See Supp. No. 1 to</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9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part 738)</w:t>
            </w:r>
          </w:p>
        </w:tc>
      </w:tr>
      <w:tr>
        <w:trPr>
          <w:trHeight w:val="244"/>
        </w:trPr>
        <w:tc>
          <w:tcPr>
            <w:tcW w:w="254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rPr>
              <w:t>MT applies to entire entry</w:t>
            </w:r>
          </w:p>
        </w:tc>
        <w:tc>
          <w:tcPr>
            <w:tcW w:w="1900" w:type="dxa"/>
            <w:vAlign w:val="bottom"/>
            <w:tcBorders>
              <w:bottom w:val="single" w:sz="8" w:color="auto"/>
              <w:right w:val="single" w:sz="8" w:color="auto"/>
            </w:tcBorders>
          </w:tcPr>
          <w:p>
            <w:pPr>
              <w:ind w:left="80"/>
              <w:spacing w:after="0" w:line="244"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jc w:val="both"/>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1"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both"/>
        <w:ind w:left="180" w:right="120"/>
        <w:spacing w:after="0" w:line="25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 ECCN 3A002.h 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controls on analog-to-digital “electronic assemblies,” modules or equipment.</w:t>
      </w:r>
    </w:p>
    <w:p>
      <w:pPr>
        <w:spacing w:after="0" w:line="199"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ind w:right="120"/>
        <w:spacing w:after="0" w:line="255" w:lineRule="auto"/>
        <w:rPr>
          <w:sz w:val="20"/>
          <w:szCs w:val="20"/>
          <w:color w:val="auto"/>
        </w:rPr>
      </w:pPr>
      <w:r>
        <w:rPr>
          <w:rFonts w:ascii="Times New Roman" w:cs="Times New Roman" w:eastAsia="Times New Roman" w:hAnsi="Times New Roman"/>
          <w:sz w:val="22"/>
          <w:szCs w:val="22"/>
          <w:color w:val="auto"/>
        </w:rPr>
        <w:t>a. Analog-to-digital converters usable in “missiles,” and having any of the following characteristics:</w:t>
      </w:r>
    </w:p>
    <w:p>
      <w:pPr>
        <w:spacing w:after="0" w:line="205" w:lineRule="exact"/>
        <w:rPr>
          <w:sz w:val="20"/>
          <w:szCs w:val="20"/>
          <w:color w:val="auto"/>
        </w:rPr>
      </w:pPr>
    </w:p>
    <w:p>
      <w:pPr>
        <w:jc w:val="both"/>
        <w:ind w:right="120" w:firstLine="221"/>
        <w:spacing w:after="0" w:line="271" w:lineRule="auto"/>
        <w:rPr>
          <w:sz w:val="20"/>
          <w:szCs w:val="20"/>
          <w:color w:val="auto"/>
        </w:rPr>
      </w:pPr>
      <w:r>
        <w:rPr>
          <w:rFonts w:ascii="Times New Roman" w:cs="Times New Roman" w:eastAsia="Times New Roman" w:hAnsi="Times New Roman"/>
          <w:sz w:val="22"/>
          <w:szCs w:val="22"/>
          <w:color w:val="auto"/>
        </w:rPr>
        <w:t>a.1. “Specially designed” to meet military specifications for ruggedized equipment;</w:t>
      </w:r>
    </w:p>
    <w:p>
      <w:pPr>
        <w:spacing w:after="0" w:line="187" w:lineRule="exact"/>
        <w:rPr>
          <w:sz w:val="20"/>
          <w:szCs w:val="20"/>
          <w:color w:val="auto"/>
        </w:rPr>
      </w:pPr>
    </w:p>
    <w:p>
      <w:pPr>
        <w:ind w:left="220"/>
        <w:spacing w:after="0"/>
        <w:rPr>
          <w:sz w:val="20"/>
          <w:szCs w:val="20"/>
          <w:color w:val="auto"/>
        </w:rPr>
      </w:pPr>
      <w:r>
        <w:rPr>
          <w:rFonts w:ascii="Times New Roman" w:cs="Times New Roman" w:eastAsia="Times New Roman" w:hAnsi="Times New Roman"/>
          <w:sz w:val="22"/>
          <w:szCs w:val="22"/>
          <w:color w:val="auto"/>
        </w:rPr>
        <w:t>a.2. “Specially designed” for military use and</w:t>
      </w:r>
    </w:p>
    <w:p>
      <w:pPr>
        <w:spacing w:after="0" w:line="20" w:lineRule="exact"/>
        <w:rPr>
          <w:sz w:val="20"/>
          <w:szCs w:val="20"/>
          <w:color w:val="auto"/>
        </w:rPr>
      </w:pPr>
      <w:r>
        <w:rPr>
          <w:sz w:val="20"/>
          <w:szCs w:val="20"/>
          <w:color w:val="auto"/>
        </w:rPr>
        <w:br w:type="column"/>
      </w:r>
    </w:p>
    <w:p>
      <w:pPr>
        <w:spacing w:after="0" w:line="22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being any of the following types:</w:t>
      </w:r>
    </w:p>
    <w:p>
      <w:pPr>
        <w:spacing w:after="0" w:line="252" w:lineRule="exact"/>
        <w:rPr>
          <w:sz w:val="20"/>
          <w:szCs w:val="20"/>
          <w:color w:val="auto"/>
        </w:rPr>
      </w:pPr>
    </w:p>
    <w:p>
      <w:pPr>
        <w:jc w:val="both"/>
        <w:ind w:right="120" w:firstLine="288"/>
        <w:spacing w:after="0" w:line="255" w:lineRule="auto"/>
        <w:rPr>
          <w:sz w:val="20"/>
          <w:szCs w:val="20"/>
          <w:color w:val="auto"/>
        </w:rPr>
      </w:pPr>
      <w:r>
        <w:rPr>
          <w:rFonts w:ascii="Times New Roman" w:cs="Times New Roman" w:eastAsia="Times New Roman" w:hAnsi="Times New Roman"/>
          <w:sz w:val="22"/>
          <w:szCs w:val="22"/>
          <w:color w:val="auto"/>
        </w:rPr>
        <w:t>a.2.a. Analog-to-digital converter microcircuits which are radiation-hardened or have all of the following characteristics:</w:t>
      </w:r>
    </w:p>
    <w:p>
      <w:pPr>
        <w:spacing w:after="0" w:line="206" w:lineRule="exact"/>
        <w:rPr>
          <w:sz w:val="20"/>
          <w:szCs w:val="20"/>
          <w:color w:val="auto"/>
        </w:rPr>
      </w:pPr>
    </w:p>
    <w:p>
      <w:pPr>
        <w:jc w:val="both"/>
        <w:ind w:right="120" w:firstLine="432"/>
        <w:spacing w:after="0" w:line="255" w:lineRule="auto"/>
        <w:rPr>
          <w:sz w:val="20"/>
          <w:szCs w:val="20"/>
          <w:color w:val="auto"/>
        </w:rPr>
      </w:pPr>
      <w:r>
        <w:rPr>
          <w:rFonts w:ascii="Times New Roman" w:cs="Times New Roman" w:eastAsia="Times New Roman" w:hAnsi="Times New Roman"/>
          <w:sz w:val="22"/>
          <w:szCs w:val="22"/>
          <w:color w:val="auto"/>
        </w:rPr>
        <w:t xml:space="preserve">a.2.a.1. Rated for operation in the temperature range from below -54°C to above +125°C; </w:t>
      </w:r>
      <w:r>
        <w:rPr>
          <w:rFonts w:ascii="Times New Roman" w:cs="Times New Roman" w:eastAsia="Times New Roman" w:hAnsi="Times New Roman"/>
          <w:sz w:val="22"/>
          <w:szCs w:val="22"/>
          <w:i w:val="1"/>
          <w:iCs w:val="1"/>
          <w:color w:val="auto"/>
        </w:rPr>
        <w:t>and</w:t>
      </w:r>
    </w:p>
    <w:p>
      <w:pPr>
        <w:spacing w:after="0" w:line="201" w:lineRule="exact"/>
        <w:rPr>
          <w:sz w:val="20"/>
          <w:szCs w:val="20"/>
          <w:color w:val="auto"/>
        </w:rPr>
      </w:pPr>
    </w:p>
    <w:p>
      <w:pPr>
        <w:ind w:left="440"/>
        <w:spacing w:after="0"/>
        <w:rPr>
          <w:sz w:val="20"/>
          <w:szCs w:val="20"/>
          <w:color w:val="auto"/>
        </w:rPr>
      </w:pPr>
      <w:r>
        <w:rPr>
          <w:rFonts w:ascii="Times New Roman" w:cs="Times New Roman" w:eastAsia="Times New Roman" w:hAnsi="Times New Roman"/>
          <w:sz w:val="22"/>
          <w:szCs w:val="22"/>
          <w:color w:val="auto"/>
        </w:rPr>
        <w:t xml:space="preserve">a.2.a.2. Hermetically sealed; </w:t>
      </w:r>
      <w:r>
        <w:rPr>
          <w:rFonts w:ascii="Times New Roman" w:cs="Times New Roman" w:eastAsia="Times New Roman" w:hAnsi="Times New Roman"/>
          <w:sz w:val="22"/>
          <w:szCs w:val="22"/>
          <w:i w:val="1"/>
          <w:iCs w:val="1"/>
          <w:color w:val="auto"/>
        </w:rPr>
        <w:t>or</w:t>
      </w:r>
    </w:p>
    <w:p>
      <w:pPr>
        <w:spacing w:after="0" w:line="257" w:lineRule="exact"/>
        <w:rPr>
          <w:sz w:val="20"/>
          <w:szCs w:val="20"/>
          <w:color w:val="auto"/>
        </w:rPr>
      </w:pPr>
    </w:p>
    <w:p>
      <w:pPr>
        <w:jc w:val="both"/>
        <w:ind w:right="120" w:firstLine="221"/>
        <w:spacing w:after="0" w:line="255" w:lineRule="auto"/>
        <w:rPr>
          <w:sz w:val="20"/>
          <w:szCs w:val="20"/>
          <w:color w:val="auto"/>
        </w:rPr>
      </w:pPr>
      <w:r>
        <w:rPr>
          <w:rFonts w:ascii="Times New Roman" w:cs="Times New Roman" w:eastAsia="Times New Roman" w:hAnsi="Times New Roman"/>
          <w:sz w:val="22"/>
          <w:szCs w:val="22"/>
          <w:color w:val="auto"/>
        </w:rPr>
        <w:t>a.2.b. Electrical input type analog-to-digital converter printed circuit boards or modules, having all of the following characteristics:</w:t>
      </w:r>
    </w:p>
    <w:p>
      <w:pPr>
        <w:spacing w:after="0" w:line="205" w:lineRule="exact"/>
        <w:rPr>
          <w:sz w:val="20"/>
          <w:szCs w:val="20"/>
          <w:color w:val="auto"/>
        </w:rPr>
      </w:pPr>
    </w:p>
    <w:p>
      <w:pPr>
        <w:jc w:val="both"/>
        <w:ind w:right="120" w:firstLine="432"/>
        <w:spacing w:after="0" w:line="255" w:lineRule="auto"/>
        <w:rPr>
          <w:sz w:val="20"/>
          <w:szCs w:val="20"/>
          <w:color w:val="auto"/>
        </w:rPr>
      </w:pPr>
      <w:r>
        <w:rPr>
          <w:rFonts w:ascii="Times New Roman" w:cs="Times New Roman" w:eastAsia="Times New Roman" w:hAnsi="Times New Roman"/>
          <w:sz w:val="22"/>
          <w:szCs w:val="22"/>
          <w:color w:val="auto"/>
        </w:rPr>
        <w:t xml:space="preserve">a.2.b.1. Rated for operation in the temperature range from below -45°C to above +80°C; </w:t>
      </w:r>
      <w:r>
        <w:rPr>
          <w:rFonts w:ascii="Times New Roman" w:cs="Times New Roman" w:eastAsia="Times New Roman" w:hAnsi="Times New Roman"/>
          <w:sz w:val="22"/>
          <w:szCs w:val="22"/>
          <w:i w:val="1"/>
          <w:iCs w:val="1"/>
          <w:color w:val="auto"/>
        </w:rPr>
        <w:t>and</w:t>
      </w:r>
    </w:p>
    <w:p>
      <w:pPr>
        <w:spacing w:after="0" w:line="205" w:lineRule="exact"/>
        <w:rPr>
          <w:sz w:val="20"/>
          <w:szCs w:val="20"/>
          <w:color w:val="auto"/>
        </w:rPr>
      </w:pPr>
    </w:p>
    <w:p>
      <w:pPr>
        <w:jc w:val="both"/>
        <w:ind w:right="120" w:firstLine="432"/>
        <w:spacing w:after="0" w:line="271" w:lineRule="auto"/>
        <w:rPr>
          <w:sz w:val="20"/>
          <w:szCs w:val="20"/>
          <w:color w:val="auto"/>
        </w:rPr>
      </w:pPr>
      <w:r>
        <w:rPr>
          <w:rFonts w:ascii="Times New Roman" w:cs="Times New Roman" w:eastAsia="Times New Roman" w:hAnsi="Times New Roman"/>
          <w:sz w:val="22"/>
          <w:szCs w:val="22"/>
          <w:color w:val="auto"/>
        </w:rPr>
        <w:t>a.2.b.2. Incorporating microcircuits identified in 3A101.a.2 .a;</w:t>
      </w:r>
    </w:p>
    <w:p>
      <w:pPr>
        <w:spacing w:after="0" w:line="188" w:lineRule="exact"/>
        <w:rPr>
          <w:sz w:val="20"/>
          <w:szCs w:val="20"/>
          <w:color w:val="auto"/>
        </w:rPr>
      </w:pPr>
    </w:p>
    <w:p>
      <w:pPr>
        <w:jc w:val="both"/>
        <w:ind w:right="120"/>
        <w:spacing w:after="0" w:line="246" w:lineRule="auto"/>
        <w:rPr>
          <w:sz w:val="20"/>
          <w:szCs w:val="20"/>
          <w:color w:val="auto"/>
        </w:rPr>
      </w:pPr>
      <w:r>
        <w:rPr>
          <w:rFonts w:ascii="Times New Roman" w:cs="Times New Roman" w:eastAsia="Times New Roman" w:hAnsi="Times New Roman"/>
          <w:sz w:val="22"/>
          <w:szCs w:val="22"/>
          <w:color w:val="auto"/>
        </w:rPr>
        <w:t>b. Accelerators capable of delivering electromagnetic radiation produced by bremsstrahlung from accelerated electrons of 2 MeV or greater, and systems containing those accelerators, usable for the “missiles” or the subsystems of “missiles”.</w:t>
      </w:r>
    </w:p>
    <w:p>
      <w:pPr>
        <w:spacing w:after="0" w:line="209" w:lineRule="exact"/>
        <w:rPr>
          <w:sz w:val="20"/>
          <w:szCs w:val="20"/>
          <w:color w:val="auto"/>
        </w:rPr>
      </w:pPr>
    </w:p>
    <w:p>
      <w:pPr>
        <w:jc w:val="both"/>
        <w:ind w:right="120" w:firstLine="144"/>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3A101.b above does not include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equipment “specially designed” for medical purposes.</w:t>
      </w:r>
    </w:p>
    <w:p>
      <w:pPr>
        <w:spacing w:after="0" w:line="200" w:lineRule="exact"/>
        <w:rPr>
          <w:sz w:val="20"/>
          <w:szCs w:val="20"/>
          <w:color w:val="auto"/>
        </w:rPr>
      </w:pPr>
    </w:p>
    <w:p>
      <w:pPr>
        <w:spacing w:after="0" w:line="251" w:lineRule="exact"/>
        <w:rPr>
          <w:sz w:val="20"/>
          <w:szCs w:val="20"/>
          <w:color w:val="auto"/>
        </w:rPr>
      </w:pPr>
    </w:p>
    <w:p>
      <w:pPr>
        <w:jc w:val="both"/>
        <w:ind w:right="120"/>
        <w:spacing w:after="0" w:line="257" w:lineRule="auto"/>
        <w:rPr>
          <w:sz w:val="20"/>
          <w:szCs w:val="20"/>
          <w:color w:val="auto"/>
        </w:rPr>
      </w:pPr>
      <w:r>
        <w:rPr>
          <w:rFonts w:ascii="Times New Roman" w:cs="Times New Roman" w:eastAsia="Times New Roman" w:hAnsi="Times New Roman"/>
          <w:sz w:val="22"/>
          <w:szCs w:val="22"/>
          <w:b w:val="1"/>
          <w:bCs w:val="1"/>
          <w:color w:val="auto"/>
        </w:rPr>
        <w:t>3A201 Electronic “parts” and “components,” other than those controlled by 3A001, as follows (see List of Items Controlled).</w:t>
      </w:r>
    </w:p>
    <w:p>
      <w:pPr>
        <w:spacing w:after="0" w:line="20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9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0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(See Supp. No. 1 to</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9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part 738)</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NP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00" w:lineRule="exact"/>
        <w:rPr>
          <w:sz w:val="20"/>
          <w:szCs w:val="20"/>
          <w:color w:val="auto"/>
        </w:rPr>
      </w:pPr>
    </w:p>
    <w:p>
      <w:pPr>
        <w:sectPr>
          <w:pgSz w:w="12240" w:h="15840" w:orient="portrait"/>
          <w:cols w:equalWidth="0" w:num="2">
            <w:col w:w="4440" w:space="600"/>
            <w:col w:w="4440"/>
          </w:cols>
          <w:pgMar w:left="1440" w:top="1062" w:right="1320" w:bottom="892" w:gutter="0" w:footer="0" w:header="0"/>
          <w:type w:val="continuous"/>
        </w:sectPr>
      </w:pPr>
    </w:p>
    <w:p>
      <w:pPr>
        <w:spacing w:after="0" w:line="264"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062" w:right="1320" w:bottom="892" w:gutter="0" w:footer="0" w:header="0"/>
          <w:type w:val="continuous"/>
        </w:sectPr>
      </w:pPr>
    </w:p>
    <w:bookmarkStart w:id="21" w:name="page22"/>
    <w:bookmarkEnd w:id="21"/>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22</w:t>
      </w:r>
    </w:p>
    <w:p>
      <w:pPr>
        <w:sectPr>
          <w:pgSz w:w="12240" w:h="15840" w:orient="portrait"/>
          <w:cols w:equalWidth="0" w:num="1">
            <w:col w:w="9360"/>
          </w:cols>
          <w:pgMar w:left="1440" w:top="1062" w:right="1440" w:bottom="892" w:gutter="0" w:footer="0" w:header="0"/>
        </w:sectPr>
      </w:pPr>
    </w:p>
    <w:p>
      <w:pPr>
        <w:spacing w:after="0" w:line="200" w:lineRule="exact"/>
        <w:rPr>
          <w:sz w:val="20"/>
          <w:szCs w:val="20"/>
          <w:color w:val="auto"/>
        </w:rPr>
      </w:pPr>
    </w:p>
    <w:p>
      <w:pPr>
        <w:spacing w:after="0" w:line="294" w:lineRule="exact"/>
        <w:rPr>
          <w:sz w:val="20"/>
          <w:szCs w:val="20"/>
          <w:color w:val="auto"/>
        </w:rPr>
      </w:pPr>
    </w:p>
    <w:p>
      <w:pPr>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140"/>
        <w:spacing w:after="0"/>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N/A</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both"/>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3E001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3E201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controlled under this entry. (2) Also see </w:t>
      </w:r>
      <w:r>
        <w:rPr>
          <w:rFonts w:ascii="Times New Roman" w:cs="Times New Roman" w:eastAsia="Times New Roman" w:hAnsi="Times New Roman"/>
          <w:sz w:val="22"/>
          <w:szCs w:val="22"/>
          <w:u w:val="single" w:color="auto"/>
          <w:color w:val="0000FF"/>
        </w:rPr>
        <w:t>3A001.e.2</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(capacitors) and</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3A001.e.3</w:t>
      </w:r>
    </w:p>
    <w:p>
      <w:pPr>
        <w:spacing w:after="0" w:line="4" w:lineRule="exact"/>
        <w:rPr>
          <w:sz w:val="20"/>
          <w:szCs w:val="20"/>
          <w:color w:val="auto"/>
        </w:rPr>
      </w:pPr>
    </w:p>
    <w:p>
      <w:pPr>
        <w:jc w:val="both"/>
        <w:ind w:left="360"/>
        <w:spacing w:after="0"/>
        <w:rPr>
          <w:sz w:val="20"/>
          <w:szCs w:val="20"/>
          <w:color w:val="auto"/>
        </w:rPr>
      </w:pPr>
      <w:r>
        <w:rPr>
          <w:rFonts w:ascii="Times New Roman" w:cs="Times New Roman" w:eastAsia="Times New Roman" w:hAnsi="Times New Roman"/>
          <w:sz w:val="22"/>
          <w:szCs w:val="22"/>
          <w:color w:val="auto"/>
        </w:rPr>
        <w:t>(superconducting electromagnets). (3) Superconducting electromagnets “specially designed” or prepared for use in separating uranium isotopes are subject to the export licensing authority of the Nuclear Regulatory Commission (see 10 CFR part 110).</w:t>
      </w:r>
    </w:p>
    <w:p>
      <w:pPr>
        <w:ind w:left="28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2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spacing w:after="0" w:line="271" w:lineRule="auto"/>
        <w:tabs>
          <w:tab w:leader="none" w:pos="345" w:val="left"/>
        </w:tabs>
        <w:numPr>
          <w:ilvl w:val="0"/>
          <w:numId w:val="3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Pulse discharge capacitors having either of the following sets of characteristics:</w:t>
      </w:r>
    </w:p>
    <w:p>
      <w:pPr>
        <w:spacing w:after="0" w:line="188"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 xml:space="preserve">a.1. Voltage rating greater than 1.4 kV, energy storage greater than 10 J, capacitance greater than 0.5 F, and series inductance less than 50 nH; </w:t>
      </w:r>
      <w:r>
        <w:rPr>
          <w:rFonts w:ascii="Times New Roman" w:cs="Times New Roman" w:eastAsia="Times New Roman" w:hAnsi="Times New Roman"/>
          <w:sz w:val="22"/>
          <w:szCs w:val="22"/>
          <w:i w:val="1"/>
          <w:iCs w:val="1"/>
          <w:color w:val="auto"/>
        </w:rPr>
        <w:t>or</w:t>
      </w:r>
    </w:p>
    <w:p>
      <w:pPr>
        <w:spacing w:after="0" w:line="206" w:lineRule="exact"/>
        <w:rPr>
          <w:sz w:val="20"/>
          <w:szCs w:val="20"/>
          <w:color w:val="auto"/>
        </w:rPr>
      </w:pPr>
    </w:p>
    <w:p>
      <w:pPr>
        <w:jc w:val="both"/>
        <w:ind w:firstLine="144"/>
        <w:spacing w:after="0" w:line="263" w:lineRule="auto"/>
        <w:rPr>
          <w:sz w:val="20"/>
          <w:szCs w:val="20"/>
          <w:color w:val="auto"/>
        </w:rPr>
      </w:pPr>
      <w:r>
        <w:rPr>
          <w:rFonts w:ascii="Times New Roman" w:cs="Times New Roman" w:eastAsia="Times New Roman" w:hAnsi="Times New Roman"/>
          <w:sz w:val="22"/>
          <w:szCs w:val="22"/>
          <w:color w:val="auto"/>
        </w:rPr>
        <w:t>a.2. Voltage rating greater than 750 V, capacitance greater than 0.25 F, and series inductance less than 10 nH;</w:t>
      </w:r>
    </w:p>
    <w:p>
      <w:pPr>
        <w:spacing w:after="0" w:line="197" w:lineRule="exact"/>
        <w:rPr>
          <w:sz w:val="20"/>
          <w:szCs w:val="20"/>
          <w:color w:val="auto"/>
        </w:rPr>
      </w:pPr>
    </w:p>
    <w:p>
      <w:pPr>
        <w:spacing w:after="0" w:line="270" w:lineRule="auto"/>
        <w:tabs>
          <w:tab w:leader="none" w:pos="379" w:val="left"/>
        </w:tabs>
        <w:numPr>
          <w:ilvl w:val="0"/>
          <w:numId w:val="3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Superconducting solenoidal electromagnets having all of the following characteristics:</w:t>
      </w:r>
    </w:p>
    <w:p>
      <w:pPr>
        <w:spacing w:after="0" w:line="189" w:lineRule="exact"/>
        <w:rPr>
          <w:sz w:val="20"/>
          <w:szCs w:val="20"/>
          <w:color w:val="auto"/>
        </w:rPr>
      </w:pPr>
    </w:p>
    <w:p>
      <w:pPr>
        <w:ind w:firstLine="144"/>
        <w:spacing w:after="0" w:line="271" w:lineRule="auto"/>
        <w:rPr>
          <w:sz w:val="20"/>
          <w:szCs w:val="20"/>
          <w:color w:val="auto"/>
        </w:rPr>
      </w:pPr>
      <w:r>
        <w:rPr>
          <w:rFonts w:ascii="Times New Roman" w:cs="Times New Roman" w:eastAsia="Times New Roman" w:hAnsi="Times New Roman"/>
          <w:sz w:val="22"/>
          <w:szCs w:val="22"/>
          <w:color w:val="auto"/>
        </w:rPr>
        <w:t>b.1. Capable of creating magnetic fields greater than 2 T;</w:t>
      </w:r>
    </w:p>
    <w:p>
      <w:pPr>
        <w:spacing w:after="0" w:line="187" w:lineRule="exact"/>
        <w:rPr>
          <w:sz w:val="20"/>
          <w:szCs w:val="20"/>
          <w:color w:val="auto"/>
        </w:rPr>
      </w:pPr>
    </w:p>
    <w:p>
      <w:pPr>
        <w:ind w:firstLine="144"/>
        <w:spacing w:after="0" w:line="271" w:lineRule="auto"/>
        <w:rPr>
          <w:sz w:val="20"/>
          <w:szCs w:val="20"/>
          <w:color w:val="auto"/>
        </w:rPr>
      </w:pPr>
      <w:r>
        <w:rPr>
          <w:rFonts w:ascii="Times New Roman" w:cs="Times New Roman" w:eastAsia="Times New Roman" w:hAnsi="Times New Roman"/>
          <w:sz w:val="22"/>
          <w:szCs w:val="22"/>
          <w:color w:val="auto"/>
        </w:rPr>
        <w:t>b.2. A ratio of length to inner diameter greater than 2;</w:t>
      </w:r>
    </w:p>
    <w:p>
      <w:pPr>
        <w:spacing w:after="0" w:line="18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 xml:space="preserve">b.3. Inner diameter greater than 300 mm; </w:t>
      </w:r>
      <w:r>
        <w:rPr>
          <w:rFonts w:ascii="Times New Roman" w:cs="Times New Roman" w:eastAsia="Times New Roman" w:hAnsi="Times New Roman"/>
          <w:sz w:val="22"/>
          <w:szCs w:val="22"/>
          <w:i w:val="1"/>
          <w:iCs w:val="1"/>
          <w:color w:val="auto"/>
        </w:rPr>
        <w:t>and</w:t>
      </w:r>
    </w:p>
    <w:p>
      <w:pPr>
        <w:spacing w:after="0" w:line="20" w:lineRule="exact"/>
        <w:rPr>
          <w:sz w:val="20"/>
          <w:szCs w:val="20"/>
          <w:color w:val="auto"/>
        </w:rPr>
      </w:pPr>
      <w:r>
        <w:rPr>
          <w:sz w:val="20"/>
          <w:szCs w:val="20"/>
          <w:color w:val="auto"/>
        </w:rPr>
        <w:br w:type="column"/>
      </w:r>
    </w:p>
    <w:p>
      <w:pPr>
        <w:spacing w:after="0" w:line="225"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b.4. Magnetic field uniform to better than 1% over the central 50% of the inner volume;</w:t>
      </w:r>
    </w:p>
    <w:p>
      <w:pPr>
        <w:spacing w:after="0" w:line="182" w:lineRule="exact"/>
        <w:rPr>
          <w:sz w:val="20"/>
          <w:szCs w:val="20"/>
          <w:color w:val="auto"/>
        </w:rPr>
      </w:pPr>
    </w:p>
    <w:p>
      <w:pPr>
        <w:jc w:val="both"/>
        <w:ind w:firstLine="144"/>
        <w:spacing w:after="0" w:line="244"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3A201.b does not control magnets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“specially designed” for and exported “as parts of” medical nuclear magnetic resonance (NMR) imaging systems. The phrase “as part of” does not necessarily mean physical part in the same shipment; separate shipments from different sources are allowed, provided the related export documents clearly specify that the shipments are dispatched “as part of” the imaging systems.</w:t>
      </w:r>
    </w:p>
    <w:p>
      <w:pPr>
        <w:spacing w:after="0" w:line="220" w:lineRule="exact"/>
        <w:rPr>
          <w:sz w:val="20"/>
          <w:szCs w:val="20"/>
          <w:color w:val="auto"/>
        </w:rPr>
      </w:pPr>
    </w:p>
    <w:p>
      <w:pPr>
        <w:jc w:val="both"/>
        <w:spacing w:after="0" w:line="255" w:lineRule="auto"/>
        <w:tabs>
          <w:tab w:leader="none" w:pos="381" w:val="left"/>
        </w:tabs>
        <w:numPr>
          <w:ilvl w:val="0"/>
          <w:numId w:val="3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Flash X-ray generators or pulsed electron accelerators having either of the following sets of characteristics:</w:t>
      </w:r>
    </w:p>
    <w:p>
      <w:pPr>
        <w:spacing w:after="0" w:line="206" w:lineRule="exact"/>
        <w:rPr>
          <w:sz w:val="20"/>
          <w:szCs w:val="20"/>
          <w:color w:val="auto"/>
        </w:rPr>
      </w:pPr>
    </w:p>
    <w:p>
      <w:pPr>
        <w:jc w:val="both"/>
        <w:ind w:firstLine="144"/>
        <w:spacing w:after="0" w:line="251" w:lineRule="auto"/>
        <w:rPr>
          <w:sz w:val="20"/>
          <w:szCs w:val="20"/>
          <w:color w:val="auto"/>
        </w:rPr>
      </w:pPr>
      <w:r>
        <w:rPr>
          <w:rFonts w:ascii="Times New Roman" w:cs="Times New Roman" w:eastAsia="Times New Roman" w:hAnsi="Times New Roman"/>
          <w:sz w:val="22"/>
          <w:szCs w:val="22"/>
          <w:color w:val="auto"/>
        </w:rPr>
        <w:t xml:space="preserve">c.1. An accelerator peak electron energy of 500 keV or greater, but less than 25 MeV, and with a “figure of merit” (K) of 0.25 or greater; </w:t>
      </w:r>
      <w:r>
        <w:rPr>
          <w:rFonts w:ascii="Times New Roman" w:cs="Times New Roman" w:eastAsia="Times New Roman" w:hAnsi="Times New Roman"/>
          <w:sz w:val="22"/>
          <w:szCs w:val="22"/>
          <w:i w:val="1"/>
          <w:iCs w:val="1"/>
          <w:color w:val="auto"/>
        </w:rPr>
        <w:t>or</w:t>
      </w:r>
    </w:p>
    <w:p>
      <w:pPr>
        <w:spacing w:after="0" w:line="200" w:lineRule="exact"/>
        <w:rPr>
          <w:sz w:val="20"/>
          <w:szCs w:val="20"/>
          <w:color w:val="auto"/>
        </w:rPr>
      </w:pPr>
    </w:p>
    <w:p>
      <w:pPr>
        <w:spacing w:after="0" w:line="271"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c.2. An accelerator peak electron energy of 25 MeV or greater, and a “peak power” greater than 50 MW;</w:t>
      </w:r>
    </w:p>
    <w:p>
      <w:pPr>
        <w:spacing w:after="0" w:line="200" w:lineRule="exact"/>
        <w:rPr>
          <w:sz w:val="20"/>
          <w:szCs w:val="20"/>
          <w:color w:val="auto"/>
        </w:rPr>
      </w:pPr>
    </w:p>
    <w:p>
      <w:pPr>
        <w:jc w:val="both"/>
        <w:ind w:firstLine="144"/>
        <w:spacing w:after="0" w:line="24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3A201.c does not control accelerators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that are “parts” or “components” of devices designed for purposes other than electron beam or X-ray radiation (electron microscopy, for example) nor those designed for medical purposes.</w:t>
      </w:r>
    </w:p>
    <w:p>
      <w:pPr>
        <w:spacing w:after="0" w:line="209"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54" w:lineRule="exact"/>
        <w:rPr>
          <w:sz w:val="20"/>
          <w:szCs w:val="20"/>
          <w:color w:val="auto"/>
        </w:rPr>
      </w:pPr>
    </w:p>
    <w:p>
      <w:pPr>
        <w:jc w:val="both"/>
        <w:ind w:firstLine="144"/>
        <w:spacing w:after="0" w:line="244" w:lineRule="auto"/>
        <w:tabs>
          <w:tab w:leader="none" w:pos="386" w:val="left"/>
        </w:tabs>
        <w:numPr>
          <w:ilvl w:val="0"/>
          <w:numId w:val="36"/>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The “figure of merit” K is defined as: K = 1.7 x 10</w:t>
      </w:r>
      <w:r>
        <w:rPr>
          <w:rFonts w:ascii="Times New Roman" w:cs="Times New Roman" w:eastAsia="Times New Roman" w:hAnsi="Times New Roman"/>
          <w:sz w:val="28"/>
          <w:szCs w:val="28"/>
          <w:i w:val="1"/>
          <w:iCs w:val="1"/>
          <w:color w:val="auto"/>
          <w:vertAlign w:val="superscript"/>
        </w:rPr>
        <w:t>3</w:t>
      </w:r>
      <w:r>
        <w:rPr>
          <w:rFonts w:ascii="Times New Roman" w:cs="Times New Roman" w:eastAsia="Times New Roman" w:hAnsi="Times New Roman"/>
          <w:sz w:val="22"/>
          <w:szCs w:val="22"/>
          <w:i w:val="1"/>
          <w:iCs w:val="1"/>
          <w:color w:val="auto"/>
        </w:rPr>
        <w:t>V</w:t>
      </w:r>
      <w:r>
        <w:rPr>
          <w:rFonts w:ascii="Times New Roman" w:cs="Times New Roman" w:eastAsia="Times New Roman" w:hAnsi="Times New Roman"/>
          <w:sz w:val="28"/>
          <w:szCs w:val="28"/>
          <w:i w:val="1"/>
          <w:iCs w:val="1"/>
          <w:color w:val="auto"/>
          <w:vertAlign w:val="superscript"/>
        </w:rPr>
        <w:t>2.65</w:t>
      </w:r>
      <w:r>
        <w:rPr>
          <w:rFonts w:ascii="Times New Roman" w:cs="Times New Roman" w:eastAsia="Times New Roman" w:hAnsi="Times New Roman"/>
          <w:sz w:val="22"/>
          <w:szCs w:val="22"/>
          <w:i w:val="1"/>
          <w:iCs w:val="1"/>
          <w:color w:val="auto"/>
        </w:rPr>
        <w:t>Q. V is the peak electron energy in million electron volts. If the accelerator beam pulse duration is less than or equal to 1 s, then Q is the total accelerated charge in Coulombs. If the accelerator beam pulse duration is greater than 1 s, then Q is the maximum accelerated charge in 1 s. Q equals the intergral of i with respect to t, over the lesser of 1 s or the time duration of the beam pulse (Q = idt), where i is beam current in amperes and t is time in seconds.</w:t>
      </w:r>
    </w:p>
    <w:p>
      <w:pPr>
        <w:spacing w:after="0" w:line="200"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200" w:lineRule="exact"/>
        <w:rPr>
          <w:sz w:val="20"/>
          <w:szCs w:val="20"/>
          <w:color w:val="auto"/>
        </w:rPr>
      </w:pPr>
    </w:p>
    <w:p>
      <w:pPr>
        <w:spacing w:after="0" w:line="255"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22" w:name="page23"/>
    <w:bookmarkEnd w:id="22"/>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23</w:t>
      </w:r>
    </w:p>
    <w:p>
      <w:pPr>
        <w:sectPr>
          <w:pgSz w:w="12240" w:h="15840" w:orient="portrait"/>
          <w:cols w:equalWidth="0" w:num="1">
            <w:col w:w="9360"/>
          </w:cols>
          <w:pgMar w:left="1440" w:top="1062" w:right="1440" w:bottom="892" w:gutter="0" w:footer="0" w:header="0"/>
        </w:sectPr>
      </w:pPr>
    </w:p>
    <w:p>
      <w:pPr>
        <w:spacing w:after="0" w:line="242" w:lineRule="exact"/>
        <w:rPr>
          <w:sz w:val="20"/>
          <w:szCs w:val="20"/>
          <w:color w:val="auto"/>
        </w:rPr>
      </w:pPr>
    </w:p>
    <w:p>
      <w:pPr>
        <w:ind w:right="120" w:firstLine="144"/>
        <w:spacing w:after="0" w:line="274" w:lineRule="auto"/>
        <w:tabs>
          <w:tab w:leader="none" w:pos="385" w:val="left"/>
        </w:tabs>
        <w:numPr>
          <w:ilvl w:val="0"/>
          <w:numId w:val="37"/>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“Peak power” = (peak potential in volts) x (peak beam current in amperes).</w:t>
      </w:r>
    </w:p>
    <w:p>
      <w:pPr>
        <w:spacing w:after="0" w:line="179" w:lineRule="exact"/>
        <w:rPr>
          <w:sz w:val="20"/>
          <w:szCs w:val="20"/>
          <w:color w:val="auto"/>
        </w:rPr>
      </w:pPr>
    </w:p>
    <w:p>
      <w:pPr>
        <w:jc w:val="both"/>
        <w:ind w:right="120" w:firstLine="144"/>
        <w:spacing w:after="0" w:line="253" w:lineRule="auto"/>
        <w:rPr>
          <w:sz w:val="20"/>
          <w:szCs w:val="20"/>
          <w:color w:val="auto"/>
        </w:rPr>
      </w:pPr>
      <w:r>
        <w:rPr>
          <w:rFonts w:ascii="Times New Roman" w:cs="Times New Roman" w:eastAsia="Times New Roman" w:hAnsi="Times New Roman"/>
          <w:sz w:val="22"/>
          <w:szCs w:val="22"/>
          <w:b w:val="1"/>
          <w:bCs w:val="1"/>
          <w:i w:val="1"/>
          <w:iCs w:val="1"/>
          <w:color w:val="auto"/>
        </w:rPr>
        <w:t>3</w:t>
      </w:r>
      <w:r>
        <w:rPr>
          <w:rFonts w:ascii="Times New Roman" w:cs="Times New Roman" w:eastAsia="Times New Roman" w:hAnsi="Times New Roman"/>
          <w:sz w:val="22"/>
          <w:szCs w:val="22"/>
          <w:i w:val="1"/>
          <w:iCs w:val="1"/>
          <w:color w:val="auto"/>
        </w:rPr>
        <w:t>. In machines based on microwave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accelerating cavities, the time duration of the beam pulse is the lesser of 1 s or the duration of the bunched beam packet resulting from one microwave modulator pulse.</w:t>
      </w:r>
    </w:p>
    <w:p>
      <w:pPr>
        <w:spacing w:after="0" w:line="203" w:lineRule="exact"/>
        <w:rPr>
          <w:sz w:val="20"/>
          <w:szCs w:val="20"/>
          <w:color w:val="auto"/>
        </w:rPr>
      </w:pPr>
    </w:p>
    <w:p>
      <w:pPr>
        <w:jc w:val="both"/>
        <w:ind w:right="120" w:firstLine="144"/>
        <w:spacing w:after="0" w:line="251" w:lineRule="auto"/>
        <w:tabs>
          <w:tab w:leader="none" w:pos="570" w:val="left"/>
        </w:tabs>
        <w:numPr>
          <w:ilvl w:val="0"/>
          <w:numId w:val="38"/>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In machines based on microwave accelerating cavities, the peak beam current is the average current in the time duration of a bunched beam packet.</w:t>
      </w:r>
    </w:p>
    <w:p>
      <w:pPr>
        <w:spacing w:after="0" w:line="200" w:lineRule="exact"/>
        <w:rPr>
          <w:sz w:val="20"/>
          <w:szCs w:val="20"/>
          <w:color w:val="auto"/>
        </w:rPr>
      </w:pPr>
    </w:p>
    <w:p>
      <w:pPr>
        <w:spacing w:after="0" w:line="260" w:lineRule="exact"/>
        <w:rPr>
          <w:sz w:val="20"/>
          <w:szCs w:val="20"/>
          <w:color w:val="auto"/>
        </w:rPr>
      </w:pPr>
    </w:p>
    <w:p>
      <w:pPr>
        <w:jc w:val="both"/>
        <w:ind w:right="120"/>
        <w:spacing w:after="0" w:line="245" w:lineRule="auto"/>
        <w:rPr>
          <w:sz w:val="20"/>
          <w:szCs w:val="20"/>
          <w:color w:val="auto"/>
        </w:rPr>
      </w:pPr>
      <w:r>
        <w:rPr>
          <w:rFonts w:ascii="Times New Roman" w:cs="Times New Roman" w:eastAsia="Times New Roman" w:hAnsi="Times New Roman"/>
          <w:sz w:val="22"/>
          <w:szCs w:val="22"/>
          <w:b w:val="1"/>
          <w:bCs w:val="1"/>
          <w:color w:val="auto"/>
        </w:rPr>
        <w:t>3A225 Frequency changers (a.k.a. converters or inverters) and generators, except those subject to the export licensing authority of the Nuclear Regulatory Commission (see 10 CFR part 110), that are usable as a variable frequency or fixed frequency motor drive and have all of the characteristics described in this ECCN (see List of Items Controlled).</w:t>
      </w:r>
    </w:p>
    <w:p>
      <w:pPr>
        <w:spacing w:after="0" w:line="21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9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2"/>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0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(See Supp. No. 1 to</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9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part 738)</w:t>
            </w:r>
          </w:p>
        </w:tc>
      </w:tr>
      <w:tr>
        <w:trPr>
          <w:trHeight w:val="244"/>
        </w:trPr>
        <w:tc>
          <w:tcPr>
            <w:tcW w:w="254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rPr>
              <w:t>NP applies to entire entry</w:t>
            </w:r>
          </w:p>
        </w:tc>
        <w:tc>
          <w:tcPr>
            <w:tcW w:w="1900" w:type="dxa"/>
            <w:vAlign w:val="bottom"/>
            <w:tcBorders>
              <w:bottom w:val="single" w:sz="8" w:color="auto"/>
              <w:right w:val="single" w:sz="8" w:color="auto"/>
            </w:tcBorders>
          </w:tcPr>
          <w:p>
            <w:pPr>
              <w:ind w:left="80"/>
              <w:spacing w:after="0" w:line="244"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jc w:val="both"/>
        <w:ind w:right="120"/>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0" w:lineRule="exact"/>
        <w:rPr>
          <w:sz w:val="20"/>
          <w:szCs w:val="20"/>
          <w:color w:val="auto"/>
        </w:rPr>
      </w:pPr>
      <w:r>
        <w:rPr>
          <w:sz w:val="20"/>
          <w:szCs w:val="20"/>
          <w:color w:val="auto"/>
        </w:rPr>
        <w:br w:type="column"/>
      </w:r>
    </w:p>
    <w:p>
      <w:pPr>
        <w:spacing w:after="0" w:line="225" w:lineRule="exact"/>
        <w:rPr>
          <w:sz w:val="20"/>
          <w:szCs w:val="20"/>
          <w:color w:val="auto"/>
        </w:rPr>
      </w:pPr>
    </w:p>
    <w:p>
      <w:pPr>
        <w:jc w:val="both"/>
        <w:ind w:left="180"/>
        <w:spacing w:after="0"/>
        <w:rPr>
          <w:sz w:val="20"/>
          <w:szCs w:val="20"/>
          <w:color w:val="auto"/>
        </w:rPr>
      </w:pPr>
      <w:r>
        <w:rPr>
          <w:rFonts w:ascii="Times New Roman" w:cs="Times New Roman" w:eastAsia="Times New Roman" w:hAnsi="Times New Roman"/>
          <w:sz w:val="22"/>
          <w:szCs w:val="22"/>
          <w:color w:val="auto"/>
        </w:rPr>
        <w:t xml:space="preserve">performance characteristics of frequency changers or generators to meet or exceed the level of the performance characteristics described in this entry. (3) See ECCNs </w:t>
      </w:r>
      <w:r>
        <w:rPr>
          <w:rFonts w:ascii="Times New Roman" w:cs="Times New Roman" w:eastAsia="Times New Roman" w:hAnsi="Times New Roman"/>
          <w:sz w:val="22"/>
          <w:szCs w:val="22"/>
          <w:u w:val="single" w:color="auto"/>
          <w:color w:val="0000FF"/>
        </w:rPr>
        <w:t>3E001</w:t>
      </w:r>
      <w:r>
        <w:rPr>
          <w:rFonts w:ascii="Times New Roman" w:cs="Times New Roman" w:eastAsia="Times New Roman" w:hAnsi="Times New Roman"/>
          <w:sz w:val="22"/>
          <w:szCs w:val="22"/>
          <w:color w:val="auto"/>
        </w:rPr>
        <w:t xml:space="preserve"> (“development” and “production”) and </w:t>
      </w:r>
      <w:r>
        <w:rPr>
          <w:rFonts w:ascii="Times New Roman" w:cs="Times New Roman" w:eastAsia="Times New Roman" w:hAnsi="Times New Roman"/>
          <w:sz w:val="22"/>
          <w:szCs w:val="22"/>
          <w:u w:val="single" w:color="auto"/>
          <w:color w:val="0000FF"/>
        </w:rPr>
        <w:t>3E201</w:t>
      </w:r>
      <w:r>
        <w:rPr>
          <w:rFonts w:ascii="Times New Roman" w:cs="Times New Roman" w:eastAsia="Times New Roman" w:hAnsi="Times New Roman"/>
          <w:sz w:val="22"/>
          <w:szCs w:val="22"/>
          <w:color w:val="auto"/>
        </w:rPr>
        <w:t xml:space="preserve"> (“use”) for technology for items controlled under this entry. (4) Frequency changers (a.k.a. converters or inverters) “specially designed” or prepared for use in separating uranium isotopes are subject to the export licensing authority of the Nuclear Regulatory Commission (see 10 CFR part 110).</w:t>
      </w:r>
    </w:p>
    <w:p>
      <w:pPr>
        <w:ind w:left="14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spacing w:after="0" w:line="271" w:lineRule="auto"/>
        <w:tabs>
          <w:tab w:leader="none" w:pos="331" w:val="left"/>
        </w:tabs>
        <w:numPr>
          <w:ilvl w:val="0"/>
          <w:numId w:val="3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Multiphase output providing a power of 40 VA or greater;</w:t>
      </w:r>
    </w:p>
    <w:p>
      <w:pPr>
        <w:spacing w:after="0" w:line="187" w:lineRule="exact"/>
        <w:rPr>
          <w:rFonts w:ascii="Times New Roman" w:cs="Times New Roman" w:eastAsia="Times New Roman" w:hAnsi="Times New Roman"/>
          <w:sz w:val="22"/>
          <w:szCs w:val="22"/>
          <w:color w:val="auto"/>
        </w:rPr>
      </w:pPr>
    </w:p>
    <w:p>
      <w:pPr>
        <w:spacing w:after="0" w:line="272" w:lineRule="auto"/>
        <w:tabs>
          <w:tab w:leader="none" w:pos="300" w:val="left"/>
        </w:tabs>
        <w:numPr>
          <w:ilvl w:val="0"/>
          <w:numId w:val="3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Operating at a frequency of 600 Hz or more; </w:t>
      </w:r>
      <w:r>
        <w:rPr>
          <w:rFonts w:ascii="Times New Roman" w:cs="Times New Roman" w:eastAsia="Times New Roman" w:hAnsi="Times New Roman"/>
          <w:sz w:val="22"/>
          <w:szCs w:val="22"/>
          <w:i w:val="1"/>
          <w:iCs w:val="1"/>
          <w:color w:val="auto"/>
        </w:rPr>
        <w:t>and</w:t>
      </w:r>
    </w:p>
    <w:p>
      <w:pPr>
        <w:spacing w:after="0" w:line="186" w:lineRule="exact"/>
        <w:rPr>
          <w:rFonts w:ascii="Times New Roman" w:cs="Times New Roman" w:eastAsia="Times New Roman" w:hAnsi="Times New Roman"/>
          <w:sz w:val="22"/>
          <w:szCs w:val="22"/>
          <w:color w:val="auto"/>
        </w:rPr>
      </w:pPr>
    </w:p>
    <w:p>
      <w:pPr>
        <w:ind w:left="260" w:hanging="260"/>
        <w:spacing w:after="0"/>
        <w:tabs>
          <w:tab w:leader="none" w:pos="260" w:val="left"/>
        </w:tabs>
        <w:numPr>
          <w:ilvl w:val="0"/>
          <w:numId w:val="3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Frequency control better (less) than 0.2%.</w:t>
      </w:r>
    </w:p>
    <w:p>
      <w:pPr>
        <w:spacing w:after="0" w:line="249"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b w:val="1"/>
          <w:bCs w:val="1"/>
          <w:i w:val="1"/>
          <w:iCs w:val="1"/>
          <w:color w:val="auto"/>
        </w:rPr>
        <w:t>Notes:</w:t>
      </w:r>
    </w:p>
    <w:p>
      <w:pPr>
        <w:spacing w:after="0" w:line="254" w:lineRule="exact"/>
        <w:rPr>
          <w:sz w:val="20"/>
          <w:szCs w:val="20"/>
          <w:color w:val="auto"/>
        </w:rPr>
      </w:pPr>
    </w:p>
    <w:p>
      <w:pPr>
        <w:jc w:val="both"/>
        <w:ind w:firstLine="144"/>
        <w:spacing w:after="0"/>
        <w:tabs>
          <w:tab w:leader="none" w:pos="443" w:val="left"/>
        </w:tabs>
        <w:numPr>
          <w:ilvl w:val="0"/>
          <w:numId w:val="40"/>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This ECCN controls frequency changers intended for use in specific industrial machinery and/or consumer goods (machine tools, vehicles, etc.) only if the frequency changers can meet the performance characteristics described in this entry when removed from the machinery and/or goods. This Note does not exclude from control under this entry any frequency changer described herein that is the principal element of a non-controlled item and can feasibly be removed or used for other purposes.</w:t>
      </w:r>
    </w:p>
    <w:p>
      <w:pPr>
        <w:spacing w:after="0" w:line="4" w:lineRule="exact"/>
        <w:rPr>
          <w:rFonts w:ascii="Times New Roman" w:cs="Times New Roman" w:eastAsia="Times New Roman" w:hAnsi="Times New Roman"/>
          <w:sz w:val="22"/>
          <w:szCs w:val="22"/>
          <w:b w:val="1"/>
          <w:bCs w:val="1"/>
          <w:i w:val="1"/>
          <w:iCs w:val="1"/>
          <w:color w:val="auto"/>
        </w:rPr>
      </w:pPr>
    </w:p>
    <w:p>
      <w:pPr>
        <w:jc w:val="both"/>
        <w:ind w:firstLine="144"/>
        <w:spacing w:after="0" w:line="247" w:lineRule="auto"/>
        <w:tabs>
          <w:tab w:leader="none" w:pos="706" w:val="left"/>
        </w:tabs>
        <w:numPr>
          <w:ilvl w:val="0"/>
          <w:numId w:val="40"/>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To determine whether a particular frequency changer meets or exceeds the performance characteristics described in this entry, both hardware and “software” performance constraints must be considered.</w:t>
      </w:r>
    </w:p>
    <w:p>
      <w:pPr>
        <w:spacing w:after="0" w:line="210"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57" w:lineRule="exact"/>
        <w:rPr>
          <w:sz w:val="20"/>
          <w:szCs w:val="20"/>
          <w:color w:val="auto"/>
        </w:rPr>
      </w:pPr>
    </w:p>
    <w:p>
      <w:pPr>
        <w:sectPr>
          <w:pgSz w:w="12240" w:h="15840" w:orient="portrait"/>
          <w:cols w:equalWidth="0" w:num="2">
            <w:col w:w="4440" w:space="600"/>
            <w:col w:w="4320"/>
          </w:cols>
          <w:pgMar w:left="1440" w:top="1062" w:right="1440" w:bottom="892" w:gutter="0" w:footer="0" w:header="0"/>
          <w:type w:val="continuous"/>
        </w:sectPr>
      </w:pPr>
    </w:p>
    <w:p>
      <w:pPr>
        <w:jc w:val="both"/>
        <w:ind w:left="180" w:right="144" w:hanging="35"/>
        <w:spacing w:after="0" w:line="24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w:t>
      </w:r>
      <w:r>
        <w:rPr>
          <w:sz w:val="20"/>
          <w:szCs w:val="20"/>
          <w:color w:val="auto"/>
        </w:rPr>
        <w:t xml:space="preserve"> </w:t>
      </w:r>
      <w:r>
        <w:rPr>
          <w:rFonts w:ascii="Times New Roman" w:cs="Times New Roman" w:eastAsia="Times New Roman" w:hAnsi="Times New Roman"/>
          <w:sz w:val="22"/>
          <w:szCs w:val="22"/>
          <w:color w:val="auto"/>
        </w:rPr>
        <w:t>(1) See ECCN 3D201 for “software” “specially designed” for the “use” of equipment described in this entry. (2) See ECCN 3D202 for “software” “specially designed” to enhance or release the</w:t>
      </w:r>
    </w:p>
    <w:p>
      <w:pPr>
        <w:spacing w:after="0" w:line="20" w:lineRule="exact"/>
        <w:rPr>
          <w:sz w:val="20"/>
          <w:szCs w:val="20"/>
          <w:color w:val="auto"/>
        </w:rPr>
      </w:pPr>
      <w:r>
        <w:rPr>
          <w:sz w:val="20"/>
          <w:szCs w:val="20"/>
          <w:color w:val="auto"/>
        </w:rPr>
        <w:br w:type="column"/>
      </w:r>
    </w:p>
    <w:p>
      <w:pPr>
        <w:spacing w:after="0" w:line="178" w:lineRule="exact"/>
        <w:rPr>
          <w:sz w:val="20"/>
          <w:szCs w:val="20"/>
          <w:color w:val="auto"/>
        </w:rPr>
      </w:pPr>
    </w:p>
    <w:p>
      <w:pPr>
        <w:jc w:val="both"/>
        <w:ind w:left="-144" w:firstLine="144"/>
        <w:spacing w:after="0" w:line="257" w:lineRule="auto"/>
        <w:tabs>
          <w:tab w:leader="none" w:pos="332" w:val="left"/>
        </w:tabs>
        <w:numPr>
          <w:ilvl w:val="0"/>
          <w:numId w:val="41"/>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Frequency changers controlled by this ECCN are also known as converters or inverters.</w:t>
      </w:r>
    </w:p>
    <w:p>
      <w:pPr>
        <w:spacing w:after="0" w:line="491" w:lineRule="exact"/>
        <w:rPr>
          <w:sz w:val="20"/>
          <w:szCs w:val="20"/>
          <w:color w:val="auto"/>
        </w:rPr>
      </w:pPr>
    </w:p>
    <w:p>
      <w:pPr>
        <w:sectPr>
          <w:pgSz w:w="12240" w:h="15840" w:orient="portrait"/>
          <w:cols w:equalWidth="0" w:num="2">
            <w:col w:w="4464" w:space="720"/>
            <w:col w:w="4176"/>
          </w:cols>
          <w:pgMar w:left="1440" w:top="1062" w:right="1440" w:bottom="892" w:gutter="0" w:footer="0" w:header="0"/>
          <w:type w:val="continuous"/>
        </w:sectPr>
      </w:pPr>
    </w:p>
    <w:p>
      <w:pPr>
        <w:spacing w:after="0" w:line="230"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23" w:name="page24"/>
    <w:bookmarkEnd w:id="23"/>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24</w:t>
      </w:r>
    </w:p>
    <w:p>
      <w:pPr>
        <w:sectPr>
          <w:pgSz w:w="12240" w:h="15840" w:orient="portrait"/>
          <w:cols w:equalWidth="0" w:num="1">
            <w:col w:w="9480"/>
          </w:cols>
          <w:pgMar w:left="1440" w:top="1062" w:right="1320" w:bottom="892" w:gutter="0" w:footer="0" w:header="0"/>
        </w:sectPr>
      </w:pPr>
    </w:p>
    <w:p>
      <w:pPr>
        <w:spacing w:after="0" w:line="242" w:lineRule="exact"/>
        <w:rPr>
          <w:sz w:val="20"/>
          <w:szCs w:val="20"/>
          <w:color w:val="auto"/>
        </w:rPr>
      </w:pPr>
    </w:p>
    <w:p>
      <w:pPr>
        <w:jc w:val="both"/>
        <w:ind w:right="120" w:firstLine="144"/>
        <w:spacing w:after="0" w:line="245" w:lineRule="auto"/>
        <w:tabs>
          <w:tab w:leader="none" w:pos="408" w:val="left"/>
        </w:tabs>
        <w:numPr>
          <w:ilvl w:val="0"/>
          <w:numId w:val="42"/>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The performance characteristics described in this ECCN also may be met by certain equipment marketed as: generators, electronic test equipment, AC power supplies, variable speed motor drives, variable speed drives (VSDs), variable frequency drives (VFDs), adjustable frequency drives (AFDs), or adjustable speed drives (ASDs).</w:t>
      </w:r>
    </w:p>
    <w:p>
      <w:pPr>
        <w:spacing w:after="0" w:line="200" w:lineRule="exact"/>
        <w:rPr>
          <w:sz w:val="20"/>
          <w:szCs w:val="20"/>
          <w:color w:val="auto"/>
        </w:rPr>
      </w:pPr>
    </w:p>
    <w:p>
      <w:pPr>
        <w:spacing w:after="0" w:line="264" w:lineRule="exact"/>
        <w:rPr>
          <w:sz w:val="20"/>
          <w:szCs w:val="20"/>
          <w:color w:val="auto"/>
        </w:rPr>
      </w:pPr>
    </w:p>
    <w:p>
      <w:pPr>
        <w:jc w:val="both"/>
        <w:ind w:right="120"/>
        <w:spacing w:after="0" w:line="246" w:lineRule="auto"/>
        <w:rPr>
          <w:sz w:val="20"/>
          <w:szCs w:val="20"/>
          <w:color w:val="auto"/>
        </w:rPr>
      </w:pPr>
      <w:r>
        <w:rPr>
          <w:rFonts w:ascii="Times New Roman" w:cs="Times New Roman" w:eastAsia="Times New Roman" w:hAnsi="Times New Roman"/>
          <w:sz w:val="22"/>
          <w:szCs w:val="22"/>
          <w:b w:val="1"/>
          <w:bCs w:val="1"/>
          <w:color w:val="auto"/>
        </w:rPr>
        <w:t>3A226 High-power direct current power supplies having both of the following characteristics (see List of Items Controlled) , excluding items that are subject to the export licensing authority of the Nuclear Regulatory Commission (see 10 CFR part 110).</w:t>
      </w:r>
    </w:p>
    <w:p>
      <w:pPr>
        <w:spacing w:after="0" w:line="21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9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0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(See Supp. No. 1 to</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9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part 738)</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NP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NP Column 1</w:t>
            </w:r>
          </w:p>
        </w:tc>
      </w:tr>
      <w:tr>
        <w:trPr>
          <w:trHeight w:val="244"/>
        </w:trPr>
        <w:tc>
          <w:tcPr>
            <w:tcW w:w="254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00" w:type="dxa"/>
            <w:vAlign w:val="bottom"/>
            <w:tcBorders>
              <w:bottom w:val="single" w:sz="8" w:color="auto"/>
              <w:right w:val="single" w:sz="8" w:color="auto"/>
            </w:tcBorders>
          </w:tcPr>
          <w:p>
            <w:pPr>
              <w:ind w:left="8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2" w:lineRule="exact"/>
        <w:rPr>
          <w:sz w:val="20"/>
          <w:szCs w:val="20"/>
          <w:color w:val="auto"/>
        </w:rPr>
      </w:pPr>
    </w:p>
    <w:p>
      <w:pPr>
        <w:jc w:val="both"/>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spacing w:after="0" w:line="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both"/>
        <w:ind w:left="180" w:right="12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3E001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3E201</w:t>
      </w:r>
      <w:r>
        <w:rPr>
          <w:rFonts w:ascii="Times New Roman" w:cs="Times New Roman" w:eastAsia="Times New Roman" w:hAnsi="Times New Roman"/>
          <w:sz w:val="22"/>
          <w:szCs w:val="22"/>
          <w:color w:val="auto"/>
        </w:rPr>
        <w:t xml:space="preserve"> (“use”) for technology for items controlled under this entry. (2) Also see ECCN </w:t>
      </w:r>
      <w:r>
        <w:rPr>
          <w:rFonts w:ascii="Times New Roman" w:cs="Times New Roman" w:eastAsia="Times New Roman" w:hAnsi="Times New Roman"/>
          <w:sz w:val="22"/>
          <w:szCs w:val="22"/>
          <w:u w:val="single" w:color="auto"/>
          <w:color w:val="0000FF"/>
        </w:rPr>
        <w:t>3A227</w:t>
      </w:r>
      <w:r>
        <w:rPr>
          <w:rFonts w:ascii="Times New Roman" w:cs="Times New Roman" w:eastAsia="Times New Roman" w:hAnsi="Times New Roman"/>
          <w:sz w:val="22"/>
          <w:szCs w:val="22"/>
          <w:color w:val="auto"/>
        </w:rPr>
        <w:t>.</w:t>
      </w:r>
    </w:p>
    <w:p>
      <w:pPr>
        <w:spacing w:after="0" w:line="4" w:lineRule="exact"/>
        <w:rPr>
          <w:sz w:val="20"/>
          <w:szCs w:val="20"/>
          <w:color w:val="auto"/>
        </w:rPr>
      </w:pPr>
    </w:p>
    <w:p>
      <w:pPr>
        <w:jc w:val="both"/>
        <w:ind w:left="180" w:right="120"/>
        <w:spacing w:after="0" w:line="247" w:lineRule="auto"/>
        <w:tabs>
          <w:tab w:leader="none" w:pos="549" w:val="left"/>
        </w:tabs>
        <w:numPr>
          <w:ilvl w:val="0"/>
          <w:numId w:val="4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Direct current power supplies “specially designed” or prepared for use in separating uranium isotopes are subject to the export licensing authority of the Nuclear Regulatory Commission (see 10 CFR part 110).</w:t>
      </w:r>
    </w:p>
    <w:p>
      <w:pPr>
        <w:spacing w:after="0" w:line="21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spacing w:after="0" w:line="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8" w:lineRule="exact"/>
        <w:rPr>
          <w:sz w:val="20"/>
          <w:szCs w:val="20"/>
          <w:color w:val="auto"/>
        </w:rPr>
      </w:pPr>
    </w:p>
    <w:p>
      <w:pPr>
        <w:jc w:val="both"/>
        <w:ind w:right="120"/>
        <w:spacing w:after="0" w:line="255" w:lineRule="auto"/>
        <w:tabs>
          <w:tab w:leader="none" w:pos="350" w:val="left"/>
        </w:tabs>
        <w:numPr>
          <w:ilvl w:val="0"/>
          <w:numId w:val="4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Capable of continuously producing, over a time period of 8 hours, 100 V or greater with current output of 500 A or greater; </w:t>
      </w:r>
      <w:r>
        <w:rPr>
          <w:rFonts w:ascii="Times New Roman" w:cs="Times New Roman" w:eastAsia="Times New Roman" w:hAnsi="Times New Roman"/>
          <w:sz w:val="22"/>
          <w:szCs w:val="22"/>
          <w:i w:val="1"/>
          <w:iCs w:val="1"/>
          <w:color w:val="auto"/>
        </w:rPr>
        <w:t>and</w:t>
      </w:r>
    </w:p>
    <w:p>
      <w:pPr>
        <w:spacing w:after="0" w:line="205" w:lineRule="exact"/>
        <w:rPr>
          <w:rFonts w:ascii="Times New Roman" w:cs="Times New Roman" w:eastAsia="Times New Roman" w:hAnsi="Times New Roman"/>
          <w:sz w:val="22"/>
          <w:szCs w:val="22"/>
          <w:color w:val="auto"/>
        </w:rPr>
      </w:pPr>
    </w:p>
    <w:p>
      <w:pPr>
        <w:ind w:right="120"/>
        <w:spacing w:after="0" w:line="271" w:lineRule="auto"/>
        <w:tabs>
          <w:tab w:leader="none" w:pos="316" w:val="left"/>
        </w:tabs>
        <w:numPr>
          <w:ilvl w:val="0"/>
          <w:numId w:val="4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Current or voltage stability better than 0.1% over a time period of 8 hours.</w:t>
      </w:r>
    </w:p>
    <w:p>
      <w:pPr>
        <w:spacing w:after="0" w:line="200" w:lineRule="exact"/>
        <w:rPr>
          <w:sz w:val="20"/>
          <w:szCs w:val="20"/>
          <w:color w:val="auto"/>
        </w:rPr>
      </w:pPr>
    </w:p>
    <w:p>
      <w:pPr>
        <w:spacing w:after="0" w:line="237" w:lineRule="exact"/>
        <w:rPr>
          <w:sz w:val="20"/>
          <w:szCs w:val="20"/>
          <w:color w:val="auto"/>
        </w:rPr>
      </w:pPr>
    </w:p>
    <w:p>
      <w:pPr>
        <w:jc w:val="both"/>
        <w:ind w:right="120"/>
        <w:spacing w:after="0" w:line="246" w:lineRule="auto"/>
        <w:rPr>
          <w:sz w:val="20"/>
          <w:szCs w:val="20"/>
          <w:color w:val="auto"/>
        </w:rPr>
      </w:pPr>
      <w:r>
        <w:rPr>
          <w:rFonts w:ascii="Times New Roman" w:cs="Times New Roman" w:eastAsia="Times New Roman" w:hAnsi="Times New Roman"/>
          <w:sz w:val="22"/>
          <w:szCs w:val="22"/>
          <w:b w:val="1"/>
          <w:bCs w:val="1"/>
          <w:color w:val="auto"/>
        </w:rPr>
        <w:t>3A227 High-voltage direct current power supplies, having both of the following characteristics (see List of Items Controlled) , excluding items that are subject to the export licensing authority of the Nuclear Regulatory Commission (see 10 CFR part 110).</w:t>
      </w:r>
    </w:p>
    <w:p>
      <w:pPr>
        <w:spacing w:after="0" w:line="21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9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0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(See Supp. No. 1 to</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9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part 738)</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NP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NP Column 1</w:t>
            </w:r>
          </w:p>
        </w:tc>
      </w:tr>
      <w:tr>
        <w:trPr>
          <w:trHeight w:val="244"/>
        </w:trPr>
        <w:tc>
          <w:tcPr>
            <w:tcW w:w="254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00" w:type="dxa"/>
            <w:vAlign w:val="bottom"/>
            <w:tcBorders>
              <w:bottom w:val="single" w:sz="8" w:color="auto"/>
              <w:right w:val="single" w:sz="8" w:color="auto"/>
            </w:tcBorders>
          </w:tcPr>
          <w:p>
            <w:pPr>
              <w:ind w:left="8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2" w:lineRule="exact"/>
        <w:rPr>
          <w:sz w:val="20"/>
          <w:szCs w:val="20"/>
          <w:color w:val="auto"/>
        </w:rPr>
      </w:pPr>
    </w:p>
    <w:p>
      <w:pPr>
        <w:jc w:val="both"/>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spacing w:after="0" w:line="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both"/>
        <w:ind w:left="180" w:right="12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3E001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3E201</w:t>
      </w:r>
      <w:r>
        <w:rPr>
          <w:rFonts w:ascii="Times New Roman" w:cs="Times New Roman" w:eastAsia="Times New Roman" w:hAnsi="Times New Roman"/>
          <w:sz w:val="22"/>
          <w:szCs w:val="22"/>
          <w:color w:val="auto"/>
        </w:rPr>
        <w:t xml:space="preserve"> (“use”) for technology for items controlled under this entry. (2) Also see ECCN </w:t>
      </w:r>
      <w:r>
        <w:rPr>
          <w:rFonts w:ascii="Times New Roman" w:cs="Times New Roman" w:eastAsia="Times New Roman" w:hAnsi="Times New Roman"/>
          <w:sz w:val="22"/>
          <w:szCs w:val="22"/>
          <w:u w:val="single" w:color="auto"/>
          <w:color w:val="0000FF"/>
        </w:rPr>
        <w:t>3A226</w:t>
      </w:r>
      <w:r>
        <w:rPr>
          <w:rFonts w:ascii="Times New Roman" w:cs="Times New Roman" w:eastAsia="Times New Roman" w:hAnsi="Times New Roman"/>
          <w:sz w:val="22"/>
          <w:szCs w:val="22"/>
          <w:color w:val="auto"/>
        </w:rPr>
        <w:t>.</w:t>
      </w:r>
    </w:p>
    <w:p>
      <w:pPr>
        <w:spacing w:after="0" w:line="4" w:lineRule="exact"/>
        <w:rPr>
          <w:sz w:val="20"/>
          <w:szCs w:val="20"/>
          <w:color w:val="auto"/>
        </w:rPr>
      </w:pPr>
    </w:p>
    <w:p>
      <w:pPr>
        <w:jc w:val="both"/>
        <w:ind w:left="180" w:right="120"/>
        <w:spacing w:after="0" w:line="247" w:lineRule="auto"/>
        <w:tabs>
          <w:tab w:leader="none" w:pos="549" w:val="left"/>
        </w:tabs>
        <w:numPr>
          <w:ilvl w:val="0"/>
          <w:numId w:val="4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Direct current power supplies “specially designed” or prepared for use in separating uranium isotopes are subject to the export licensing authority of the Nuclear Regulatory Commission (see 10 CFR part 110).</w:t>
      </w:r>
    </w:p>
    <w:p>
      <w:pPr>
        <w:spacing w:after="0" w:line="21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451" w:lineRule="exact"/>
        <w:rPr>
          <w:sz w:val="20"/>
          <w:szCs w:val="20"/>
          <w:color w:val="auto"/>
        </w:rPr>
      </w:pPr>
    </w:p>
    <w:p>
      <w:pPr>
        <w:sectPr>
          <w:pgSz w:w="12240" w:h="15840" w:orient="portrait"/>
          <w:cols w:equalWidth="0" w:num="2">
            <w:col w:w="4440" w:space="600"/>
            <w:col w:w="4440"/>
          </w:cols>
          <w:pgMar w:left="1440" w:top="1062" w:right="1320" w:bottom="892" w:gutter="0" w:footer="0" w:header="0"/>
          <w:type w:val="continuous"/>
        </w:sectPr>
      </w:pPr>
    </w:p>
    <w:p>
      <w:pPr>
        <w:spacing w:after="0" w:line="280"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062" w:right="1320" w:bottom="892" w:gutter="0" w:footer="0" w:header="0"/>
          <w:type w:val="continuous"/>
        </w:sectPr>
      </w:pPr>
    </w:p>
    <w:bookmarkStart w:id="24" w:name="page25"/>
    <w:bookmarkEnd w:id="24"/>
    <w:p>
      <w:pPr>
        <w:ind w:left="120"/>
        <w:spacing w:after="0"/>
        <w:tabs>
          <w:tab w:leader="none" w:pos="3660" w:val="left"/>
          <w:tab w:leader="none" w:pos="786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25</w:t>
      </w:r>
    </w:p>
    <w:p>
      <w:pPr>
        <w:sectPr>
          <w:pgSz w:w="12240" w:h="15840" w:orient="portrait"/>
          <w:cols w:equalWidth="0" w:num="1">
            <w:col w:w="9500"/>
          </w:cols>
          <w:pgMar w:left="1320" w:top="1062" w:right="1420" w:bottom="892" w:gutter="0" w:footer="0" w:header="0"/>
        </w:sectPr>
      </w:pPr>
    </w:p>
    <w:p>
      <w:pPr>
        <w:spacing w:after="0" w:line="245" w:lineRule="exact"/>
        <w:rPr>
          <w:sz w:val="20"/>
          <w:szCs w:val="20"/>
          <w:color w:val="auto"/>
        </w:rPr>
      </w:pPr>
    </w:p>
    <w:p>
      <w:pPr>
        <w:jc w:val="both"/>
        <w:ind w:left="120" w:right="120"/>
        <w:spacing w:after="0" w:line="255" w:lineRule="auto"/>
        <w:tabs>
          <w:tab w:leader="none" w:pos="470" w:val="left"/>
        </w:tabs>
        <w:numPr>
          <w:ilvl w:val="0"/>
          <w:numId w:val="4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Capable of continuously producing, over a time period of 8 hours, 20 kV or greater with current output of 1 A or greater; </w:t>
      </w:r>
      <w:r>
        <w:rPr>
          <w:rFonts w:ascii="Times New Roman" w:cs="Times New Roman" w:eastAsia="Times New Roman" w:hAnsi="Times New Roman"/>
          <w:sz w:val="22"/>
          <w:szCs w:val="22"/>
          <w:i w:val="1"/>
          <w:iCs w:val="1"/>
          <w:color w:val="auto"/>
        </w:rPr>
        <w:t>and</w:t>
      </w:r>
    </w:p>
    <w:p>
      <w:pPr>
        <w:spacing w:after="0" w:line="205" w:lineRule="exact"/>
        <w:rPr>
          <w:rFonts w:ascii="Times New Roman" w:cs="Times New Roman" w:eastAsia="Times New Roman" w:hAnsi="Times New Roman"/>
          <w:sz w:val="22"/>
          <w:szCs w:val="22"/>
          <w:color w:val="auto"/>
        </w:rPr>
      </w:pPr>
    </w:p>
    <w:p>
      <w:pPr>
        <w:ind w:left="120" w:right="120"/>
        <w:spacing w:after="0" w:line="271" w:lineRule="auto"/>
        <w:tabs>
          <w:tab w:leader="none" w:pos="436" w:val="left"/>
        </w:tabs>
        <w:numPr>
          <w:ilvl w:val="0"/>
          <w:numId w:val="4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Current or voltage stability better than 0.1% over a time period of 8 hours.</w:t>
      </w:r>
    </w:p>
    <w:p>
      <w:pPr>
        <w:spacing w:after="0" w:line="200" w:lineRule="exact"/>
        <w:rPr>
          <w:sz w:val="20"/>
          <w:szCs w:val="20"/>
          <w:color w:val="auto"/>
        </w:rPr>
      </w:pPr>
    </w:p>
    <w:p>
      <w:pPr>
        <w:spacing w:after="0" w:line="200" w:lineRule="exact"/>
        <w:rPr>
          <w:sz w:val="20"/>
          <w:szCs w:val="20"/>
          <w:color w:val="auto"/>
        </w:rPr>
      </w:pPr>
    </w:p>
    <w:p>
      <w:pPr>
        <w:spacing w:after="0" w:line="291" w:lineRule="exact"/>
        <w:rPr>
          <w:sz w:val="20"/>
          <w:szCs w:val="20"/>
          <w:color w:val="auto"/>
        </w:rPr>
      </w:pPr>
    </w:p>
    <w:p>
      <w:pPr>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3A228 Switching devices, as follows (see List of Items Controlled).</w:t>
      </w:r>
    </w:p>
    <w:p>
      <w:pPr>
        <w:spacing w:after="0" w:line="182"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260"/>
        <w:spacing w:after="0"/>
        <w:tabs>
          <w:tab w:leader="none" w:pos="21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660" w:type="dxa"/>
            <w:vAlign w:val="bottom"/>
            <w:tcBorders>
              <w:top w:val="single" w:sz="8" w:color="auto"/>
              <w:left w:val="single" w:sz="8" w:color="auto"/>
              <w:right w:val="single" w:sz="8" w:color="auto"/>
            </w:tcBorders>
          </w:tcPr>
          <w:p>
            <w:pPr>
              <w:spacing w:after="0"/>
              <w:rPr>
                <w:sz w:val="21"/>
                <w:szCs w:val="21"/>
                <w:color w:val="auto"/>
              </w:rPr>
            </w:pPr>
          </w:p>
        </w:tc>
        <w:tc>
          <w:tcPr>
            <w:tcW w:w="19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660" w:type="dxa"/>
            <w:vAlign w:val="bottom"/>
            <w:tcBorders>
              <w:left w:val="single" w:sz="8" w:color="auto"/>
              <w:right w:val="single" w:sz="8" w:color="auto"/>
            </w:tcBorders>
          </w:tcPr>
          <w:p>
            <w:pPr>
              <w:ind w:left="8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0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(See Supp. No. 1 to</w:t>
            </w:r>
          </w:p>
        </w:tc>
      </w:tr>
      <w:tr>
        <w:trPr>
          <w:trHeight w:val="272"/>
        </w:trPr>
        <w:tc>
          <w:tcPr>
            <w:tcW w:w="2660" w:type="dxa"/>
            <w:vAlign w:val="bottom"/>
            <w:tcBorders>
              <w:left w:val="single" w:sz="8" w:color="auto"/>
              <w:bottom w:val="single" w:sz="8" w:color="auto"/>
              <w:right w:val="single" w:sz="8" w:color="auto"/>
            </w:tcBorders>
          </w:tcPr>
          <w:p>
            <w:pPr>
              <w:spacing w:after="0"/>
              <w:rPr>
                <w:sz w:val="23"/>
                <w:szCs w:val="23"/>
                <w:color w:val="auto"/>
              </w:rPr>
            </w:pPr>
          </w:p>
        </w:tc>
        <w:tc>
          <w:tcPr>
            <w:tcW w:w="19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part 738)</w:t>
            </w:r>
          </w:p>
        </w:tc>
      </w:tr>
      <w:tr>
        <w:trPr>
          <w:trHeight w:val="243"/>
        </w:trPr>
        <w:tc>
          <w:tcPr>
            <w:tcW w:w="266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NP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66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jc w:val="both"/>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2" w:lineRule="exact"/>
        <w:rPr>
          <w:sz w:val="20"/>
          <w:szCs w:val="20"/>
          <w:color w:val="auto"/>
        </w:rPr>
      </w:pPr>
    </w:p>
    <w:p>
      <w:pPr>
        <w:ind w:left="26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spacing w:after="0" w:line="3" w:lineRule="exact"/>
        <w:rPr>
          <w:sz w:val="20"/>
          <w:szCs w:val="20"/>
          <w:color w:val="auto"/>
        </w:rPr>
      </w:pPr>
    </w:p>
    <w:p>
      <w:pPr>
        <w:ind w:left="26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260"/>
        <w:spacing w:after="0"/>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260" w:right="120" w:firstLine="36"/>
        <w:spacing w:after="0" w:line="24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3E001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3E201</w:t>
      </w:r>
      <w:r>
        <w:rPr>
          <w:rFonts w:ascii="Times New Roman" w:cs="Times New Roman" w:eastAsia="Times New Roman" w:hAnsi="Times New Roman"/>
          <w:sz w:val="22"/>
          <w:szCs w:val="22"/>
          <w:color w:val="auto"/>
        </w:rPr>
        <w:t xml:space="preserve"> (“use”) for technology for items controlled under this entry. (2) Also see ECCN </w:t>
      </w:r>
      <w:r>
        <w:rPr>
          <w:rFonts w:ascii="Times New Roman" w:cs="Times New Roman" w:eastAsia="Times New Roman" w:hAnsi="Times New Roman"/>
          <w:sz w:val="22"/>
          <w:szCs w:val="22"/>
          <w:u w:val="single" w:color="auto"/>
          <w:color w:val="0000FF"/>
        </w:rPr>
        <w:t>3A991.k</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200" w:lineRule="exact"/>
        <w:rPr>
          <w:sz w:val="20"/>
          <w:szCs w:val="20"/>
          <w:color w:val="auto"/>
        </w:rPr>
      </w:pPr>
    </w:p>
    <w:p>
      <w:pPr>
        <w:spacing w:after="0" w:line="273" w:lineRule="exact"/>
        <w:rPr>
          <w:sz w:val="20"/>
          <w:szCs w:val="20"/>
          <w:color w:val="auto"/>
        </w:rPr>
      </w:pPr>
    </w:p>
    <w:p>
      <w:pPr>
        <w:jc w:val="both"/>
        <w:ind w:left="120" w:right="120"/>
        <w:spacing w:after="0" w:line="255" w:lineRule="auto"/>
        <w:tabs>
          <w:tab w:leader="none" w:pos="393" w:val="left"/>
        </w:tabs>
        <w:numPr>
          <w:ilvl w:val="0"/>
          <w:numId w:val="4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Cold-cathode tubes, whether gas filled or not, operating similarly to a spark gap, having all of the following characteristics:</w:t>
      </w:r>
    </w:p>
    <w:p>
      <w:pPr>
        <w:spacing w:after="0" w:line="205" w:lineRule="exact"/>
        <w:rPr>
          <w:sz w:val="20"/>
          <w:szCs w:val="20"/>
          <w:color w:val="auto"/>
        </w:rPr>
      </w:pPr>
    </w:p>
    <w:p>
      <w:pPr>
        <w:ind w:left="260"/>
        <w:spacing w:after="0"/>
        <w:rPr>
          <w:sz w:val="20"/>
          <w:szCs w:val="20"/>
          <w:color w:val="auto"/>
        </w:rPr>
      </w:pPr>
      <w:r>
        <w:rPr>
          <w:rFonts w:ascii="Times New Roman" w:cs="Times New Roman" w:eastAsia="Times New Roman" w:hAnsi="Times New Roman"/>
          <w:sz w:val="22"/>
          <w:szCs w:val="22"/>
          <w:color w:val="auto"/>
        </w:rPr>
        <w:t>a.1. Containing three or more electrodes;</w:t>
      </w:r>
    </w:p>
    <w:p>
      <w:pPr>
        <w:spacing w:after="0" w:line="253" w:lineRule="exact"/>
        <w:rPr>
          <w:sz w:val="20"/>
          <w:szCs w:val="20"/>
          <w:color w:val="auto"/>
        </w:rPr>
      </w:pPr>
    </w:p>
    <w:p>
      <w:pPr>
        <w:ind w:left="120" w:right="120" w:firstLine="144"/>
        <w:spacing w:after="0" w:line="271" w:lineRule="auto"/>
        <w:rPr>
          <w:sz w:val="20"/>
          <w:szCs w:val="20"/>
          <w:color w:val="auto"/>
        </w:rPr>
      </w:pPr>
      <w:r>
        <w:rPr>
          <w:rFonts w:ascii="Times New Roman" w:cs="Times New Roman" w:eastAsia="Times New Roman" w:hAnsi="Times New Roman"/>
          <w:sz w:val="22"/>
          <w:szCs w:val="22"/>
          <w:color w:val="auto"/>
        </w:rPr>
        <w:t>a.2. Anode peak voltage rating of 2.5 kV or more;</w:t>
      </w:r>
    </w:p>
    <w:p>
      <w:pPr>
        <w:spacing w:after="0" w:line="187" w:lineRule="exact"/>
        <w:rPr>
          <w:sz w:val="20"/>
          <w:szCs w:val="20"/>
          <w:color w:val="auto"/>
        </w:rPr>
      </w:pPr>
    </w:p>
    <w:p>
      <w:pPr>
        <w:ind w:left="260"/>
        <w:spacing w:after="0"/>
        <w:tabs>
          <w:tab w:leader="none" w:pos="760" w:val="left"/>
        </w:tabs>
        <w:rPr>
          <w:sz w:val="20"/>
          <w:szCs w:val="20"/>
          <w:color w:val="auto"/>
        </w:rPr>
      </w:pPr>
      <w:r>
        <w:rPr>
          <w:rFonts w:ascii="Times New Roman" w:cs="Times New Roman" w:eastAsia="Times New Roman" w:hAnsi="Times New Roman"/>
          <w:sz w:val="22"/>
          <w:szCs w:val="22"/>
          <w:color w:val="auto"/>
        </w:rPr>
        <w:t>a.3.</w:t>
        <w:tab/>
        <w:t>Anode peak current rating of 100 A or</w:t>
      </w:r>
    </w:p>
    <w:p>
      <w:pPr>
        <w:spacing w:after="0" w:line="20" w:lineRule="exact"/>
        <w:rPr>
          <w:sz w:val="20"/>
          <w:szCs w:val="20"/>
          <w:color w:val="auto"/>
        </w:rPr>
      </w:pPr>
      <w:r>
        <w:rPr>
          <w:sz w:val="20"/>
          <w:szCs w:val="20"/>
          <w:color w:val="auto"/>
        </w:rPr>
        <w:br w:type="column"/>
      </w:r>
    </w:p>
    <w:p>
      <w:pPr>
        <w:spacing w:after="0" w:line="22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 xml:space="preserve">more; </w:t>
      </w:r>
      <w:r>
        <w:rPr>
          <w:rFonts w:ascii="Times New Roman" w:cs="Times New Roman" w:eastAsia="Times New Roman" w:hAnsi="Times New Roman"/>
          <w:sz w:val="22"/>
          <w:szCs w:val="22"/>
          <w:i w:val="1"/>
          <w:iCs w:val="1"/>
          <w:color w:val="auto"/>
        </w:rPr>
        <w:t>and</w:t>
      </w:r>
    </w:p>
    <w:p>
      <w:pPr>
        <w:spacing w:after="0" w:line="255"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 xml:space="preserve">a.4. Anode delay time of 10 </w:t>
      </w:r>
      <w:r>
        <w:rPr>
          <w:rFonts w:ascii="Times New Roman" w:cs="Times New Roman" w:eastAsia="Times New Roman" w:hAnsi="Times New Roman"/>
          <w:sz w:val="24"/>
          <w:szCs w:val="24"/>
          <w:color w:val="auto"/>
        </w:rPr>
        <w:t>μ</w:t>
      </w:r>
      <w:r>
        <w:rPr>
          <w:rFonts w:ascii="Times New Roman" w:cs="Times New Roman" w:eastAsia="Times New Roman" w:hAnsi="Times New Roman"/>
          <w:sz w:val="24"/>
          <w:szCs w:val="24"/>
          <w:color w:val="auto"/>
        </w:rPr>
        <w:t>s</w:t>
      </w:r>
    </w:p>
    <w:p>
      <w:pPr>
        <w:spacing w:after="0" w:line="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or less.</w:t>
      </w:r>
    </w:p>
    <w:p>
      <w:pPr>
        <w:spacing w:after="0" w:line="249" w:lineRule="exact"/>
        <w:rPr>
          <w:sz w:val="20"/>
          <w:szCs w:val="20"/>
          <w:color w:val="auto"/>
        </w:rPr>
      </w:pPr>
    </w:p>
    <w:p>
      <w:pPr>
        <w:ind w:right="2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3A228.a includes gas krytron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tubes and vacuum sprytron tubes.</w:t>
      </w:r>
    </w:p>
    <w:p>
      <w:pPr>
        <w:spacing w:after="0" w:line="183" w:lineRule="exact"/>
        <w:rPr>
          <w:sz w:val="20"/>
          <w:szCs w:val="20"/>
          <w:color w:val="auto"/>
        </w:rPr>
      </w:pPr>
    </w:p>
    <w:p>
      <w:pPr>
        <w:ind w:right="20"/>
        <w:spacing w:after="0" w:line="270" w:lineRule="auto"/>
        <w:tabs>
          <w:tab w:leader="none" w:pos="420" w:val="left"/>
        </w:tabs>
        <w:numPr>
          <w:ilvl w:val="0"/>
          <w:numId w:val="4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Triggered spark-gaps having both of the following characteristics:</w:t>
      </w:r>
    </w:p>
    <w:p>
      <w:pPr>
        <w:spacing w:after="0" w:line="20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 xml:space="preserve">b.1. An anode delay time of 15 s or less; </w:t>
      </w:r>
      <w:r>
        <w:rPr>
          <w:rFonts w:ascii="Times New Roman" w:cs="Times New Roman" w:eastAsia="Times New Roman" w:hAnsi="Times New Roman"/>
          <w:sz w:val="22"/>
          <w:szCs w:val="22"/>
          <w:i w:val="1"/>
          <w:iCs w:val="1"/>
          <w:color w:val="auto"/>
        </w:rPr>
        <w:t>and</w:t>
      </w:r>
    </w:p>
    <w:p>
      <w:pPr>
        <w:spacing w:after="0" w:line="256" w:lineRule="exact"/>
        <w:rPr>
          <w:sz w:val="20"/>
          <w:szCs w:val="20"/>
          <w:color w:val="auto"/>
        </w:rPr>
      </w:pPr>
    </w:p>
    <w:p>
      <w:pPr>
        <w:ind w:right="20" w:firstLine="144"/>
        <w:spacing w:after="0" w:line="255" w:lineRule="auto"/>
        <w:rPr>
          <w:sz w:val="20"/>
          <w:szCs w:val="20"/>
          <w:color w:val="auto"/>
        </w:rPr>
      </w:pPr>
      <w:r>
        <w:rPr>
          <w:rFonts w:ascii="Times New Roman" w:cs="Times New Roman" w:eastAsia="Times New Roman" w:hAnsi="Times New Roman"/>
          <w:sz w:val="22"/>
          <w:szCs w:val="22"/>
          <w:color w:val="auto"/>
        </w:rPr>
        <w:t>b.2. Rated for a peak current of 500 A or more.</w:t>
      </w:r>
    </w:p>
    <w:p>
      <w:pPr>
        <w:spacing w:after="0" w:line="200" w:lineRule="exact"/>
        <w:rPr>
          <w:sz w:val="20"/>
          <w:szCs w:val="20"/>
          <w:color w:val="auto"/>
        </w:rPr>
      </w:pPr>
    </w:p>
    <w:p>
      <w:pPr>
        <w:spacing w:after="0" w:line="291" w:lineRule="exact"/>
        <w:rPr>
          <w:sz w:val="20"/>
          <w:szCs w:val="20"/>
          <w:color w:val="auto"/>
        </w:rPr>
      </w:pPr>
    </w:p>
    <w:p>
      <w:pPr>
        <w:jc w:val="both"/>
        <w:ind w:right="20"/>
        <w:spacing w:after="0" w:line="255" w:lineRule="auto"/>
        <w:tabs>
          <w:tab w:leader="none" w:pos="304" w:val="left"/>
        </w:tabs>
        <w:numPr>
          <w:ilvl w:val="0"/>
          <w:numId w:val="4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Modules or assemblies with a fast switching function having all of the following characteristics:</w:t>
      </w:r>
    </w:p>
    <w:p>
      <w:pPr>
        <w:spacing w:after="0" w:line="205" w:lineRule="exact"/>
        <w:rPr>
          <w:sz w:val="20"/>
          <w:szCs w:val="20"/>
          <w:color w:val="auto"/>
        </w:rPr>
      </w:pPr>
    </w:p>
    <w:p>
      <w:pPr>
        <w:ind w:right="340" w:firstLine="144"/>
        <w:spacing w:after="0" w:line="271" w:lineRule="auto"/>
        <w:rPr>
          <w:sz w:val="20"/>
          <w:szCs w:val="20"/>
          <w:color w:val="auto"/>
        </w:rPr>
      </w:pPr>
      <w:r>
        <w:rPr>
          <w:rFonts w:ascii="Times New Roman" w:cs="Times New Roman" w:eastAsia="Times New Roman" w:hAnsi="Times New Roman"/>
          <w:sz w:val="22"/>
          <w:szCs w:val="22"/>
          <w:color w:val="auto"/>
        </w:rPr>
        <w:t>c.1. Anode peak voltage rating greater than 2 kV;</w:t>
      </w:r>
    </w:p>
    <w:p>
      <w:pPr>
        <w:spacing w:after="0" w:line="188" w:lineRule="exact"/>
        <w:rPr>
          <w:sz w:val="20"/>
          <w:szCs w:val="20"/>
          <w:color w:val="auto"/>
        </w:rPr>
      </w:pPr>
    </w:p>
    <w:p>
      <w:pPr>
        <w:jc w:val="both"/>
        <w:ind w:right="20" w:firstLine="144"/>
        <w:spacing w:after="0" w:line="270" w:lineRule="auto"/>
        <w:rPr>
          <w:sz w:val="20"/>
          <w:szCs w:val="20"/>
          <w:color w:val="auto"/>
        </w:rPr>
      </w:pPr>
      <w:r>
        <w:rPr>
          <w:rFonts w:ascii="Times New Roman" w:cs="Times New Roman" w:eastAsia="Times New Roman" w:hAnsi="Times New Roman"/>
          <w:sz w:val="22"/>
          <w:szCs w:val="22"/>
          <w:color w:val="auto"/>
        </w:rPr>
        <w:t xml:space="preserve">c.2. Anode peak current rating of 500 A or more; </w:t>
      </w:r>
      <w:r>
        <w:rPr>
          <w:rFonts w:ascii="Times New Roman" w:cs="Times New Roman" w:eastAsia="Times New Roman" w:hAnsi="Times New Roman"/>
          <w:sz w:val="22"/>
          <w:szCs w:val="22"/>
          <w:i w:val="1"/>
          <w:iCs w:val="1"/>
          <w:color w:val="auto"/>
        </w:rPr>
        <w:t>and</w:t>
      </w:r>
    </w:p>
    <w:p>
      <w:pPr>
        <w:spacing w:after="0" w:line="205"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c.3. Turn-on time of 1 s or less.</w:t>
      </w:r>
    </w:p>
    <w:p>
      <w:pPr>
        <w:spacing w:after="0" w:line="200" w:lineRule="exact"/>
        <w:rPr>
          <w:sz w:val="20"/>
          <w:szCs w:val="20"/>
          <w:color w:val="auto"/>
        </w:rPr>
      </w:pPr>
    </w:p>
    <w:p>
      <w:pPr>
        <w:spacing w:after="0" w:line="304" w:lineRule="exact"/>
        <w:rPr>
          <w:sz w:val="20"/>
          <w:szCs w:val="20"/>
          <w:color w:val="auto"/>
        </w:rPr>
      </w:pPr>
    </w:p>
    <w:p>
      <w:pPr>
        <w:jc w:val="both"/>
        <w:ind w:right="20"/>
        <w:spacing w:after="0" w:line="251" w:lineRule="auto"/>
        <w:rPr>
          <w:sz w:val="20"/>
          <w:szCs w:val="20"/>
          <w:color w:val="auto"/>
        </w:rPr>
      </w:pPr>
      <w:r>
        <w:rPr>
          <w:rFonts w:ascii="Times New Roman" w:cs="Times New Roman" w:eastAsia="Times New Roman" w:hAnsi="Times New Roman"/>
          <w:sz w:val="22"/>
          <w:szCs w:val="22"/>
          <w:b w:val="1"/>
          <w:bCs w:val="1"/>
          <w:color w:val="auto"/>
        </w:rPr>
        <w:t>3A229 Firing sets and equivalent high-current pulse generators for detonators controlled by 3A232 (see List of Items Controlled).</w:t>
      </w:r>
    </w:p>
    <w:p>
      <w:pPr>
        <w:spacing w:after="0" w:line="20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 Foreign policy</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860" w:type="dxa"/>
            <w:vAlign w:val="bottom"/>
            <w:tcBorders>
              <w:top w:val="single" w:sz="8" w:color="auto"/>
              <w:left w:val="single" w:sz="8" w:color="auto"/>
            </w:tcBorders>
          </w:tcPr>
          <w:p>
            <w:pPr>
              <w:spacing w:after="0"/>
              <w:rPr>
                <w:sz w:val="21"/>
                <w:szCs w:val="21"/>
                <w:color w:val="auto"/>
              </w:rPr>
            </w:pPr>
          </w:p>
        </w:tc>
        <w:tc>
          <w:tcPr>
            <w:tcW w:w="900" w:type="dxa"/>
            <w:vAlign w:val="bottom"/>
            <w:tcBorders>
              <w:top w:val="single" w:sz="8" w:color="auto"/>
            </w:tcBorders>
          </w:tcPr>
          <w:p>
            <w:pPr>
              <w:spacing w:after="0"/>
              <w:rPr>
                <w:sz w:val="21"/>
                <w:szCs w:val="21"/>
                <w:color w:val="auto"/>
              </w:rPr>
            </w:pPr>
          </w:p>
        </w:tc>
        <w:tc>
          <w:tcPr>
            <w:tcW w:w="600" w:type="dxa"/>
            <w:vAlign w:val="bottom"/>
            <w:tcBorders>
              <w:top w:val="single" w:sz="8" w:color="auto"/>
              <w:right w:val="single" w:sz="8" w:color="auto"/>
            </w:tcBorders>
          </w:tcPr>
          <w:p>
            <w:pPr>
              <w:spacing w:after="0"/>
              <w:rPr>
                <w:sz w:val="21"/>
                <w:szCs w:val="21"/>
                <w:color w:val="auto"/>
              </w:rPr>
            </w:pPr>
          </w:p>
        </w:tc>
        <w:tc>
          <w:tcPr>
            <w:tcW w:w="1980" w:type="dxa"/>
            <w:vAlign w:val="bottom"/>
            <w:tcBorders>
              <w:top w:val="single" w:sz="8" w:color="auto"/>
              <w:right w:val="single" w:sz="8" w:color="auto"/>
            </w:tcBorders>
            <w:gridSpan w:val="2"/>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3"/>
        </w:trPr>
        <w:tc>
          <w:tcPr>
            <w:tcW w:w="1760" w:type="dxa"/>
            <w:vAlign w:val="bottom"/>
            <w:tcBorders>
              <w:left w:val="single" w:sz="8" w:color="auto"/>
            </w:tcBorders>
            <w:gridSpan w:val="2"/>
          </w:tcPr>
          <w:p>
            <w:pPr>
              <w:ind w:left="72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600" w:type="dxa"/>
            <w:vAlign w:val="bottom"/>
            <w:tcBorders>
              <w:right w:val="single" w:sz="8" w:color="auto"/>
            </w:tcBorders>
          </w:tcPr>
          <w:p>
            <w:pPr>
              <w:spacing w:after="0"/>
              <w:rPr>
                <w:sz w:val="22"/>
                <w:szCs w:val="22"/>
                <w:color w:val="auto"/>
              </w:rPr>
            </w:pPr>
          </w:p>
        </w:tc>
        <w:tc>
          <w:tcPr>
            <w:tcW w:w="1980" w:type="dxa"/>
            <w:vAlign w:val="bottom"/>
            <w:tcBorders>
              <w:right w:val="single" w:sz="8" w:color="auto"/>
            </w:tcBorders>
            <w:gridSpan w:val="2"/>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860" w:type="dxa"/>
            <w:vAlign w:val="bottom"/>
            <w:tcBorders>
              <w:left w:val="single" w:sz="8" w:color="auto"/>
              <w:bottom w:val="single" w:sz="8" w:color="auto"/>
            </w:tcBorders>
          </w:tcPr>
          <w:p>
            <w:pPr>
              <w:spacing w:after="0"/>
              <w:rPr>
                <w:sz w:val="23"/>
                <w:szCs w:val="23"/>
                <w:color w:val="auto"/>
              </w:rPr>
            </w:pPr>
          </w:p>
        </w:tc>
        <w:tc>
          <w:tcPr>
            <w:tcW w:w="900" w:type="dxa"/>
            <w:vAlign w:val="bottom"/>
            <w:tcBorders>
              <w:bottom w:val="single" w:sz="8" w:color="auto"/>
            </w:tcBorders>
          </w:tcPr>
          <w:p>
            <w:pPr>
              <w:spacing w:after="0"/>
              <w:rPr>
                <w:sz w:val="23"/>
                <w:szCs w:val="23"/>
                <w:color w:val="auto"/>
              </w:rPr>
            </w:pPr>
          </w:p>
        </w:tc>
        <w:tc>
          <w:tcPr>
            <w:tcW w:w="600" w:type="dxa"/>
            <w:vAlign w:val="bottom"/>
            <w:tcBorders>
              <w:bottom w:val="single" w:sz="8" w:color="auto"/>
              <w:right w:val="single" w:sz="8" w:color="auto"/>
            </w:tcBorders>
          </w:tcPr>
          <w:p>
            <w:pPr>
              <w:spacing w:after="0"/>
              <w:rPr>
                <w:sz w:val="23"/>
                <w:szCs w:val="23"/>
                <w:color w:val="auto"/>
              </w:rPr>
            </w:pPr>
          </w:p>
        </w:tc>
        <w:tc>
          <w:tcPr>
            <w:tcW w:w="1280" w:type="dxa"/>
            <w:vAlign w:val="bottom"/>
            <w:tcBorders>
              <w:bottom w:val="single" w:sz="8" w:color="auto"/>
            </w:tcBorders>
          </w:tcPr>
          <w:p>
            <w:pPr>
              <w:jc w:val="center"/>
              <w:ind w:left="570"/>
              <w:spacing w:after="0"/>
              <w:rPr>
                <w:sz w:val="20"/>
                <w:szCs w:val="20"/>
                <w:color w:val="auto"/>
              </w:rPr>
            </w:pPr>
            <w:r>
              <w:rPr>
                <w:rFonts w:ascii="Times New Roman" w:cs="Times New Roman" w:eastAsia="Times New Roman" w:hAnsi="Times New Roman"/>
                <w:sz w:val="22"/>
                <w:szCs w:val="22"/>
                <w:i w:val="1"/>
                <w:iCs w:val="1"/>
                <w:color w:val="auto"/>
                <w:w w:val="99"/>
              </w:rPr>
              <w:t>738)</w:t>
            </w:r>
          </w:p>
        </w:tc>
        <w:tc>
          <w:tcPr>
            <w:tcW w:w="700" w:type="dxa"/>
            <w:vAlign w:val="bottom"/>
            <w:tcBorders>
              <w:bottom w:val="single" w:sz="8" w:color="auto"/>
              <w:right w:val="single" w:sz="8" w:color="auto"/>
            </w:tcBorders>
          </w:tcPr>
          <w:p>
            <w:pPr>
              <w:spacing w:after="0"/>
              <w:rPr>
                <w:sz w:val="23"/>
                <w:szCs w:val="23"/>
                <w:color w:val="auto"/>
              </w:rPr>
            </w:pPr>
          </w:p>
        </w:tc>
      </w:tr>
      <w:tr>
        <w:trPr>
          <w:trHeight w:val="243"/>
        </w:trPr>
        <w:tc>
          <w:tcPr>
            <w:tcW w:w="2360" w:type="dxa"/>
            <w:vAlign w:val="bottom"/>
            <w:tcBorders>
              <w:left w:val="single" w:sz="8" w:color="auto"/>
              <w:bottom w:val="single" w:sz="8" w:color="auto"/>
              <w:right w:val="single" w:sz="8" w:color="auto"/>
            </w:tcBorders>
            <w:gridSpan w:val="3"/>
          </w:tcPr>
          <w:p>
            <w:pPr>
              <w:ind w:left="20"/>
              <w:spacing w:after="0" w:line="243" w:lineRule="exact"/>
              <w:rPr>
                <w:sz w:val="20"/>
                <w:szCs w:val="20"/>
                <w:color w:val="auto"/>
              </w:rPr>
            </w:pPr>
            <w:r>
              <w:rPr>
                <w:rFonts w:ascii="Times New Roman" w:cs="Times New Roman" w:eastAsia="Times New Roman" w:hAnsi="Times New Roman"/>
                <w:sz w:val="22"/>
                <w:szCs w:val="22"/>
                <w:color w:val="auto"/>
              </w:rPr>
              <w:t>NP applies to entire entry</w:t>
            </w:r>
          </w:p>
        </w:tc>
        <w:tc>
          <w:tcPr>
            <w:tcW w:w="1280" w:type="dxa"/>
            <w:vAlign w:val="bottom"/>
            <w:tcBorders>
              <w:bottom w:val="single" w:sz="8" w:color="auto"/>
            </w:tcBorders>
          </w:tcPr>
          <w:p>
            <w:pPr>
              <w:spacing w:after="0" w:line="243" w:lineRule="exact"/>
              <w:rPr>
                <w:sz w:val="20"/>
                <w:szCs w:val="20"/>
                <w:color w:val="auto"/>
              </w:rPr>
            </w:pPr>
            <w:r>
              <w:rPr>
                <w:rFonts w:ascii="Times New Roman" w:cs="Times New Roman" w:eastAsia="Times New Roman" w:hAnsi="Times New Roman"/>
                <w:sz w:val="22"/>
                <w:szCs w:val="22"/>
                <w:color w:val="auto"/>
              </w:rPr>
              <w:t>NP Column 1</w:t>
            </w:r>
          </w:p>
        </w:tc>
        <w:tc>
          <w:tcPr>
            <w:tcW w:w="700" w:type="dxa"/>
            <w:vAlign w:val="bottom"/>
            <w:tcBorders>
              <w:bottom w:val="single" w:sz="8" w:color="auto"/>
              <w:right w:val="single" w:sz="8" w:color="auto"/>
            </w:tcBorders>
          </w:tcPr>
          <w:p>
            <w:pPr>
              <w:spacing w:after="0"/>
              <w:rPr>
                <w:sz w:val="21"/>
                <w:szCs w:val="21"/>
                <w:color w:val="auto"/>
              </w:rPr>
            </w:pPr>
          </w:p>
        </w:tc>
      </w:tr>
      <w:tr>
        <w:trPr>
          <w:trHeight w:val="243"/>
        </w:trPr>
        <w:tc>
          <w:tcPr>
            <w:tcW w:w="2360" w:type="dxa"/>
            <w:vAlign w:val="bottom"/>
            <w:tcBorders>
              <w:left w:val="single" w:sz="8" w:color="auto"/>
              <w:bottom w:val="single" w:sz="8" w:color="auto"/>
              <w:right w:val="single" w:sz="8" w:color="auto"/>
            </w:tcBorders>
            <w:gridSpan w:val="3"/>
          </w:tcPr>
          <w:p>
            <w:pPr>
              <w:ind w:left="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280" w:type="dxa"/>
            <w:vAlign w:val="bottom"/>
            <w:tcBorders>
              <w:bottom w:val="single" w:sz="8" w:color="auto"/>
            </w:tcBorders>
          </w:tcPr>
          <w:p>
            <w:pPr>
              <w:spacing w:after="0" w:line="243" w:lineRule="exact"/>
              <w:rPr>
                <w:sz w:val="20"/>
                <w:szCs w:val="20"/>
                <w:color w:val="auto"/>
              </w:rPr>
            </w:pPr>
            <w:r>
              <w:rPr>
                <w:rFonts w:ascii="Times New Roman" w:cs="Times New Roman" w:eastAsia="Times New Roman" w:hAnsi="Times New Roman"/>
                <w:sz w:val="22"/>
                <w:szCs w:val="22"/>
                <w:color w:val="auto"/>
              </w:rPr>
              <w:t>AT Column 1</w:t>
            </w:r>
          </w:p>
        </w:tc>
        <w:tc>
          <w:tcPr>
            <w:tcW w:w="700" w:type="dxa"/>
            <w:vAlign w:val="bottom"/>
            <w:tcBorders>
              <w:bottom w:val="single" w:sz="8" w:color="auto"/>
              <w:right w:val="single" w:sz="8" w:color="auto"/>
            </w:tcBorders>
          </w:tcPr>
          <w:p>
            <w:pPr>
              <w:spacing w:after="0"/>
              <w:rPr>
                <w:sz w:val="21"/>
                <w:szCs w:val="21"/>
                <w:color w:val="auto"/>
              </w:rPr>
            </w:pPr>
          </w:p>
        </w:tc>
      </w:tr>
      <w:tr>
        <w:trPr>
          <w:trHeight w:val="227"/>
        </w:trPr>
        <w:tc>
          <w:tcPr>
            <w:tcW w:w="860" w:type="dxa"/>
            <w:vAlign w:val="bottom"/>
            <w:tcBorders>
              <w:left w:val="single" w:sz="8" w:color="auto"/>
            </w:tcBorders>
          </w:tcPr>
          <w:p>
            <w:pPr>
              <w:ind w:left="20"/>
              <w:spacing w:after="0" w:line="227" w:lineRule="exact"/>
              <w:rPr>
                <w:sz w:val="20"/>
                <w:szCs w:val="20"/>
                <w:color w:val="auto"/>
              </w:rPr>
            </w:pPr>
            <w:r>
              <w:rPr>
                <w:rFonts w:ascii="Times New Roman" w:cs="Times New Roman" w:eastAsia="Times New Roman" w:hAnsi="Times New Roman"/>
                <w:sz w:val="22"/>
                <w:szCs w:val="22"/>
                <w:color w:val="auto"/>
              </w:rPr>
              <w:t>Russian</w:t>
            </w:r>
          </w:p>
        </w:tc>
        <w:tc>
          <w:tcPr>
            <w:tcW w:w="900" w:type="dxa"/>
            <w:vAlign w:val="bottom"/>
          </w:tcPr>
          <w:p>
            <w:pPr>
              <w:ind w:left="40"/>
              <w:spacing w:after="0" w:line="227" w:lineRule="exact"/>
              <w:rPr>
                <w:sz w:val="20"/>
                <w:szCs w:val="20"/>
                <w:color w:val="auto"/>
              </w:rPr>
            </w:pPr>
            <w:r>
              <w:rPr>
                <w:rFonts w:ascii="Times New Roman" w:cs="Times New Roman" w:eastAsia="Times New Roman" w:hAnsi="Times New Roman"/>
                <w:sz w:val="22"/>
                <w:szCs w:val="22"/>
                <w:color w:val="auto"/>
              </w:rPr>
              <w:t>industry</w:t>
            </w:r>
          </w:p>
        </w:tc>
        <w:tc>
          <w:tcPr>
            <w:tcW w:w="600" w:type="dxa"/>
            <w:vAlign w:val="bottom"/>
            <w:tcBorders>
              <w:right w:val="single" w:sz="8" w:color="auto"/>
            </w:tcBorders>
          </w:tcPr>
          <w:p>
            <w:pPr>
              <w:jc w:val="right"/>
              <w:spacing w:after="0" w:line="227" w:lineRule="exact"/>
              <w:rPr>
                <w:sz w:val="20"/>
                <w:szCs w:val="20"/>
                <w:color w:val="auto"/>
              </w:rPr>
            </w:pPr>
            <w:r>
              <w:rPr>
                <w:rFonts w:ascii="Times New Roman" w:cs="Times New Roman" w:eastAsia="Times New Roman" w:hAnsi="Times New Roman"/>
                <w:sz w:val="22"/>
                <w:szCs w:val="22"/>
                <w:color w:val="auto"/>
              </w:rPr>
              <w:t>sector</w:t>
            </w:r>
          </w:p>
        </w:tc>
        <w:tc>
          <w:tcPr>
            <w:tcW w:w="1980" w:type="dxa"/>
            <w:vAlign w:val="bottom"/>
            <w:tcBorders>
              <w:right w:val="single" w:sz="8" w:color="auto"/>
            </w:tcBorders>
            <w:gridSpan w:val="2"/>
          </w:tcPr>
          <w:p>
            <w:pPr>
              <w:spacing w:after="0" w:line="227" w:lineRule="exact"/>
              <w:rPr>
                <w:sz w:val="20"/>
                <w:szCs w:val="20"/>
                <w:color w:val="auto"/>
              </w:rPr>
            </w:pPr>
            <w:r>
              <w:rPr>
                <w:rFonts w:ascii="Times New Roman" w:cs="Times New Roman" w:eastAsia="Times New Roman" w:hAnsi="Times New Roman"/>
                <w:sz w:val="22"/>
                <w:szCs w:val="22"/>
                <w:color w:val="auto"/>
              </w:rPr>
              <w:t>See   §   746.5   for</w:t>
            </w:r>
          </w:p>
        </w:tc>
      </w:tr>
      <w:tr>
        <w:trPr>
          <w:trHeight w:val="253"/>
        </w:trPr>
        <w:tc>
          <w:tcPr>
            <w:tcW w:w="86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sanctions</w:t>
            </w:r>
          </w:p>
        </w:tc>
        <w:tc>
          <w:tcPr>
            <w:tcW w:w="900" w:type="dxa"/>
            <w:vAlign w:val="bottom"/>
          </w:tcPr>
          <w:p>
            <w:pPr>
              <w:ind w:left="80"/>
              <w:spacing w:after="0"/>
              <w:rPr>
                <w:sz w:val="20"/>
                <w:szCs w:val="20"/>
                <w:color w:val="auto"/>
              </w:rPr>
            </w:pPr>
            <w:r>
              <w:rPr>
                <w:rFonts w:ascii="Times New Roman" w:cs="Times New Roman" w:eastAsia="Times New Roman" w:hAnsi="Times New Roman"/>
                <w:sz w:val="22"/>
                <w:szCs w:val="22"/>
                <w:color w:val="auto"/>
              </w:rPr>
              <w:t>apply to</w:t>
            </w:r>
          </w:p>
        </w:tc>
        <w:tc>
          <w:tcPr>
            <w:tcW w:w="60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entire</w:t>
            </w:r>
          </w:p>
        </w:tc>
        <w:tc>
          <w:tcPr>
            <w:tcW w:w="1280" w:type="dxa"/>
            <w:vAlign w:val="bottom"/>
          </w:tcPr>
          <w:p>
            <w:pPr>
              <w:spacing w:after="0"/>
              <w:rPr>
                <w:sz w:val="20"/>
                <w:szCs w:val="20"/>
                <w:color w:val="auto"/>
              </w:rPr>
            </w:pPr>
            <w:r>
              <w:rPr>
                <w:rFonts w:ascii="Times New Roman" w:cs="Times New Roman" w:eastAsia="Times New Roman" w:hAnsi="Times New Roman"/>
                <w:sz w:val="22"/>
                <w:szCs w:val="22"/>
                <w:color w:val="auto"/>
              </w:rPr>
              <w:t>specific</w:t>
            </w:r>
          </w:p>
        </w:tc>
        <w:tc>
          <w:tcPr>
            <w:tcW w:w="70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license</w:t>
            </w:r>
          </w:p>
        </w:tc>
      </w:tr>
      <w:tr>
        <w:trPr>
          <w:trHeight w:val="252"/>
        </w:trPr>
        <w:tc>
          <w:tcPr>
            <w:tcW w:w="86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entry.</w:t>
            </w:r>
          </w:p>
        </w:tc>
        <w:tc>
          <w:tcPr>
            <w:tcW w:w="900" w:type="dxa"/>
            <w:vAlign w:val="bottom"/>
          </w:tcPr>
          <w:p>
            <w:pPr>
              <w:spacing w:after="0"/>
              <w:rPr>
                <w:sz w:val="21"/>
                <w:szCs w:val="21"/>
                <w:color w:val="auto"/>
              </w:rPr>
            </w:pPr>
          </w:p>
        </w:tc>
        <w:tc>
          <w:tcPr>
            <w:tcW w:w="600" w:type="dxa"/>
            <w:vAlign w:val="bottom"/>
            <w:tcBorders>
              <w:right w:val="single" w:sz="8" w:color="auto"/>
            </w:tcBorders>
          </w:tcPr>
          <w:p>
            <w:pPr>
              <w:spacing w:after="0"/>
              <w:rPr>
                <w:sz w:val="21"/>
                <w:szCs w:val="21"/>
                <w:color w:val="auto"/>
              </w:rPr>
            </w:pPr>
          </w:p>
        </w:tc>
        <w:tc>
          <w:tcPr>
            <w:tcW w:w="1280" w:type="dxa"/>
            <w:vAlign w:val="bottom"/>
          </w:tcPr>
          <w:p>
            <w:pPr>
              <w:spacing w:after="0"/>
              <w:rPr>
                <w:sz w:val="20"/>
                <w:szCs w:val="20"/>
                <w:color w:val="auto"/>
              </w:rPr>
            </w:pPr>
            <w:r>
              <w:rPr>
                <w:rFonts w:ascii="Times New Roman" w:cs="Times New Roman" w:eastAsia="Times New Roman" w:hAnsi="Times New Roman"/>
                <w:sz w:val="22"/>
                <w:szCs w:val="22"/>
                <w:color w:val="auto"/>
              </w:rPr>
              <w:t>requirements</w:t>
            </w:r>
          </w:p>
        </w:tc>
        <w:tc>
          <w:tcPr>
            <w:tcW w:w="70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and</w:t>
            </w:r>
          </w:p>
        </w:tc>
      </w:tr>
      <w:tr>
        <w:trPr>
          <w:trHeight w:val="270"/>
        </w:trPr>
        <w:tc>
          <w:tcPr>
            <w:tcW w:w="860" w:type="dxa"/>
            <w:vAlign w:val="bottom"/>
            <w:tcBorders>
              <w:left w:val="single" w:sz="8" w:color="auto"/>
              <w:bottom w:val="single" w:sz="8" w:color="auto"/>
            </w:tcBorders>
          </w:tcPr>
          <w:p>
            <w:pPr>
              <w:spacing w:after="0"/>
              <w:rPr>
                <w:sz w:val="23"/>
                <w:szCs w:val="23"/>
                <w:color w:val="auto"/>
              </w:rPr>
            </w:pPr>
          </w:p>
        </w:tc>
        <w:tc>
          <w:tcPr>
            <w:tcW w:w="900" w:type="dxa"/>
            <w:vAlign w:val="bottom"/>
            <w:tcBorders>
              <w:bottom w:val="single" w:sz="8" w:color="auto"/>
            </w:tcBorders>
          </w:tcPr>
          <w:p>
            <w:pPr>
              <w:spacing w:after="0"/>
              <w:rPr>
                <w:sz w:val="23"/>
                <w:szCs w:val="23"/>
                <w:color w:val="auto"/>
              </w:rPr>
            </w:pPr>
          </w:p>
        </w:tc>
        <w:tc>
          <w:tcPr>
            <w:tcW w:w="600" w:type="dxa"/>
            <w:vAlign w:val="bottom"/>
            <w:tcBorders>
              <w:bottom w:val="single" w:sz="8" w:color="auto"/>
              <w:right w:val="single" w:sz="8" w:color="auto"/>
            </w:tcBorders>
          </w:tcPr>
          <w:p>
            <w:pPr>
              <w:spacing w:after="0"/>
              <w:rPr>
                <w:sz w:val="23"/>
                <w:szCs w:val="23"/>
                <w:color w:val="auto"/>
              </w:rPr>
            </w:pPr>
          </w:p>
        </w:tc>
        <w:tc>
          <w:tcPr>
            <w:tcW w:w="1980" w:type="dxa"/>
            <w:vAlign w:val="bottom"/>
            <w:tcBorders>
              <w:bottom w:val="single" w:sz="8" w:color="auto"/>
              <w:right w:val="single" w:sz="8" w:color="auto"/>
            </w:tcBorders>
            <w:gridSpan w:val="2"/>
          </w:tcPr>
          <w:p>
            <w:pPr>
              <w:spacing w:after="0"/>
              <w:rPr>
                <w:sz w:val="20"/>
                <w:szCs w:val="20"/>
                <w:color w:val="auto"/>
              </w:rPr>
            </w:pPr>
            <w:r>
              <w:rPr>
                <w:rFonts w:ascii="Times New Roman" w:cs="Times New Roman" w:eastAsia="Times New Roman" w:hAnsi="Times New Roman"/>
                <w:sz w:val="22"/>
                <w:szCs w:val="22"/>
                <w:color w:val="auto"/>
              </w:rPr>
              <w:t>license review policy.</w:t>
            </w:r>
          </w:p>
        </w:tc>
      </w:tr>
    </w:tbl>
    <w:p>
      <w:pPr>
        <w:spacing w:after="0" w:line="370" w:lineRule="exact"/>
        <w:rPr>
          <w:sz w:val="20"/>
          <w:szCs w:val="20"/>
          <w:color w:val="auto"/>
        </w:rPr>
      </w:pPr>
    </w:p>
    <w:p>
      <w:pPr>
        <w:sectPr>
          <w:pgSz w:w="12240" w:h="15840" w:orient="portrait"/>
          <w:cols w:equalWidth="0" w:num="2">
            <w:col w:w="4560" w:space="600"/>
            <w:col w:w="4340"/>
          </w:cols>
          <w:pgMar w:left="1320" w:top="1062" w:right="1420" w:bottom="892" w:gutter="0" w:footer="0" w:header="0"/>
          <w:type w:val="continuous"/>
        </w:sectPr>
      </w:pPr>
    </w:p>
    <w:p>
      <w:pPr>
        <w:spacing w:after="0" w:line="280" w:lineRule="exact"/>
        <w:rPr>
          <w:sz w:val="20"/>
          <w:szCs w:val="20"/>
          <w:color w:val="auto"/>
        </w:rPr>
      </w:pPr>
    </w:p>
    <w:p>
      <w:pPr>
        <w:ind w:left="120"/>
        <w:spacing w:after="0"/>
        <w:tabs>
          <w:tab w:leader="none" w:pos="3540" w:val="left"/>
          <w:tab w:leader="none" w:pos="84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500"/>
          </w:cols>
          <w:pgMar w:left="1320" w:top="1062" w:right="1420" w:bottom="892" w:gutter="0" w:footer="0" w:header="0"/>
          <w:type w:val="continuous"/>
        </w:sectPr>
      </w:pPr>
    </w:p>
    <w:bookmarkStart w:id="25" w:name="page26"/>
    <w:bookmarkEnd w:id="25"/>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26</w:t>
      </w:r>
    </w:p>
    <w:p>
      <w:pPr>
        <w:sectPr>
          <w:pgSz w:w="12240" w:h="15840" w:orient="portrait"/>
          <w:cols w:equalWidth="0" w:num="1">
            <w:col w:w="9480"/>
          </w:cols>
          <w:pgMar w:left="1440" w:top="1062" w:right="1320" w:bottom="892" w:gutter="0" w:footer="0" w:header="0"/>
        </w:sectPr>
      </w:pPr>
    </w:p>
    <w:p>
      <w:pPr>
        <w:spacing w:after="0" w:line="241" w:lineRule="exact"/>
        <w:rPr>
          <w:sz w:val="20"/>
          <w:szCs w:val="20"/>
          <w:color w:val="auto"/>
        </w:rPr>
      </w:pPr>
    </w:p>
    <w:p>
      <w:pPr>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1"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jc w:val="both"/>
        <w:ind w:left="180"/>
        <w:spacing w:after="0" w:line="243"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3E001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and</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1E001 (“development” and “production”) and </w:t>
      </w:r>
      <w:r>
        <w:rPr>
          <w:rFonts w:ascii="Times New Roman" w:cs="Times New Roman" w:eastAsia="Times New Roman" w:hAnsi="Times New Roman"/>
          <w:sz w:val="22"/>
          <w:szCs w:val="22"/>
          <w:u w:val="single" w:color="auto"/>
          <w:color w:val="0000FF"/>
        </w:rPr>
        <w:t>3E201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and 1E201 (“use”) for technology for</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items controlled under this entry. (2) See 1A007.a for explosive detonator firing sets designed to drive explosive detonators controlled by 1A007.b. (3) High explosives and related equipment for military use are “subject to the ITAR” (see 22 CFR parts 120 through 130).</w:t>
      </w:r>
    </w:p>
    <w:p>
      <w:pPr>
        <w:spacing w:after="0" w:line="221"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spacing w:after="0" w:line="253" w:lineRule="exact"/>
        <w:rPr>
          <w:sz w:val="20"/>
          <w:szCs w:val="20"/>
          <w:color w:val="auto"/>
        </w:rPr>
      </w:pPr>
    </w:p>
    <w:p>
      <w:pPr>
        <w:jc w:val="both"/>
        <w:ind w:left="180"/>
        <w:spacing w:after="0" w:line="245" w:lineRule="auto"/>
        <w:rPr>
          <w:sz w:val="20"/>
          <w:szCs w:val="20"/>
          <w:color w:val="auto"/>
        </w:rPr>
      </w:pPr>
      <w:r>
        <w:rPr>
          <w:rFonts w:ascii="Times New Roman" w:cs="Times New Roman" w:eastAsia="Times New Roman" w:hAnsi="Times New Roman"/>
          <w:sz w:val="22"/>
          <w:szCs w:val="22"/>
          <w:i w:val="1"/>
          <w:iCs w:val="1"/>
          <w:color w:val="auto"/>
        </w:rPr>
        <w:t>ECCN Controls</w:t>
      </w:r>
      <w:r>
        <w:rPr>
          <w:rFonts w:ascii="Times New Roman" w:cs="Times New Roman" w:eastAsia="Times New Roman" w:hAnsi="Times New Roman"/>
          <w:sz w:val="22"/>
          <w:szCs w:val="22"/>
          <w:color w:val="auto"/>
        </w:rPr>
        <w:t>: (1) Optically driven firing</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sets include both those employing laser initiation and laser charging. (2) Explosively driven firing sets include booth explosive ferroelectric and explosive ferromagnetic firing set types. (3) 3A229.b includes xenon flash-lamp drivers.</w:t>
      </w:r>
    </w:p>
    <w:p>
      <w:pPr>
        <w:spacing w:after="0" w:line="215"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7" w:lineRule="exact"/>
        <w:rPr>
          <w:sz w:val="20"/>
          <w:szCs w:val="20"/>
          <w:color w:val="auto"/>
        </w:rPr>
      </w:pPr>
    </w:p>
    <w:p>
      <w:pPr>
        <w:jc w:val="both"/>
        <w:spacing w:after="0" w:line="247" w:lineRule="auto"/>
        <w:tabs>
          <w:tab w:leader="none" w:pos="436" w:val="left"/>
        </w:tabs>
        <w:numPr>
          <w:ilvl w:val="0"/>
          <w:numId w:val="5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Detonator firing sets (initiation systems, firesets), including electronically-charged, explosively-driven and optically-driven firing sets designed to drive multiple controlled detonators controlled by 3A232;</w:t>
      </w:r>
    </w:p>
    <w:p>
      <w:pPr>
        <w:spacing w:after="0" w:line="216" w:lineRule="exact"/>
        <w:rPr>
          <w:rFonts w:ascii="Times New Roman" w:cs="Times New Roman" w:eastAsia="Times New Roman" w:hAnsi="Times New Roman"/>
          <w:sz w:val="22"/>
          <w:szCs w:val="22"/>
          <w:color w:val="auto"/>
        </w:rPr>
      </w:pPr>
    </w:p>
    <w:p>
      <w:pPr>
        <w:spacing w:after="0" w:line="271" w:lineRule="auto"/>
        <w:tabs>
          <w:tab w:leader="none" w:pos="311" w:val="left"/>
        </w:tabs>
        <w:numPr>
          <w:ilvl w:val="0"/>
          <w:numId w:val="5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Modular electrical pulse generators (pulsers) having all of the following characteristics:</w:t>
      </w:r>
    </w:p>
    <w:p>
      <w:pPr>
        <w:spacing w:after="0" w:line="187" w:lineRule="exact"/>
        <w:rPr>
          <w:sz w:val="20"/>
          <w:szCs w:val="20"/>
          <w:color w:val="auto"/>
        </w:rPr>
      </w:pPr>
    </w:p>
    <w:p>
      <w:pPr>
        <w:ind w:firstLine="144"/>
        <w:spacing w:after="0" w:line="271" w:lineRule="auto"/>
        <w:rPr>
          <w:sz w:val="20"/>
          <w:szCs w:val="20"/>
          <w:color w:val="auto"/>
        </w:rPr>
      </w:pPr>
      <w:r>
        <w:rPr>
          <w:rFonts w:ascii="Times New Roman" w:cs="Times New Roman" w:eastAsia="Times New Roman" w:hAnsi="Times New Roman"/>
          <w:sz w:val="22"/>
          <w:szCs w:val="22"/>
          <w:color w:val="auto"/>
        </w:rPr>
        <w:t>b.1. Designed for portable, mobile, or ruggedized use;</w:t>
      </w:r>
    </w:p>
    <w:p>
      <w:pPr>
        <w:spacing w:after="0" w:line="188" w:lineRule="exact"/>
        <w:rPr>
          <w:sz w:val="20"/>
          <w:szCs w:val="20"/>
          <w:color w:val="auto"/>
        </w:rPr>
      </w:pPr>
    </w:p>
    <w:p>
      <w:pPr>
        <w:ind w:firstLine="144"/>
        <w:spacing w:after="0" w:line="271" w:lineRule="auto"/>
        <w:rPr>
          <w:sz w:val="20"/>
          <w:szCs w:val="20"/>
          <w:color w:val="auto"/>
        </w:rPr>
      </w:pPr>
      <w:r>
        <w:rPr>
          <w:rFonts w:ascii="Times New Roman" w:cs="Times New Roman" w:eastAsia="Times New Roman" w:hAnsi="Times New Roman"/>
          <w:sz w:val="22"/>
          <w:szCs w:val="22"/>
          <w:color w:val="auto"/>
        </w:rPr>
        <w:t>b.2. Capable of delivering their energy in less than 15 µs into loads of less than 40 Ω (ohms);</w:t>
      </w:r>
    </w:p>
    <w:p>
      <w:pPr>
        <w:spacing w:after="0" w:line="187"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b.3. Having an output greater than 100 A;</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8" w:lineRule="exact"/>
        <w:rPr>
          <w:sz w:val="20"/>
          <w:szCs w:val="20"/>
          <w:color w:val="auto"/>
        </w:rPr>
      </w:pPr>
    </w:p>
    <w:p>
      <w:pPr>
        <w:ind w:left="260" w:right="860"/>
        <w:spacing w:after="0" w:line="479" w:lineRule="auto"/>
        <w:rPr>
          <w:sz w:val="20"/>
          <w:szCs w:val="20"/>
          <w:color w:val="auto"/>
        </w:rPr>
      </w:pPr>
      <w:r>
        <w:rPr>
          <w:rFonts w:ascii="Times New Roman" w:cs="Times New Roman" w:eastAsia="Times New Roman" w:hAnsi="Times New Roman"/>
          <w:sz w:val="22"/>
          <w:szCs w:val="22"/>
          <w:color w:val="auto"/>
        </w:rPr>
        <w:t xml:space="preserve">b.4. No dimension greater than 30 cm; b.5. Weight less than 30 kg; </w:t>
      </w:r>
      <w:r>
        <w:rPr>
          <w:rFonts w:ascii="Times New Roman" w:cs="Times New Roman" w:eastAsia="Times New Roman" w:hAnsi="Times New Roman"/>
          <w:sz w:val="22"/>
          <w:szCs w:val="22"/>
          <w:i w:val="1"/>
          <w:iCs w:val="1"/>
          <w:color w:val="auto"/>
        </w:rPr>
        <w:t>and</w:t>
      </w:r>
    </w:p>
    <w:p>
      <w:pPr>
        <w:spacing w:after="0" w:line="2" w:lineRule="exact"/>
        <w:rPr>
          <w:sz w:val="20"/>
          <w:szCs w:val="20"/>
          <w:color w:val="auto"/>
        </w:rPr>
      </w:pPr>
    </w:p>
    <w:p>
      <w:pPr>
        <w:jc w:val="both"/>
        <w:ind w:left="120" w:right="120" w:firstLine="144"/>
        <w:spacing w:after="0" w:line="250" w:lineRule="auto"/>
        <w:rPr>
          <w:sz w:val="20"/>
          <w:szCs w:val="20"/>
          <w:color w:val="auto"/>
        </w:rPr>
      </w:pPr>
      <w:r>
        <w:rPr>
          <w:rFonts w:ascii="Times New Roman" w:cs="Times New Roman" w:eastAsia="Times New Roman" w:hAnsi="Times New Roman"/>
          <w:sz w:val="22"/>
          <w:szCs w:val="22"/>
          <w:color w:val="auto"/>
        </w:rPr>
        <w:t>b.6. Specified for use over an extended temperature range 223 K (−50 °C) to 373 K (100 °C) or specified as suitable for aerospace applications.</w:t>
      </w:r>
    </w:p>
    <w:p>
      <w:pPr>
        <w:spacing w:after="0" w:line="211" w:lineRule="exact"/>
        <w:rPr>
          <w:sz w:val="20"/>
          <w:szCs w:val="20"/>
          <w:color w:val="auto"/>
        </w:rPr>
      </w:pPr>
    </w:p>
    <w:p>
      <w:pPr>
        <w:ind w:left="120" w:right="120"/>
        <w:spacing w:after="0" w:line="271" w:lineRule="auto"/>
        <w:tabs>
          <w:tab w:leader="none" w:pos="402" w:val="left"/>
        </w:tabs>
        <w:numPr>
          <w:ilvl w:val="0"/>
          <w:numId w:val="5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Micro-firing units having all of the following characteristics:</w:t>
      </w:r>
    </w:p>
    <w:p>
      <w:pPr>
        <w:spacing w:after="0" w:line="187" w:lineRule="exact"/>
        <w:rPr>
          <w:sz w:val="20"/>
          <w:szCs w:val="20"/>
          <w:color w:val="auto"/>
        </w:rPr>
      </w:pPr>
    </w:p>
    <w:p>
      <w:pPr>
        <w:ind w:left="260"/>
        <w:spacing w:after="0"/>
        <w:rPr>
          <w:sz w:val="20"/>
          <w:szCs w:val="20"/>
          <w:color w:val="auto"/>
        </w:rPr>
      </w:pPr>
      <w:r>
        <w:rPr>
          <w:rFonts w:ascii="Times New Roman" w:cs="Times New Roman" w:eastAsia="Times New Roman" w:hAnsi="Times New Roman"/>
          <w:sz w:val="22"/>
          <w:szCs w:val="22"/>
          <w:color w:val="auto"/>
        </w:rPr>
        <w:t>c.1. No dimension greater than 35 mm;</w:t>
      </w:r>
    </w:p>
    <w:p>
      <w:pPr>
        <w:spacing w:after="0" w:line="253" w:lineRule="exact"/>
        <w:rPr>
          <w:sz w:val="20"/>
          <w:szCs w:val="20"/>
          <w:color w:val="auto"/>
        </w:rPr>
      </w:pPr>
    </w:p>
    <w:p>
      <w:pPr>
        <w:ind w:left="260"/>
        <w:spacing w:after="0"/>
        <w:rPr>
          <w:sz w:val="20"/>
          <w:szCs w:val="20"/>
          <w:color w:val="auto"/>
        </w:rPr>
      </w:pPr>
      <w:r>
        <w:rPr>
          <w:rFonts w:ascii="Times New Roman" w:cs="Times New Roman" w:eastAsia="Times New Roman" w:hAnsi="Times New Roman"/>
          <w:sz w:val="22"/>
          <w:szCs w:val="22"/>
          <w:color w:val="auto"/>
        </w:rPr>
        <w:t>c.2.  Voltage rating of equal to or greater than</w:t>
      </w:r>
    </w:p>
    <w:p>
      <w:pPr>
        <w:ind w:left="120"/>
        <w:spacing w:after="0"/>
        <w:rPr>
          <w:sz w:val="20"/>
          <w:szCs w:val="20"/>
          <w:color w:val="auto"/>
        </w:rPr>
      </w:pPr>
      <w:r>
        <w:rPr>
          <w:rFonts w:ascii="Times New Roman" w:cs="Times New Roman" w:eastAsia="Times New Roman" w:hAnsi="Times New Roman"/>
          <w:sz w:val="22"/>
          <w:szCs w:val="22"/>
          <w:color w:val="auto"/>
        </w:rPr>
        <w:t xml:space="preserve">1 kV; </w:t>
      </w:r>
      <w:r>
        <w:rPr>
          <w:rFonts w:ascii="Times New Roman" w:cs="Times New Roman" w:eastAsia="Times New Roman" w:hAnsi="Times New Roman"/>
          <w:sz w:val="22"/>
          <w:szCs w:val="22"/>
          <w:i w:val="1"/>
          <w:iCs w:val="1"/>
          <w:color w:val="auto"/>
        </w:rPr>
        <w:t>and</w:t>
      </w:r>
    </w:p>
    <w:p>
      <w:pPr>
        <w:spacing w:after="0" w:line="252" w:lineRule="exact"/>
        <w:rPr>
          <w:sz w:val="20"/>
          <w:szCs w:val="20"/>
          <w:color w:val="auto"/>
        </w:rPr>
      </w:pPr>
    </w:p>
    <w:p>
      <w:pPr>
        <w:jc w:val="both"/>
        <w:ind w:left="120" w:right="120" w:firstLine="144"/>
        <w:spacing w:after="0" w:line="271" w:lineRule="auto"/>
        <w:rPr>
          <w:sz w:val="20"/>
          <w:szCs w:val="20"/>
          <w:color w:val="auto"/>
        </w:rPr>
      </w:pPr>
      <w:r>
        <w:rPr>
          <w:rFonts w:ascii="Times New Roman" w:cs="Times New Roman" w:eastAsia="Times New Roman" w:hAnsi="Times New Roman"/>
          <w:sz w:val="22"/>
          <w:szCs w:val="22"/>
          <w:color w:val="auto"/>
        </w:rPr>
        <w:t>c.3. Capacitance of equal to or greater than 100 nF.</w:t>
      </w:r>
    </w:p>
    <w:p>
      <w:pPr>
        <w:spacing w:after="0" w:line="200" w:lineRule="exact"/>
        <w:rPr>
          <w:sz w:val="20"/>
          <w:szCs w:val="20"/>
          <w:color w:val="auto"/>
        </w:rPr>
      </w:pPr>
    </w:p>
    <w:p>
      <w:pPr>
        <w:spacing w:after="0" w:line="239" w:lineRule="exact"/>
        <w:rPr>
          <w:sz w:val="20"/>
          <w:szCs w:val="20"/>
          <w:color w:val="auto"/>
        </w:rPr>
      </w:pPr>
    </w:p>
    <w:p>
      <w:pPr>
        <w:jc w:val="both"/>
        <w:ind w:left="120" w:right="120"/>
        <w:spacing w:after="0" w:line="251" w:lineRule="auto"/>
        <w:rPr>
          <w:sz w:val="20"/>
          <w:szCs w:val="20"/>
          <w:color w:val="auto"/>
        </w:rPr>
      </w:pPr>
      <w:r>
        <w:rPr>
          <w:rFonts w:ascii="Times New Roman" w:cs="Times New Roman" w:eastAsia="Times New Roman" w:hAnsi="Times New Roman"/>
          <w:sz w:val="22"/>
          <w:szCs w:val="22"/>
          <w:b w:val="1"/>
          <w:bCs w:val="1"/>
          <w:color w:val="auto"/>
        </w:rPr>
        <w:t>3A230 High-speed pulse generators, and pulse heads therefor, having both of the following characteristics (see List of Items Controlled).</w:t>
      </w:r>
    </w:p>
    <w:p>
      <w:pPr>
        <w:spacing w:after="0" w:line="206"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260"/>
        <w:spacing w:after="0"/>
        <w:tabs>
          <w:tab w:leader="none" w:pos="21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60" w:type="dxa"/>
            <w:vAlign w:val="bottom"/>
            <w:tcBorders>
              <w:top w:val="single" w:sz="8" w:color="auto"/>
              <w:left w:val="single" w:sz="8" w:color="auto"/>
              <w:right w:val="single" w:sz="8" w:color="auto"/>
            </w:tcBorders>
          </w:tcPr>
          <w:p>
            <w:pPr>
              <w:spacing w:after="0"/>
              <w:rPr>
                <w:sz w:val="21"/>
                <w:szCs w:val="21"/>
                <w:color w:val="auto"/>
              </w:rPr>
            </w:pPr>
          </w:p>
        </w:tc>
        <w:tc>
          <w:tcPr>
            <w:tcW w:w="20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560" w:type="dxa"/>
            <w:vAlign w:val="bottom"/>
            <w:tcBorders>
              <w:left w:val="single" w:sz="8" w:color="auto"/>
              <w:right w:val="single" w:sz="8" w:color="auto"/>
            </w:tcBorders>
          </w:tcPr>
          <w:p>
            <w:pPr>
              <w:ind w:left="82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00" w:type="dxa"/>
            <w:vAlign w:val="bottom"/>
            <w:tcBorders>
              <w:right w:val="single" w:sz="8" w:color="auto"/>
            </w:tcBorders>
          </w:tcPr>
          <w:p>
            <w:pPr>
              <w:ind w:left="520"/>
              <w:spacing w:after="0"/>
              <w:rPr>
                <w:sz w:val="20"/>
                <w:szCs w:val="20"/>
                <w:color w:val="auto"/>
              </w:rPr>
            </w:pPr>
            <w:r>
              <w:rPr>
                <w:rFonts w:ascii="Times New Roman" w:cs="Times New Roman" w:eastAsia="Times New Roman" w:hAnsi="Times New Roman"/>
                <w:sz w:val="22"/>
                <w:szCs w:val="22"/>
                <w:i w:val="1"/>
                <w:iCs w:val="1"/>
                <w:color w:val="auto"/>
              </w:rPr>
              <w:t>(See Supp. No.</w:t>
            </w:r>
          </w:p>
        </w:tc>
      </w:tr>
      <w:tr>
        <w:trPr>
          <w:trHeight w:val="272"/>
        </w:trPr>
        <w:tc>
          <w:tcPr>
            <w:tcW w:w="2560" w:type="dxa"/>
            <w:vAlign w:val="bottom"/>
            <w:tcBorders>
              <w:left w:val="single" w:sz="8" w:color="auto"/>
              <w:bottom w:val="single" w:sz="8" w:color="auto"/>
              <w:right w:val="single" w:sz="8" w:color="auto"/>
            </w:tcBorders>
          </w:tcPr>
          <w:p>
            <w:pPr>
              <w:spacing w:after="0"/>
              <w:rPr>
                <w:sz w:val="23"/>
                <w:szCs w:val="23"/>
                <w:color w:val="auto"/>
              </w:rPr>
            </w:pPr>
          </w:p>
        </w:tc>
        <w:tc>
          <w:tcPr>
            <w:tcW w:w="20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1 to part 738)</w:t>
            </w:r>
          </w:p>
        </w:tc>
      </w:tr>
      <w:tr>
        <w:trPr>
          <w:trHeight w:val="243"/>
        </w:trPr>
        <w:tc>
          <w:tcPr>
            <w:tcW w:w="256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NP applies to entire entry</w:t>
            </w:r>
          </w:p>
        </w:tc>
        <w:tc>
          <w:tcPr>
            <w:tcW w:w="200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NP Column 1</w:t>
            </w:r>
          </w:p>
        </w:tc>
      </w:tr>
      <w:tr>
        <w:trPr>
          <w:trHeight w:val="244"/>
        </w:trPr>
        <w:tc>
          <w:tcPr>
            <w:tcW w:w="2560" w:type="dxa"/>
            <w:vAlign w:val="bottom"/>
            <w:tcBorders>
              <w:left w:val="single" w:sz="8" w:color="auto"/>
              <w:bottom w:val="single" w:sz="8" w:color="auto"/>
              <w:right w:val="single" w:sz="8" w:color="auto"/>
            </w:tcBorders>
          </w:tcPr>
          <w:p>
            <w:pPr>
              <w:ind w:left="120"/>
              <w:spacing w:after="0" w:line="244" w:lineRule="exact"/>
              <w:rPr>
                <w:sz w:val="20"/>
                <w:szCs w:val="20"/>
                <w:color w:val="auto"/>
              </w:rPr>
            </w:pPr>
            <w:r>
              <w:rPr>
                <w:rFonts w:ascii="Times New Roman" w:cs="Times New Roman" w:eastAsia="Times New Roman" w:hAnsi="Times New Roman"/>
                <w:sz w:val="22"/>
                <w:szCs w:val="22"/>
                <w:color w:val="auto"/>
              </w:rPr>
              <w:t>AT applies to entire entry</w:t>
            </w:r>
          </w:p>
        </w:tc>
        <w:tc>
          <w:tcPr>
            <w:tcW w:w="2000" w:type="dxa"/>
            <w:vAlign w:val="bottom"/>
            <w:tcBorders>
              <w:bottom w:val="single" w:sz="8" w:color="auto"/>
              <w:right w:val="single" w:sz="8" w:color="auto"/>
            </w:tcBorders>
          </w:tcPr>
          <w:p>
            <w:pPr>
              <w:ind w:left="10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2" w:lineRule="exact"/>
        <w:rPr>
          <w:sz w:val="20"/>
          <w:szCs w:val="20"/>
          <w:color w:val="auto"/>
        </w:rPr>
      </w:pPr>
    </w:p>
    <w:p>
      <w:pPr>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2" w:lineRule="exact"/>
        <w:rPr>
          <w:sz w:val="20"/>
          <w:szCs w:val="20"/>
          <w:color w:val="auto"/>
        </w:rPr>
      </w:pPr>
    </w:p>
    <w:p>
      <w:pPr>
        <w:ind w:left="26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spacing w:after="0" w:line="3" w:lineRule="exact"/>
        <w:rPr>
          <w:sz w:val="20"/>
          <w:szCs w:val="20"/>
          <w:color w:val="auto"/>
        </w:rPr>
      </w:pPr>
    </w:p>
    <w:p>
      <w:pPr>
        <w:ind w:left="26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26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00" w:right="120"/>
        <w:spacing w:after="0" w:line="273"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3E001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3E201</w:t>
      </w:r>
    </w:p>
    <w:p>
      <w:pPr>
        <w:spacing w:after="0" w:line="200" w:lineRule="exact"/>
        <w:rPr>
          <w:sz w:val="20"/>
          <w:szCs w:val="20"/>
          <w:color w:val="auto"/>
        </w:rPr>
      </w:pPr>
    </w:p>
    <w:p>
      <w:pPr>
        <w:sectPr>
          <w:pgSz w:w="12240" w:h="15840" w:orient="portrait"/>
          <w:cols w:equalWidth="0" w:num="2">
            <w:col w:w="4320" w:space="600"/>
            <w:col w:w="4560"/>
          </w:cols>
          <w:pgMar w:left="1440" w:top="1062" w:right="1320" w:bottom="892" w:gutter="0" w:footer="0" w:header="0"/>
          <w:type w:val="continuous"/>
        </w:sectPr>
      </w:pPr>
    </w:p>
    <w:p>
      <w:pPr>
        <w:spacing w:after="0" w:line="213"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062" w:right="1320" w:bottom="892" w:gutter="0" w:footer="0" w:header="0"/>
          <w:type w:val="continuous"/>
        </w:sectPr>
      </w:pPr>
    </w:p>
    <w:bookmarkStart w:id="26" w:name="page27"/>
    <w:bookmarkEnd w:id="26"/>
    <w:tbl>
      <w:tblPr>
        <w:tblLayout w:type="fixed"/>
        <w:tblInd w:w="0" w:type="dxa"/>
        <w:tblCellMar>
          <w:top w:w="0" w:type="dxa"/>
          <w:left w:w="0" w:type="dxa"/>
          <w:bottom w:w="0" w:type="dxa"/>
          <w:right w:w="0" w:type="dxa"/>
        </w:tblCellMar>
      </w:tblPr>
      <w:tr>
        <w:trPr>
          <w:trHeight w:val="238"/>
        </w:trPr>
        <w:tc>
          <w:tcPr>
            <w:tcW w:w="2180" w:type="dxa"/>
            <w:vAlign w:val="bottom"/>
            <w:gridSpan w:val="3"/>
          </w:tcPr>
          <w:p>
            <w:pPr>
              <w:spacing w:after="0"/>
              <w:rPr>
                <w:sz w:val="20"/>
                <w:szCs w:val="20"/>
                <w:color w:val="auto"/>
              </w:rPr>
            </w:pPr>
            <w:r>
              <w:rPr>
                <w:rFonts w:ascii="Times New Roman" w:cs="Times New Roman" w:eastAsia="Times New Roman" w:hAnsi="Times New Roman"/>
                <w:sz w:val="18"/>
                <w:szCs w:val="18"/>
                <w:b w:val="1"/>
                <w:bCs w:val="1"/>
                <w:color w:val="auto"/>
              </w:rPr>
              <w:t>Commerce Control List</w:t>
            </w:r>
          </w:p>
        </w:tc>
        <w:tc>
          <w:tcPr>
            <w:tcW w:w="4760" w:type="dxa"/>
            <w:vAlign w:val="bottom"/>
            <w:gridSpan w:val="2"/>
          </w:tcPr>
          <w:p>
            <w:pPr>
              <w:ind w:left="1380"/>
              <w:spacing w:after="0"/>
              <w:rPr>
                <w:sz w:val="20"/>
                <w:szCs w:val="20"/>
                <w:color w:val="auto"/>
              </w:rPr>
            </w:pPr>
            <w:r>
              <w:rPr>
                <w:rFonts w:ascii="Times New Roman" w:cs="Times New Roman" w:eastAsia="Times New Roman" w:hAnsi="Times New Roman"/>
                <w:sz w:val="18"/>
                <w:szCs w:val="18"/>
                <w:b w:val="1"/>
                <w:bCs w:val="1"/>
                <w:color w:val="auto"/>
              </w:rPr>
              <w:t>Supplement No. 1 to Part 774</w:t>
            </w:r>
          </w:p>
        </w:tc>
        <w:tc>
          <w:tcPr>
            <w:tcW w:w="2420" w:type="dxa"/>
            <w:vAlign w:val="bottom"/>
          </w:tcPr>
          <w:p>
            <w:pPr>
              <w:ind w:left="820"/>
              <w:spacing w:after="0"/>
              <w:rPr>
                <w:sz w:val="20"/>
                <w:szCs w:val="20"/>
                <w:color w:val="auto"/>
              </w:rPr>
            </w:pPr>
            <w:r>
              <w:rPr>
                <w:rFonts w:ascii="Times New Roman" w:cs="Times New Roman" w:eastAsia="Times New Roman" w:hAnsi="Times New Roman"/>
                <w:sz w:val="18"/>
                <w:szCs w:val="18"/>
                <w:b w:val="1"/>
                <w:bCs w:val="1"/>
                <w:color w:val="auto"/>
                <w:w w:val="98"/>
              </w:rPr>
              <w:t>Category 3—page 27</w:t>
            </w:r>
          </w:p>
        </w:tc>
      </w:tr>
      <w:tr>
        <w:trPr>
          <w:trHeight w:val="463"/>
        </w:trPr>
        <w:tc>
          <w:tcPr>
            <w:tcW w:w="180" w:type="dxa"/>
            <w:vAlign w:val="bottom"/>
          </w:tcPr>
          <w:p>
            <w:pPr>
              <w:spacing w:after="0"/>
              <w:rPr>
                <w:sz w:val="24"/>
                <w:szCs w:val="24"/>
                <w:color w:val="auto"/>
              </w:rPr>
            </w:pPr>
          </w:p>
        </w:tc>
        <w:tc>
          <w:tcPr>
            <w:tcW w:w="4580" w:type="dxa"/>
            <w:vAlign w:val="bottom"/>
            <w:gridSpan w:val="3"/>
          </w:tcPr>
          <w:p>
            <w:pPr>
              <w:spacing w:after="0"/>
              <w:rPr>
                <w:sz w:val="20"/>
                <w:szCs w:val="20"/>
                <w:color w:val="auto"/>
              </w:rPr>
            </w:pPr>
            <w:r>
              <w:rPr>
                <w:rFonts w:ascii="Times New Roman" w:cs="Times New Roman" w:eastAsia="Times New Roman" w:hAnsi="Times New Roman"/>
                <w:sz w:val="22"/>
                <w:szCs w:val="22"/>
                <w:color w:val="auto"/>
              </w:rPr>
              <w:t>(“use”) for technology for items controlled</w:t>
            </w:r>
          </w:p>
        </w:tc>
        <w:tc>
          <w:tcPr>
            <w:tcW w:w="2180" w:type="dxa"/>
            <w:vAlign w:val="bottom"/>
          </w:tcPr>
          <w:p>
            <w:pPr>
              <w:ind w:left="42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tc>
        <w:tc>
          <w:tcPr>
            <w:tcW w:w="2420" w:type="dxa"/>
            <w:vAlign w:val="bottom"/>
          </w:tcPr>
          <w:p>
            <w:pPr>
              <w:spacing w:after="0"/>
              <w:rPr>
                <w:sz w:val="24"/>
                <w:szCs w:val="24"/>
                <w:color w:val="auto"/>
              </w:rPr>
            </w:pPr>
          </w:p>
        </w:tc>
      </w:tr>
      <w:tr>
        <w:trPr>
          <w:trHeight w:val="252"/>
        </w:trPr>
        <w:tc>
          <w:tcPr>
            <w:tcW w:w="180" w:type="dxa"/>
            <w:vAlign w:val="bottom"/>
          </w:tcPr>
          <w:p>
            <w:pPr>
              <w:spacing w:after="0"/>
              <w:rPr>
                <w:sz w:val="21"/>
                <w:szCs w:val="21"/>
                <w:color w:val="auto"/>
              </w:rPr>
            </w:pPr>
          </w:p>
        </w:tc>
        <w:tc>
          <w:tcPr>
            <w:tcW w:w="2000" w:type="dxa"/>
            <w:vAlign w:val="bottom"/>
            <w:gridSpan w:val="2"/>
          </w:tcPr>
          <w:p>
            <w:pPr>
              <w:spacing w:after="0"/>
              <w:rPr>
                <w:sz w:val="20"/>
                <w:szCs w:val="20"/>
                <w:color w:val="auto"/>
              </w:rPr>
            </w:pPr>
            <w:r>
              <w:rPr>
                <w:rFonts w:ascii="Times New Roman" w:cs="Times New Roman" w:eastAsia="Times New Roman" w:hAnsi="Times New Roman"/>
                <w:sz w:val="22"/>
                <w:szCs w:val="22"/>
                <w:color w:val="auto"/>
              </w:rPr>
              <w:t>under this entry.  (2)</w:t>
            </w:r>
          </w:p>
        </w:tc>
        <w:tc>
          <w:tcPr>
            <w:tcW w:w="2580" w:type="dxa"/>
            <w:vAlign w:val="bottom"/>
          </w:tcPr>
          <w:p>
            <w:pPr>
              <w:ind w:left="20"/>
              <w:spacing w:after="0"/>
              <w:rPr>
                <w:sz w:val="20"/>
                <w:szCs w:val="20"/>
                <w:color w:val="auto"/>
              </w:rPr>
            </w:pPr>
            <w:r>
              <w:rPr>
                <w:rFonts w:ascii="Times New Roman" w:cs="Times New Roman" w:eastAsia="Times New Roman" w:hAnsi="Times New Roman"/>
                <w:sz w:val="22"/>
                <w:szCs w:val="22"/>
                <w:color w:val="auto"/>
              </w:rPr>
              <w:t>See ECCNs 3A002.d.1,</w:t>
            </w:r>
          </w:p>
        </w:tc>
        <w:tc>
          <w:tcPr>
            <w:tcW w:w="2180" w:type="dxa"/>
            <w:vAlign w:val="bottom"/>
          </w:tcPr>
          <w:p>
            <w:pPr>
              <w:ind w:left="42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tc>
        <w:tc>
          <w:tcPr>
            <w:tcW w:w="2420" w:type="dxa"/>
            <w:vAlign w:val="bottom"/>
          </w:tcPr>
          <w:p>
            <w:pPr>
              <w:spacing w:after="0"/>
              <w:rPr>
                <w:sz w:val="21"/>
                <w:szCs w:val="21"/>
                <w:color w:val="auto"/>
              </w:rPr>
            </w:pPr>
          </w:p>
        </w:tc>
      </w:tr>
      <w:tr>
        <w:trPr>
          <w:trHeight w:val="248"/>
        </w:trPr>
        <w:tc>
          <w:tcPr>
            <w:tcW w:w="180" w:type="dxa"/>
            <w:vAlign w:val="bottom"/>
          </w:tcPr>
          <w:p>
            <w:pPr>
              <w:spacing w:after="0"/>
              <w:rPr>
                <w:sz w:val="21"/>
                <w:szCs w:val="21"/>
                <w:color w:val="auto"/>
              </w:rPr>
            </w:pPr>
          </w:p>
        </w:tc>
        <w:tc>
          <w:tcPr>
            <w:tcW w:w="2000" w:type="dxa"/>
            <w:vAlign w:val="bottom"/>
            <w:gridSpan w:val="2"/>
          </w:tcPr>
          <w:p>
            <w:pPr>
              <w:spacing w:after="0" w:line="247" w:lineRule="exact"/>
              <w:rPr>
                <w:sz w:val="20"/>
                <w:szCs w:val="20"/>
                <w:color w:val="auto"/>
              </w:rPr>
            </w:pPr>
            <w:r>
              <w:rPr>
                <w:rFonts w:ascii="Times New Roman" w:cs="Times New Roman" w:eastAsia="Times New Roman" w:hAnsi="Times New Roman"/>
                <w:sz w:val="22"/>
                <w:szCs w:val="22"/>
                <w:color w:val="0000FF"/>
                <w:w w:val="99"/>
              </w:rPr>
              <w:t>3A992.</w:t>
            </w:r>
            <w:r>
              <w:rPr>
                <w:rFonts w:ascii="Times New Roman" w:cs="Times New Roman" w:eastAsia="Times New Roman" w:hAnsi="Times New Roman"/>
                <w:sz w:val="22"/>
                <w:szCs w:val="22"/>
                <w:u w:val="single" w:color="auto"/>
                <w:color w:val="0000FF"/>
                <w:w w:val="99"/>
              </w:rPr>
              <w:t>a</w:t>
            </w:r>
            <w:r>
              <w:rPr>
                <w:rFonts w:ascii="Times New Roman" w:cs="Times New Roman" w:eastAsia="Times New Roman" w:hAnsi="Times New Roman"/>
                <w:sz w:val="22"/>
                <w:szCs w:val="22"/>
                <w:color w:val="0000FF"/>
                <w:w w:val="99"/>
              </w:rPr>
              <w:t xml:space="preserve"> </w:t>
            </w:r>
            <w:r>
              <w:rPr>
                <w:rFonts w:ascii="Times New Roman" w:cs="Times New Roman" w:eastAsia="Times New Roman" w:hAnsi="Times New Roman"/>
                <w:sz w:val="22"/>
                <w:szCs w:val="22"/>
                <w:color w:val="000000"/>
                <w:w w:val="99"/>
              </w:rPr>
              <w:t>and 3A999.d.</w:t>
            </w:r>
          </w:p>
        </w:tc>
        <w:tc>
          <w:tcPr>
            <w:tcW w:w="2580" w:type="dxa"/>
            <w:vAlign w:val="bottom"/>
          </w:tcPr>
          <w:p>
            <w:pPr>
              <w:spacing w:after="0"/>
              <w:rPr>
                <w:sz w:val="21"/>
                <w:szCs w:val="21"/>
                <w:color w:val="auto"/>
              </w:rPr>
            </w:pPr>
          </w:p>
        </w:tc>
        <w:tc>
          <w:tcPr>
            <w:tcW w:w="2180" w:type="dxa"/>
            <w:vAlign w:val="bottom"/>
          </w:tcPr>
          <w:p>
            <w:pPr>
              <w:ind w:left="420"/>
              <w:spacing w:after="0" w:line="247" w:lineRule="exact"/>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tc>
        <w:tc>
          <w:tcPr>
            <w:tcW w:w="2420" w:type="dxa"/>
            <w:vAlign w:val="bottom"/>
          </w:tcPr>
          <w:p>
            <w:pPr>
              <w:spacing w:after="0"/>
              <w:rPr>
                <w:sz w:val="21"/>
                <w:szCs w:val="21"/>
                <w:color w:val="auto"/>
              </w:rPr>
            </w:pPr>
          </w:p>
        </w:tc>
      </w:tr>
      <w:tr>
        <w:trPr>
          <w:trHeight w:val="20"/>
        </w:trPr>
        <w:tc>
          <w:tcPr>
            <w:tcW w:w="180" w:type="dxa"/>
            <w:vAlign w:val="bottom"/>
          </w:tcPr>
          <w:p>
            <w:pPr>
              <w:spacing w:after="0" w:line="20" w:lineRule="exact"/>
              <w:rPr>
                <w:sz w:val="1"/>
                <w:szCs w:val="1"/>
                <w:color w:val="auto"/>
              </w:rPr>
            </w:pPr>
          </w:p>
        </w:tc>
        <w:tc>
          <w:tcPr>
            <w:tcW w:w="760" w:type="dxa"/>
            <w:vAlign w:val="bottom"/>
            <w:shd w:val="clear" w:color="auto" w:fill="0000FF"/>
          </w:tcPr>
          <w:p>
            <w:pPr>
              <w:spacing w:after="0" w:line="20" w:lineRule="exact"/>
              <w:rPr>
                <w:sz w:val="1"/>
                <w:szCs w:val="1"/>
                <w:color w:val="auto"/>
              </w:rPr>
            </w:pPr>
          </w:p>
        </w:tc>
        <w:tc>
          <w:tcPr>
            <w:tcW w:w="1240" w:type="dxa"/>
            <w:vAlign w:val="bottom"/>
          </w:tcPr>
          <w:p>
            <w:pPr>
              <w:spacing w:after="0" w:line="20" w:lineRule="exact"/>
              <w:rPr>
                <w:sz w:val="1"/>
                <w:szCs w:val="1"/>
                <w:color w:val="auto"/>
              </w:rPr>
            </w:pPr>
          </w:p>
        </w:tc>
        <w:tc>
          <w:tcPr>
            <w:tcW w:w="2580" w:type="dxa"/>
            <w:vAlign w:val="bottom"/>
          </w:tcPr>
          <w:p>
            <w:pPr>
              <w:spacing w:after="0" w:line="20" w:lineRule="exact"/>
              <w:rPr>
                <w:sz w:val="1"/>
                <w:szCs w:val="1"/>
                <w:color w:val="auto"/>
              </w:rPr>
            </w:pPr>
          </w:p>
        </w:tc>
        <w:tc>
          <w:tcPr>
            <w:tcW w:w="2180" w:type="dxa"/>
            <w:vAlign w:val="bottom"/>
          </w:tcPr>
          <w:p>
            <w:pPr>
              <w:spacing w:after="0" w:line="20" w:lineRule="exact"/>
              <w:rPr>
                <w:sz w:val="1"/>
                <w:szCs w:val="1"/>
                <w:color w:val="auto"/>
              </w:rPr>
            </w:pPr>
          </w:p>
        </w:tc>
        <w:tc>
          <w:tcPr>
            <w:tcW w:w="2420" w:type="dxa"/>
            <w:vAlign w:val="bottom"/>
          </w:tcPr>
          <w:p>
            <w:pPr>
              <w:spacing w:after="0" w:line="20" w:lineRule="exact"/>
              <w:rPr>
                <w:sz w:val="1"/>
                <w:szCs w:val="1"/>
                <w:color w:val="auto"/>
              </w:rPr>
            </w:pPr>
          </w:p>
        </w:tc>
      </w:tr>
    </w:tbl>
    <w:p>
      <w:pPr>
        <w:spacing w:after="0" w:line="200" w:lineRule="exact"/>
        <w:rPr>
          <w:sz w:val="20"/>
          <w:szCs w:val="20"/>
          <w:color w:val="auto"/>
        </w:rPr>
      </w:pPr>
    </w:p>
    <w:p>
      <w:pPr>
        <w:sectPr>
          <w:pgSz w:w="12240" w:h="15840" w:orient="portrait"/>
          <w:cols w:equalWidth="0" w:num="1">
            <w:col w:w="9380"/>
          </w:cols>
          <w:pgMar w:left="1440" w:top="1062" w:right="1420" w:bottom="892" w:gutter="0" w:footer="0" w:header="0"/>
        </w:sectPr>
      </w:pPr>
    </w:p>
    <w:p>
      <w:pPr>
        <w:spacing w:after="0" w:line="48" w:lineRule="exact"/>
        <w:rPr>
          <w:sz w:val="20"/>
          <w:szCs w:val="20"/>
          <w:color w:val="auto"/>
        </w:rPr>
      </w:pPr>
    </w:p>
    <w:p>
      <w:pPr>
        <w:jc w:val="both"/>
        <w:ind w:left="180"/>
        <w:spacing w:after="0" w:line="243"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1. In 3A230.b, the term</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“pulse transition time” is defined as the time interval between 10% and 90% voltage amplitude. 2. Pulse heads are impulse forming networks designed to accept a voltage step function and shape it into a variety of pulse forms that can include rectangular, triangular, step, impulse, exponential, or monocycle types. Pulse heads can be an integral part of the pulse generator, they can be a plug-in module to the device or they can be an externally connected device.</w:t>
      </w:r>
    </w:p>
    <w:p>
      <w:pPr>
        <w:spacing w:after="0" w:line="215"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6"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 xml:space="preserve">a. Output voltage greater than 6 V into a resistive load of less than 55 ohms; </w:t>
      </w:r>
      <w:r>
        <w:rPr>
          <w:rFonts w:ascii="Times New Roman" w:cs="Times New Roman" w:eastAsia="Times New Roman" w:hAnsi="Times New Roman"/>
          <w:sz w:val="22"/>
          <w:szCs w:val="22"/>
          <w:i w:val="1"/>
          <w:iCs w:val="1"/>
          <w:color w:val="auto"/>
        </w:rPr>
        <w:t>and</w:t>
      </w:r>
    </w:p>
    <w:p>
      <w:pPr>
        <w:spacing w:after="0" w:line="18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 “Pulse transition time” less than 500 ps.</w:t>
      </w:r>
    </w:p>
    <w:p>
      <w:pPr>
        <w:spacing w:after="0" w:line="200" w:lineRule="exact"/>
        <w:rPr>
          <w:sz w:val="20"/>
          <w:szCs w:val="20"/>
          <w:color w:val="auto"/>
        </w:rPr>
      </w:pPr>
    </w:p>
    <w:p>
      <w:pPr>
        <w:spacing w:after="0" w:line="303"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2"/>
          <w:szCs w:val="22"/>
          <w:b w:val="1"/>
          <w:bCs w:val="1"/>
          <w:color w:val="auto"/>
        </w:rPr>
        <w:t>3A231 Neutron generator systems, including tubes, having both of the characteristics described in this ECCN (see List of Items Controlled).</w:t>
      </w:r>
    </w:p>
    <w:p>
      <w:pPr>
        <w:spacing w:after="0" w:line="20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NP, AT , Foreign policy</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440" w:type="dxa"/>
            <w:vAlign w:val="bottom"/>
            <w:tcBorders>
              <w:top w:val="single" w:sz="8" w:color="auto"/>
              <w:left w:val="single" w:sz="8" w:color="auto"/>
              <w:right w:val="single" w:sz="8" w:color="auto"/>
            </w:tcBorders>
          </w:tcPr>
          <w:p>
            <w:pPr>
              <w:spacing w:after="0"/>
              <w:rPr>
                <w:sz w:val="21"/>
                <w:szCs w:val="21"/>
                <w:color w:val="auto"/>
              </w:rPr>
            </w:pPr>
          </w:p>
        </w:tc>
        <w:tc>
          <w:tcPr>
            <w:tcW w:w="1720" w:type="dxa"/>
            <w:vAlign w:val="bottom"/>
            <w:tcBorders>
              <w:top w:val="single" w:sz="8" w:color="auto"/>
              <w:right w:val="single" w:sz="8" w:color="auto"/>
            </w:tcBorders>
          </w:tcPr>
          <w:p>
            <w:pPr>
              <w:ind w:left="200"/>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40" w:type="dxa"/>
            <w:vAlign w:val="bottom"/>
            <w:tcBorders>
              <w:left w:val="single" w:sz="8" w:color="auto"/>
              <w:right w:val="single" w:sz="8" w:color="auto"/>
            </w:tcBorders>
          </w:tcPr>
          <w:p>
            <w:pPr>
              <w:ind w:left="7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72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i w:val="1"/>
                <w:iCs w:val="1"/>
                <w:color w:val="auto"/>
                <w:w w:val="99"/>
              </w:rPr>
              <w:t>(See Supp. No. 1 to</w:t>
            </w:r>
          </w:p>
        </w:tc>
      </w:tr>
      <w:tr>
        <w:trPr>
          <w:trHeight w:val="272"/>
        </w:trPr>
        <w:tc>
          <w:tcPr>
            <w:tcW w:w="2440" w:type="dxa"/>
            <w:vAlign w:val="bottom"/>
            <w:tcBorders>
              <w:left w:val="single" w:sz="8" w:color="auto"/>
              <w:bottom w:val="single" w:sz="8" w:color="auto"/>
              <w:right w:val="single" w:sz="8" w:color="auto"/>
            </w:tcBorders>
          </w:tcPr>
          <w:p>
            <w:pPr>
              <w:spacing w:after="0"/>
              <w:rPr>
                <w:sz w:val="23"/>
                <w:szCs w:val="23"/>
                <w:color w:val="auto"/>
              </w:rPr>
            </w:pPr>
          </w:p>
        </w:tc>
        <w:tc>
          <w:tcPr>
            <w:tcW w:w="1720" w:type="dxa"/>
            <w:vAlign w:val="bottom"/>
            <w:tcBorders>
              <w:bottom w:val="single" w:sz="8" w:color="auto"/>
              <w:right w:val="single" w:sz="8" w:color="auto"/>
            </w:tcBorders>
          </w:tcPr>
          <w:p>
            <w:pPr>
              <w:ind w:left="440"/>
              <w:spacing w:after="0"/>
              <w:rPr>
                <w:sz w:val="20"/>
                <w:szCs w:val="20"/>
                <w:color w:val="auto"/>
              </w:rPr>
            </w:pPr>
            <w:r>
              <w:rPr>
                <w:rFonts w:ascii="Times New Roman" w:cs="Times New Roman" w:eastAsia="Times New Roman" w:hAnsi="Times New Roman"/>
                <w:sz w:val="22"/>
                <w:szCs w:val="22"/>
                <w:i w:val="1"/>
                <w:iCs w:val="1"/>
                <w:color w:val="auto"/>
              </w:rPr>
              <w:t>part 738)</w:t>
            </w:r>
          </w:p>
        </w:tc>
      </w:tr>
      <w:tr>
        <w:trPr>
          <w:trHeight w:val="243"/>
        </w:trPr>
        <w:tc>
          <w:tcPr>
            <w:tcW w:w="2440" w:type="dxa"/>
            <w:vAlign w:val="bottom"/>
            <w:tcBorders>
              <w:left w:val="single" w:sz="8" w:color="auto"/>
              <w:bottom w:val="single" w:sz="8" w:color="auto"/>
              <w:right w:val="single" w:sz="8" w:color="auto"/>
            </w:tcBorders>
          </w:tcPr>
          <w:p>
            <w:pPr>
              <w:ind w:left="20"/>
              <w:spacing w:after="0" w:line="243" w:lineRule="exact"/>
              <w:rPr>
                <w:sz w:val="20"/>
                <w:szCs w:val="20"/>
                <w:color w:val="auto"/>
              </w:rPr>
            </w:pPr>
            <w:r>
              <w:rPr>
                <w:rFonts w:ascii="Times New Roman" w:cs="Times New Roman" w:eastAsia="Times New Roman" w:hAnsi="Times New Roman"/>
                <w:sz w:val="22"/>
                <w:szCs w:val="22"/>
                <w:color w:val="auto"/>
              </w:rPr>
              <w:t>NP applies to entire entry</w:t>
            </w:r>
          </w:p>
        </w:tc>
        <w:tc>
          <w:tcPr>
            <w:tcW w:w="1720" w:type="dxa"/>
            <w:vAlign w:val="bottom"/>
            <w:tcBorders>
              <w:bottom w:val="single" w:sz="8" w:color="auto"/>
              <w:right w:val="single" w:sz="8" w:color="auto"/>
            </w:tcBorders>
          </w:tcPr>
          <w:p>
            <w:pPr>
              <w:spacing w:after="0" w:line="243"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440" w:type="dxa"/>
            <w:vAlign w:val="bottom"/>
            <w:tcBorders>
              <w:left w:val="single" w:sz="8" w:color="auto"/>
              <w:bottom w:val="single" w:sz="8" w:color="auto"/>
              <w:right w:val="single" w:sz="8" w:color="auto"/>
            </w:tcBorders>
          </w:tcPr>
          <w:p>
            <w:pPr>
              <w:ind w:left="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720" w:type="dxa"/>
            <w:vAlign w:val="bottom"/>
            <w:tcBorders>
              <w:bottom w:val="single" w:sz="8" w:color="auto"/>
              <w:right w:val="single" w:sz="8" w:color="auto"/>
            </w:tcBorders>
          </w:tcPr>
          <w:p>
            <w:pPr>
              <w:spacing w:after="0" w:line="243" w:lineRule="exact"/>
              <w:rPr>
                <w:sz w:val="20"/>
                <w:szCs w:val="20"/>
                <w:color w:val="auto"/>
              </w:rPr>
            </w:pPr>
            <w:r>
              <w:rPr>
                <w:rFonts w:ascii="Times New Roman" w:cs="Times New Roman" w:eastAsia="Times New Roman" w:hAnsi="Times New Roman"/>
                <w:sz w:val="22"/>
                <w:szCs w:val="22"/>
                <w:color w:val="auto"/>
              </w:rPr>
              <w:t>AT Column 1</w:t>
            </w:r>
          </w:p>
        </w:tc>
      </w:tr>
      <w:tr>
        <w:trPr>
          <w:trHeight w:val="227"/>
        </w:trPr>
        <w:tc>
          <w:tcPr>
            <w:tcW w:w="2440" w:type="dxa"/>
            <w:vAlign w:val="bottom"/>
            <w:tcBorders>
              <w:left w:val="single" w:sz="8" w:color="auto"/>
              <w:right w:val="single" w:sz="8" w:color="auto"/>
            </w:tcBorders>
          </w:tcPr>
          <w:p>
            <w:pPr>
              <w:ind w:left="20"/>
              <w:spacing w:after="0" w:line="227" w:lineRule="exact"/>
              <w:rPr>
                <w:sz w:val="20"/>
                <w:szCs w:val="20"/>
                <w:color w:val="auto"/>
              </w:rPr>
            </w:pPr>
            <w:r>
              <w:rPr>
                <w:rFonts w:ascii="Times New Roman" w:cs="Times New Roman" w:eastAsia="Times New Roman" w:hAnsi="Times New Roman"/>
                <w:sz w:val="22"/>
                <w:szCs w:val="22"/>
                <w:color w:val="auto"/>
              </w:rPr>
              <w:t>Russian industry sector</w:t>
            </w:r>
          </w:p>
        </w:tc>
        <w:tc>
          <w:tcPr>
            <w:tcW w:w="1720" w:type="dxa"/>
            <w:vAlign w:val="bottom"/>
            <w:tcBorders>
              <w:right w:val="single" w:sz="8" w:color="auto"/>
            </w:tcBorders>
          </w:tcPr>
          <w:p>
            <w:pPr>
              <w:spacing w:after="0" w:line="227" w:lineRule="exact"/>
              <w:rPr>
                <w:sz w:val="20"/>
                <w:szCs w:val="20"/>
                <w:color w:val="auto"/>
              </w:rPr>
            </w:pPr>
            <w:r>
              <w:rPr>
                <w:rFonts w:ascii="Times New Roman" w:cs="Times New Roman" w:eastAsia="Times New Roman" w:hAnsi="Times New Roman"/>
                <w:sz w:val="22"/>
                <w:szCs w:val="22"/>
                <w:color w:val="auto"/>
              </w:rPr>
              <w:t>See § 746.5 for</w:t>
            </w:r>
          </w:p>
        </w:tc>
      </w:tr>
      <w:tr>
        <w:trPr>
          <w:trHeight w:val="253"/>
        </w:trPr>
        <w:tc>
          <w:tcPr>
            <w:tcW w:w="2440" w:type="dxa"/>
            <w:vAlign w:val="bottom"/>
            <w:tcBorders>
              <w:left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sanctions apply to entire</w:t>
            </w:r>
          </w:p>
        </w:tc>
        <w:tc>
          <w:tcPr>
            <w:tcW w:w="172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specific license</w:t>
            </w:r>
          </w:p>
        </w:tc>
      </w:tr>
      <w:tr>
        <w:trPr>
          <w:trHeight w:val="252"/>
        </w:trPr>
        <w:tc>
          <w:tcPr>
            <w:tcW w:w="2440" w:type="dxa"/>
            <w:vAlign w:val="bottom"/>
            <w:tcBorders>
              <w:left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entry.</w:t>
            </w:r>
          </w:p>
        </w:tc>
        <w:tc>
          <w:tcPr>
            <w:tcW w:w="172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requirements and</w:t>
            </w:r>
          </w:p>
        </w:tc>
      </w:tr>
      <w:tr>
        <w:trPr>
          <w:trHeight w:val="253"/>
        </w:trPr>
        <w:tc>
          <w:tcPr>
            <w:tcW w:w="2440" w:type="dxa"/>
            <w:vAlign w:val="bottom"/>
            <w:tcBorders>
              <w:left w:val="single" w:sz="8" w:color="auto"/>
              <w:right w:val="single" w:sz="8" w:color="auto"/>
            </w:tcBorders>
          </w:tcPr>
          <w:p>
            <w:pPr>
              <w:spacing w:after="0"/>
              <w:rPr>
                <w:sz w:val="22"/>
                <w:szCs w:val="22"/>
                <w:color w:val="auto"/>
              </w:rPr>
            </w:pPr>
          </w:p>
        </w:tc>
        <w:tc>
          <w:tcPr>
            <w:tcW w:w="172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license review</w:t>
            </w:r>
          </w:p>
        </w:tc>
      </w:tr>
      <w:tr>
        <w:trPr>
          <w:trHeight w:val="270"/>
        </w:trPr>
        <w:tc>
          <w:tcPr>
            <w:tcW w:w="2440" w:type="dxa"/>
            <w:vAlign w:val="bottom"/>
            <w:tcBorders>
              <w:left w:val="single" w:sz="8" w:color="auto"/>
              <w:bottom w:val="single" w:sz="8" w:color="auto"/>
              <w:right w:val="single" w:sz="8" w:color="auto"/>
            </w:tcBorders>
          </w:tcPr>
          <w:p>
            <w:pPr>
              <w:spacing w:after="0"/>
              <w:rPr>
                <w:sz w:val="23"/>
                <w:szCs w:val="23"/>
                <w:color w:val="auto"/>
              </w:rPr>
            </w:pPr>
          </w:p>
        </w:tc>
        <w:tc>
          <w:tcPr>
            <w:tcW w:w="1720" w:type="dxa"/>
            <w:vAlign w:val="bottom"/>
            <w:tcBorders>
              <w:bottom w:val="single" w:sz="8" w:color="auto"/>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policy.</w:t>
            </w:r>
          </w:p>
        </w:tc>
      </w:tr>
    </w:tbl>
    <w:p>
      <w:pPr>
        <w:spacing w:after="0" w:line="232" w:lineRule="exact"/>
        <w:rPr>
          <w:sz w:val="20"/>
          <w:szCs w:val="20"/>
          <w:color w:val="auto"/>
        </w:rPr>
      </w:pPr>
    </w:p>
    <w:p>
      <w:pPr>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20" w:lineRule="exact"/>
        <w:rPr>
          <w:sz w:val="20"/>
          <w:szCs w:val="20"/>
          <w:color w:val="auto"/>
        </w:rPr>
      </w:pPr>
      <w:r>
        <w:rPr>
          <w:sz w:val="20"/>
          <w:szCs w:val="20"/>
          <w:color w:val="auto"/>
        </w:rPr>
        <w:br w:type="column"/>
      </w:r>
    </w:p>
    <w:p>
      <w:pPr>
        <w:spacing w:after="0" w:line="2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both"/>
        <w:ind w:left="180" w:right="2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3E001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3E201</w:t>
      </w:r>
      <w:r>
        <w:rPr>
          <w:rFonts w:ascii="Times New Roman" w:cs="Times New Roman" w:eastAsia="Times New Roman" w:hAnsi="Times New Roman"/>
          <w:sz w:val="22"/>
          <w:szCs w:val="22"/>
          <w:color w:val="auto"/>
        </w:rPr>
        <w:t xml:space="preserve"> (“use”) for technology for items controlled under this entry.</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jc w:val="both"/>
        <w:ind w:right="20"/>
        <w:spacing w:after="0" w:line="271" w:lineRule="auto"/>
        <w:rPr>
          <w:sz w:val="20"/>
          <w:szCs w:val="20"/>
          <w:color w:val="auto"/>
        </w:rPr>
      </w:pPr>
      <w:r>
        <w:rPr>
          <w:rFonts w:ascii="Times New Roman" w:cs="Times New Roman" w:eastAsia="Times New Roman" w:hAnsi="Times New Roman"/>
          <w:sz w:val="22"/>
          <w:szCs w:val="22"/>
          <w:color w:val="auto"/>
        </w:rPr>
        <w:t xml:space="preserve">a. Designed for operation without an external vacuum system; </w:t>
      </w:r>
      <w:r>
        <w:rPr>
          <w:rFonts w:ascii="Times New Roman" w:cs="Times New Roman" w:eastAsia="Times New Roman" w:hAnsi="Times New Roman"/>
          <w:sz w:val="22"/>
          <w:szCs w:val="22"/>
          <w:i w:val="1"/>
          <w:iCs w:val="1"/>
          <w:color w:val="auto"/>
        </w:rPr>
        <w:t>and</w:t>
      </w:r>
    </w:p>
    <w:p>
      <w:pPr>
        <w:spacing w:after="0" w:line="18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 Utilizing electrostatic acceleration to induce:</w:t>
      </w:r>
    </w:p>
    <w:p>
      <w:pPr>
        <w:spacing w:after="0" w:line="248"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 xml:space="preserve">b.1. A tritium-deuterium nuclear reaction; </w:t>
      </w:r>
      <w:r>
        <w:rPr>
          <w:rFonts w:ascii="Times New Roman" w:cs="Times New Roman" w:eastAsia="Times New Roman" w:hAnsi="Times New Roman"/>
          <w:sz w:val="22"/>
          <w:szCs w:val="22"/>
          <w:i w:val="1"/>
          <w:iCs w:val="1"/>
          <w:color w:val="auto"/>
        </w:rPr>
        <w:t>or</w:t>
      </w:r>
    </w:p>
    <w:p>
      <w:pPr>
        <w:spacing w:after="0" w:line="257" w:lineRule="exact"/>
        <w:rPr>
          <w:sz w:val="20"/>
          <w:szCs w:val="20"/>
          <w:color w:val="auto"/>
        </w:rPr>
      </w:pPr>
    </w:p>
    <w:p>
      <w:pPr>
        <w:jc w:val="both"/>
        <w:ind w:right="20" w:firstLine="144"/>
        <w:spacing w:after="0" w:line="229" w:lineRule="auto"/>
        <w:rPr>
          <w:sz w:val="20"/>
          <w:szCs w:val="20"/>
          <w:color w:val="auto"/>
        </w:rPr>
      </w:pPr>
      <w:r>
        <w:rPr>
          <w:rFonts w:ascii="Times New Roman" w:cs="Times New Roman" w:eastAsia="Times New Roman" w:hAnsi="Times New Roman"/>
          <w:sz w:val="22"/>
          <w:szCs w:val="22"/>
          <w:color w:val="auto"/>
        </w:rPr>
        <w:t>b.2. A deuterium-deuterium nuclear reaction and capable of an output of 3 x 10</w:t>
      </w:r>
      <w:r>
        <w:rPr>
          <w:rFonts w:ascii="Times New Roman" w:cs="Times New Roman" w:eastAsia="Times New Roman" w:hAnsi="Times New Roman"/>
          <w:sz w:val="28"/>
          <w:szCs w:val="28"/>
          <w:color w:val="auto"/>
          <w:vertAlign w:val="superscript"/>
        </w:rPr>
        <w:t>9</w:t>
      </w:r>
      <w:r>
        <w:rPr>
          <w:rFonts w:ascii="Times New Roman" w:cs="Times New Roman" w:eastAsia="Times New Roman" w:hAnsi="Times New Roman"/>
          <w:sz w:val="22"/>
          <w:szCs w:val="22"/>
          <w:color w:val="auto"/>
        </w:rPr>
        <w:t xml:space="preserve"> neutrons/s or greater.</w:t>
      </w:r>
    </w:p>
    <w:p>
      <w:pPr>
        <w:spacing w:after="0" w:line="200" w:lineRule="exact"/>
        <w:rPr>
          <w:sz w:val="20"/>
          <w:szCs w:val="20"/>
          <w:color w:val="auto"/>
        </w:rPr>
      </w:pPr>
    </w:p>
    <w:p>
      <w:pPr>
        <w:spacing w:after="0" w:line="272" w:lineRule="exact"/>
        <w:rPr>
          <w:sz w:val="20"/>
          <w:szCs w:val="20"/>
          <w:color w:val="auto"/>
        </w:rPr>
      </w:pPr>
    </w:p>
    <w:p>
      <w:pPr>
        <w:jc w:val="both"/>
        <w:ind w:right="20"/>
        <w:spacing w:after="0" w:line="257" w:lineRule="auto"/>
        <w:rPr>
          <w:sz w:val="20"/>
          <w:szCs w:val="20"/>
          <w:color w:val="auto"/>
        </w:rPr>
      </w:pPr>
      <w:r>
        <w:rPr>
          <w:rFonts w:ascii="Times New Roman" w:cs="Times New Roman" w:eastAsia="Times New Roman" w:hAnsi="Times New Roman"/>
          <w:sz w:val="22"/>
          <w:szCs w:val="22"/>
          <w:b w:val="1"/>
          <w:bCs w:val="1"/>
          <w:color w:val="auto"/>
        </w:rPr>
        <w:t>3A232 Detonators and multipoint initiation systems, as follows (see List of Items Controlled).</w:t>
      </w:r>
    </w:p>
    <w:p>
      <w:pPr>
        <w:spacing w:after="0" w:line="19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 Foreign policy</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360" w:type="dxa"/>
            <w:vAlign w:val="bottom"/>
            <w:tcBorders>
              <w:top w:val="single" w:sz="8" w:color="auto"/>
              <w:left w:val="single" w:sz="8" w:color="auto"/>
              <w:right w:val="single" w:sz="8" w:color="auto"/>
            </w:tcBorders>
          </w:tcPr>
          <w:p>
            <w:pPr>
              <w:spacing w:after="0"/>
              <w:rPr>
                <w:sz w:val="21"/>
                <w:szCs w:val="21"/>
                <w:color w:val="auto"/>
              </w:rPr>
            </w:pPr>
          </w:p>
        </w:tc>
        <w:tc>
          <w:tcPr>
            <w:tcW w:w="198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3"/>
        </w:trPr>
        <w:tc>
          <w:tcPr>
            <w:tcW w:w="2360" w:type="dxa"/>
            <w:vAlign w:val="bottom"/>
            <w:tcBorders>
              <w:left w:val="single" w:sz="8" w:color="auto"/>
              <w:right w:val="single" w:sz="8" w:color="auto"/>
            </w:tcBorders>
          </w:tcPr>
          <w:p>
            <w:pPr>
              <w:ind w:left="72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360" w:type="dxa"/>
            <w:vAlign w:val="bottom"/>
            <w:tcBorders>
              <w:left w:val="single" w:sz="8" w:color="auto"/>
              <w:bottom w:val="single" w:sz="8" w:color="auto"/>
              <w:right w:val="single" w:sz="8" w:color="auto"/>
            </w:tcBorders>
          </w:tcPr>
          <w:p>
            <w:pPr>
              <w:spacing w:after="0"/>
              <w:rPr>
                <w:sz w:val="23"/>
                <w:szCs w:val="23"/>
                <w:color w:val="auto"/>
              </w:rPr>
            </w:pPr>
          </w:p>
        </w:tc>
        <w:tc>
          <w:tcPr>
            <w:tcW w:w="19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3"/>
        </w:trPr>
        <w:tc>
          <w:tcPr>
            <w:tcW w:w="2360" w:type="dxa"/>
            <w:vAlign w:val="bottom"/>
            <w:tcBorders>
              <w:left w:val="single" w:sz="8" w:color="auto"/>
              <w:bottom w:val="single" w:sz="8" w:color="auto"/>
              <w:right w:val="single" w:sz="8" w:color="auto"/>
            </w:tcBorders>
          </w:tcPr>
          <w:p>
            <w:pPr>
              <w:ind w:left="20"/>
              <w:spacing w:after="0" w:line="243" w:lineRule="exact"/>
              <w:rPr>
                <w:sz w:val="20"/>
                <w:szCs w:val="20"/>
                <w:color w:val="auto"/>
              </w:rPr>
            </w:pPr>
            <w:r>
              <w:rPr>
                <w:rFonts w:ascii="Times New Roman" w:cs="Times New Roman" w:eastAsia="Times New Roman" w:hAnsi="Times New Roman"/>
                <w:sz w:val="22"/>
                <w:szCs w:val="22"/>
                <w:color w:val="auto"/>
              </w:rPr>
              <w:t>NP applies to entire entry</w:t>
            </w:r>
          </w:p>
        </w:tc>
        <w:tc>
          <w:tcPr>
            <w:tcW w:w="1980" w:type="dxa"/>
            <w:vAlign w:val="bottom"/>
            <w:tcBorders>
              <w:bottom w:val="single" w:sz="8" w:color="auto"/>
              <w:right w:val="single" w:sz="8" w:color="auto"/>
            </w:tcBorders>
          </w:tcPr>
          <w:p>
            <w:pPr>
              <w:spacing w:after="0" w:line="243"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360" w:type="dxa"/>
            <w:vAlign w:val="bottom"/>
            <w:tcBorders>
              <w:left w:val="single" w:sz="8" w:color="auto"/>
              <w:bottom w:val="single" w:sz="8" w:color="auto"/>
              <w:right w:val="single" w:sz="8" w:color="auto"/>
            </w:tcBorders>
          </w:tcPr>
          <w:p>
            <w:pPr>
              <w:ind w:left="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80" w:type="dxa"/>
            <w:vAlign w:val="bottom"/>
            <w:tcBorders>
              <w:bottom w:val="single" w:sz="8" w:color="auto"/>
              <w:right w:val="single" w:sz="8" w:color="auto"/>
            </w:tcBorders>
          </w:tcPr>
          <w:p>
            <w:pPr>
              <w:spacing w:after="0" w:line="243" w:lineRule="exact"/>
              <w:rPr>
                <w:sz w:val="20"/>
                <w:szCs w:val="20"/>
                <w:color w:val="auto"/>
              </w:rPr>
            </w:pPr>
            <w:r>
              <w:rPr>
                <w:rFonts w:ascii="Times New Roman" w:cs="Times New Roman" w:eastAsia="Times New Roman" w:hAnsi="Times New Roman"/>
                <w:sz w:val="22"/>
                <w:szCs w:val="22"/>
                <w:color w:val="auto"/>
              </w:rPr>
              <w:t>AT Column 1</w:t>
            </w:r>
          </w:p>
        </w:tc>
      </w:tr>
      <w:tr>
        <w:trPr>
          <w:trHeight w:val="227"/>
        </w:trPr>
        <w:tc>
          <w:tcPr>
            <w:tcW w:w="2360" w:type="dxa"/>
            <w:vAlign w:val="bottom"/>
            <w:tcBorders>
              <w:left w:val="single" w:sz="8" w:color="auto"/>
              <w:right w:val="single" w:sz="8" w:color="auto"/>
            </w:tcBorders>
          </w:tcPr>
          <w:p>
            <w:pPr>
              <w:ind w:left="20"/>
              <w:spacing w:after="0" w:line="227" w:lineRule="exact"/>
              <w:rPr>
                <w:sz w:val="20"/>
                <w:szCs w:val="20"/>
                <w:color w:val="auto"/>
              </w:rPr>
            </w:pPr>
            <w:r>
              <w:rPr>
                <w:rFonts w:ascii="Times New Roman" w:cs="Times New Roman" w:eastAsia="Times New Roman" w:hAnsi="Times New Roman"/>
                <w:sz w:val="22"/>
                <w:szCs w:val="22"/>
                <w:color w:val="auto"/>
              </w:rPr>
              <w:t>Russian industry sector</w:t>
            </w:r>
          </w:p>
        </w:tc>
        <w:tc>
          <w:tcPr>
            <w:tcW w:w="1980" w:type="dxa"/>
            <w:vAlign w:val="bottom"/>
            <w:tcBorders>
              <w:right w:val="single" w:sz="8" w:color="auto"/>
            </w:tcBorders>
          </w:tcPr>
          <w:p>
            <w:pPr>
              <w:spacing w:after="0" w:line="227" w:lineRule="exact"/>
              <w:rPr>
                <w:sz w:val="20"/>
                <w:szCs w:val="20"/>
                <w:color w:val="auto"/>
              </w:rPr>
            </w:pPr>
            <w:r>
              <w:rPr>
                <w:rFonts w:ascii="Times New Roman" w:cs="Times New Roman" w:eastAsia="Times New Roman" w:hAnsi="Times New Roman"/>
                <w:sz w:val="22"/>
                <w:szCs w:val="22"/>
                <w:color w:val="auto"/>
              </w:rPr>
              <w:t>See § 746.5 for</w:t>
            </w:r>
          </w:p>
        </w:tc>
      </w:tr>
      <w:tr>
        <w:trPr>
          <w:trHeight w:val="253"/>
        </w:trPr>
        <w:tc>
          <w:tcPr>
            <w:tcW w:w="2360" w:type="dxa"/>
            <w:vAlign w:val="bottom"/>
            <w:tcBorders>
              <w:left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sanctions apply to entire</w:t>
            </w:r>
          </w:p>
        </w:tc>
        <w:tc>
          <w:tcPr>
            <w:tcW w:w="198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specific license</w:t>
            </w:r>
          </w:p>
        </w:tc>
      </w:tr>
      <w:tr>
        <w:trPr>
          <w:trHeight w:val="253"/>
        </w:trPr>
        <w:tc>
          <w:tcPr>
            <w:tcW w:w="2360" w:type="dxa"/>
            <w:vAlign w:val="bottom"/>
            <w:tcBorders>
              <w:left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entry.</w:t>
            </w:r>
          </w:p>
        </w:tc>
        <w:tc>
          <w:tcPr>
            <w:tcW w:w="198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requirements and</w:t>
            </w:r>
          </w:p>
        </w:tc>
      </w:tr>
      <w:tr>
        <w:trPr>
          <w:trHeight w:val="269"/>
        </w:trPr>
        <w:tc>
          <w:tcPr>
            <w:tcW w:w="2360" w:type="dxa"/>
            <w:vAlign w:val="bottom"/>
            <w:tcBorders>
              <w:left w:val="single" w:sz="8" w:color="auto"/>
              <w:bottom w:val="single" w:sz="8" w:color="auto"/>
              <w:right w:val="single" w:sz="8" w:color="auto"/>
            </w:tcBorders>
          </w:tcPr>
          <w:p>
            <w:pPr>
              <w:spacing w:after="0"/>
              <w:rPr>
                <w:sz w:val="23"/>
                <w:szCs w:val="23"/>
                <w:color w:val="auto"/>
              </w:rPr>
            </w:pPr>
          </w:p>
        </w:tc>
        <w:tc>
          <w:tcPr>
            <w:tcW w:w="1980" w:type="dxa"/>
            <w:vAlign w:val="bottom"/>
            <w:tcBorders>
              <w:bottom w:val="single" w:sz="8" w:color="auto"/>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license review policy.</w:t>
            </w:r>
          </w:p>
        </w:tc>
      </w:tr>
    </w:tbl>
    <w:p>
      <w:pPr>
        <w:spacing w:after="0" w:line="234" w:lineRule="exact"/>
        <w:rPr>
          <w:sz w:val="20"/>
          <w:szCs w:val="20"/>
          <w:color w:val="auto"/>
        </w:rPr>
      </w:pPr>
    </w:p>
    <w:p>
      <w:pPr>
        <w:jc w:val="both"/>
        <w:ind w:right="20"/>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spacing w:after="0" w:line="200" w:lineRule="exact"/>
        <w:rPr>
          <w:sz w:val="20"/>
          <w:szCs w:val="20"/>
          <w:color w:val="auto"/>
        </w:rPr>
      </w:pPr>
    </w:p>
    <w:p>
      <w:pPr>
        <w:sectPr>
          <w:pgSz w:w="12240" w:h="15840" w:orient="portrait"/>
          <w:cols w:equalWidth="0" w:num="2">
            <w:col w:w="4320" w:space="720"/>
            <w:col w:w="4340"/>
          </w:cols>
          <w:pgMar w:left="1440" w:top="1062" w:right="1420" w:bottom="892" w:gutter="0" w:footer="0" w:header="0"/>
          <w:type w:val="continuous"/>
        </w:sectPr>
      </w:pPr>
    </w:p>
    <w:p>
      <w:pPr>
        <w:spacing w:after="0" w:line="269"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80"/>
          </w:cols>
          <w:pgMar w:left="1440" w:top="1062" w:right="1420" w:bottom="892" w:gutter="0" w:footer="0" w:header="0"/>
          <w:type w:val="continuous"/>
        </w:sectPr>
      </w:pPr>
    </w:p>
    <w:bookmarkStart w:id="27" w:name="page28"/>
    <w:bookmarkEnd w:id="27"/>
    <w:p>
      <w:pPr>
        <w:ind w:left="120"/>
        <w:spacing w:after="0"/>
        <w:tabs>
          <w:tab w:leader="none" w:pos="3660" w:val="left"/>
          <w:tab w:leader="none" w:pos="786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28</w:t>
      </w:r>
    </w:p>
    <w:p>
      <w:pPr>
        <w:sectPr>
          <w:pgSz w:w="12240" w:h="15840" w:orient="portrait"/>
          <w:cols w:equalWidth="0" w:num="1">
            <w:col w:w="9480"/>
          </w:cols>
          <w:pgMar w:left="1320" w:top="1062" w:right="1440" w:bottom="892" w:gutter="0" w:footer="0" w:header="0"/>
        </w:sectPr>
      </w:pPr>
    </w:p>
    <w:p>
      <w:pPr>
        <w:spacing w:after="0" w:line="241" w:lineRule="exact"/>
        <w:rPr>
          <w:sz w:val="20"/>
          <w:szCs w:val="20"/>
          <w:color w:val="auto"/>
        </w:rPr>
      </w:pPr>
    </w:p>
    <w:p>
      <w:pPr>
        <w:ind w:left="26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both"/>
        <w:ind w:left="300" w:right="120"/>
        <w:spacing w:after="0" w:line="242"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 0A604 and</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1A007 for electrically driven explosive</w:t>
      </w:r>
    </w:p>
    <w:p>
      <w:pPr>
        <w:jc w:val="both"/>
        <w:ind w:left="300" w:right="120"/>
        <w:spacing w:after="0" w:line="245" w:lineRule="auto"/>
        <w:rPr>
          <w:sz w:val="20"/>
          <w:szCs w:val="20"/>
          <w:color w:val="auto"/>
        </w:rPr>
      </w:pPr>
      <w:r>
        <w:rPr>
          <w:rFonts w:ascii="Times New Roman" w:cs="Times New Roman" w:eastAsia="Times New Roman" w:hAnsi="Times New Roman"/>
          <w:sz w:val="22"/>
          <w:szCs w:val="22"/>
          <w:color w:val="auto"/>
        </w:rPr>
        <w:t xml:space="preserve">detonators. (2) See ECCNs </w:t>
      </w:r>
      <w:r>
        <w:rPr>
          <w:rFonts w:ascii="Times New Roman" w:cs="Times New Roman" w:eastAsia="Times New Roman" w:hAnsi="Times New Roman"/>
          <w:sz w:val="22"/>
          <w:szCs w:val="22"/>
          <w:u w:val="single" w:color="auto"/>
          <w:color w:val="0000FF"/>
        </w:rPr>
        <w:t>3E001</w:t>
      </w:r>
      <w:r>
        <w:rPr>
          <w:rFonts w:ascii="Times New Roman" w:cs="Times New Roman" w:eastAsia="Times New Roman" w:hAnsi="Times New Roman"/>
          <w:sz w:val="22"/>
          <w:szCs w:val="22"/>
          <w:color w:val="auto"/>
        </w:rPr>
        <w:t xml:space="preserve"> (“development” and “production”) and </w:t>
      </w:r>
      <w:r>
        <w:rPr>
          <w:rFonts w:ascii="Times New Roman" w:cs="Times New Roman" w:eastAsia="Times New Roman" w:hAnsi="Times New Roman"/>
          <w:sz w:val="22"/>
          <w:szCs w:val="22"/>
          <w:u w:val="single" w:color="auto"/>
          <w:color w:val="0000FF"/>
        </w:rPr>
        <w:t>3E201</w:t>
      </w:r>
      <w:r>
        <w:rPr>
          <w:rFonts w:ascii="Times New Roman" w:cs="Times New Roman" w:eastAsia="Times New Roman" w:hAnsi="Times New Roman"/>
          <w:sz w:val="22"/>
          <w:szCs w:val="22"/>
          <w:color w:val="auto"/>
        </w:rPr>
        <w:t xml:space="preserve"> (“use”) for technology for items controlled under this entry. (3) High explosives and related equipment for military use are “subject to the ITAR” (see 22 CFR parts 120 through 130).</w:t>
      </w:r>
    </w:p>
    <w:p>
      <w:pPr>
        <w:spacing w:after="0" w:line="211" w:lineRule="exact"/>
        <w:rPr>
          <w:sz w:val="20"/>
          <w:szCs w:val="20"/>
          <w:color w:val="auto"/>
        </w:rPr>
      </w:pPr>
    </w:p>
    <w:p>
      <w:pPr>
        <w:ind w:left="2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spacing w:after="0" w:line="253" w:lineRule="exact"/>
        <w:rPr>
          <w:sz w:val="20"/>
          <w:szCs w:val="20"/>
          <w:color w:val="auto"/>
        </w:rPr>
      </w:pPr>
    </w:p>
    <w:p>
      <w:pPr>
        <w:jc w:val="both"/>
        <w:ind w:left="300" w:right="120"/>
        <w:spacing w:after="0" w:line="241" w:lineRule="auto"/>
        <w:rPr>
          <w:sz w:val="20"/>
          <w:szCs w:val="20"/>
          <w:color w:val="auto"/>
        </w:rPr>
      </w:pPr>
      <w:r>
        <w:rPr>
          <w:rFonts w:ascii="Times New Roman" w:cs="Times New Roman" w:eastAsia="Times New Roman" w:hAnsi="Times New Roman"/>
          <w:sz w:val="22"/>
          <w:szCs w:val="22"/>
          <w:i w:val="1"/>
          <w:iCs w:val="1"/>
          <w:color w:val="auto"/>
        </w:rPr>
        <w:t>ECCN Controls</w:t>
      </w:r>
      <w:r>
        <w:rPr>
          <w:rFonts w:ascii="Times New Roman" w:cs="Times New Roman" w:eastAsia="Times New Roman" w:hAnsi="Times New Roman"/>
          <w:sz w:val="22"/>
          <w:szCs w:val="22"/>
          <w:color w:val="auto"/>
        </w:rPr>
        <w:t>: This entry does not control</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detonators using only primary explosives, such as lead azide.</w:t>
      </w:r>
    </w:p>
    <w:p>
      <w:pPr>
        <w:ind w:left="2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ind w:left="380" w:hanging="260"/>
        <w:spacing w:after="0"/>
        <w:tabs>
          <w:tab w:leader="none" w:pos="380" w:val="left"/>
        </w:tabs>
        <w:numPr>
          <w:ilvl w:val="0"/>
          <w:numId w:val="5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3" w:lineRule="exact"/>
        <w:rPr>
          <w:rFonts w:ascii="Times New Roman" w:cs="Times New Roman" w:eastAsia="Times New Roman" w:hAnsi="Times New Roman"/>
          <w:sz w:val="22"/>
          <w:szCs w:val="22"/>
          <w:color w:val="auto"/>
        </w:rPr>
      </w:pPr>
    </w:p>
    <w:p>
      <w:pPr>
        <w:jc w:val="both"/>
        <w:ind w:left="120" w:right="120"/>
        <w:spacing w:after="0" w:line="236" w:lineRule="auto"/>
        <w:tabs>
          <w:tab w:leader="none" w:pos="483" w:val="left"/>
        </w:tabs>
        <w:numPr>
          <w:ilvl w:val="0"/>
          <w:numId w:val="5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Arrangements using single or multiple detonators designed to nearly simultaneously initiate an explosive surface over an area greater than 5,000 mm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xml:space="preserve"> from a single firing signal with an initiation timing spread over the surface of less than 2.5 s.</w:t>
      </w:r>
    </w:p>
    <w:p>
      <w:pPr>
        <w:spacing w:after="0" w:line="222" w:lineRule="exact"/>
        <w:rPr>
          <w:sz w:val="20"/>
          <w:szCs w:val="20"/>
          <w:color w:val="auto"/>
        </w:rPr>
      </w:pPr>
    </w:p>
    <w:p>
      <w:pPr>
        <w:jc w:val="both"/>
        <w:ind w:left="120" w:right="120" w:firstLine="144"/>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The word initiator is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sometimes used in place of the word detonator.</w:t>
      </w:r>
    </w:p>
    <w:p>
      <w:pPr>
        <w:spacing w:after="0" w:line="200" w:lineRule="exact"/>
        <w:rPr>
          <w:sz w:val="20"/>
          <w:szCs w:val="20"/>
          <w:color w:val="auto"/>
        </w:rPr>
      </w:pPr>
    </w:p>
    <w:p>
      <w:pPr>
        <w:spacing w:after="0" w:line="232" w:lineRule="exact"/>
        <w:rPr>
          <w:sz w:val="20"/>
          <w:szCs w:val="20"/>
          <w:color w:val="auto"/>
        </w:rPr>
      </w:pPr>
    </w:p>
    <w:p>
      <w:pPr>
        <w:jc w:val="both"/>
        <w:ind w:left="120" w:right="120"/>
        <w:spacing w:after="0" w:line="245" w:lineRule="auto"/>
        <w:rPr>
          <w:sz w:val="20"/>
          <w:szCs w:val="20"/>
          <w:color w:val="auto"/>
        </w:rPr>
      </w:pPr>
      <w:r>
        <w:rPr>
          <w:rFonts w:ascii="Times New Roman" w:cs="Times New Roman" w:eastAsia="Times New Roman" w:hAnsi="Times New Roman"/>
          <w:sz w:val="22"/>
          <w:szCs w:val="22"/>
          <w:b w:val="1"/>
          <w:bCs w:val="1"/>
          <w:color w:val="auto"/>
        </w:rPr>
        <w:t>3A233 Mass spectrometers, capable of measuring ions of 230 atomic mass units or greater and having a resolution of better than 2 parts in 230, and ion sources therefor, excluding items that are subject to the export licensing authority of the Nuclear Regulatory Commission (see 10 CFR part 110).</w:t>
      </w:r>
    </w:p>
    <w:p>
      <w:pPr>
        <w:spacing w:after="0" w:line="217"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260"/>
        <w:spacing w:after="0"/>
        <w:tabs>
          <w:tab w:leader="none" w:pos="21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60" w:type="dxa"/>
            <w:vAlign w:val="bottom"/>
            <w:tcBorders>
              <w:top w:val="single" w:sz="8" w:color="auto"/>
              <w:left w:val="single" w:sz="8" w:color="auto"/>
              <w:right w:val="single" w:sz="8" w:color="auto"/>
            </w:tcBorders>
          </w:tcPr>
          <w:p>
            <w:pPr>
              <w:ind w:left="820"/>
              <w:spacing w:after="0" w:line="249" w:lineRule="exact"/>
              <w:rPr>
                <w:sz w:val="20"/>
                <w:szCs w:val="20"/>
                <w:color w:val="auto"/>
              </w:rPr>
            </w:pPr>
            <w:r>
              <w:rPr>
                <w:rFonts w:ascii="Times New Roman" w:cs="Times New Roman" w:eastAsia="Times New Roman" w:hAnsi="Times New Roman"/>
                <w:sz w:val="22"/>
                <w:szCs w:val="22"/>
                <w:i w:val="1"/>
                <w:iCs w:val="1"/>
                <w:color w:val="auto"/>
              </w:rPr>
              <w:t>Control(s)</w:t>
            </w:r>
          </w:p>
        </w:tc>
        <w:tc>
          <w:tcPr>
            <w:tcW w:w="2000" w:type="dxa"/>
            <w:vAlign w:val="bottom"/>
            <w:tcBorders>
              <w:top w:val="single" w:sz="8" w:color="auto"/>
              <w:right w:val="single" w:sz="8" w:color="auto"/>
            </w:tcBorders>
          </w:tcPr>
          <w:p>
            <w:pPr>
              <w:ind w:left="120"/>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 (See</w:t>
            </w:r>
          </w:p>
        </w:tc>
      </w:tr>
      <w:tr>
        <w:trPr>
          <w:trHeight w:val="273"/>
        </w:trPr>
        <w:tc>
          <w:tcPr>
            <w:tcW w:w="2560" w:type="dxa"/>
            <w:vAlign w:val="bottom"/>
            <w:tcBorders>
              <w:left w:val="single" w:sz="8" w:color="auto"/>
              <w:bottom w:val="single" w:sz="8" w:color="auto"/>
              <w:right w:val="single" w:sz="8" w:color="auto"/>
            </w:tcBorders>
          </w:tcPr>
          <w:p>
            <w:pPr>
              <w:spacing w:after="0"/>
              <w:rPr>
                <w:sz w:val="23"/>
                <w:szCs w:val="23"/>
                <w:color w:val="auto"/>
              </w:rPr>
            </w:pPr>
          </w:p>
        </w:tc>
        <w:tc>
          <w:tcPr>
            <w:tcW w:w="2000" w:type="dxa"/>
            <w:vAlign w:val="bottom"/>
            <w:tcBorders>
              <w:bottom w:val="single" w:sz="8" w:color="auto"/>
              <w:right w:val="single" w:sz="8" w:color="auto"/>
            </w:tcBorders>
          </w:tcPr>
          <w:p>
            <w:pPr>
              <w:ind w:left="160"/>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bl>
    <w:p>
      <w:pPr>
        <w:spacing w:after="0" w:line="20" w:lineRule="exact"/>
        <w:rPr>
          <w:sz w:val="20"/>
          <w:szCs w:val="20"/>
          <w:color w:val="auto"/>
        </w:rPr>
      </w:pPr>
      <w:r>
        <w:rPr>
          <w:sz w:val="20"/>
          <w:szCs w:val="20"/>
          <w:color w:val="auto"/>
        </w:rPr>
        <w:br w:type="column"/>
      </w:r>
    </w:p>
    <w:p>
      <w:pPr>
        <w:spacing w:after="0" w:line="231"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66"/>
        </w:trPr>
        <w:tc>
          <w:tcPr>
            <w:tcW w:w="2400" w:type="dxa"/>
            <w:vAlign w:val="bottom"/>
          </w:tcPr>
          <w:p>
            <w:pPr>
              <w:spacing w:after="0"/>
              <w:rPr>
                <w:sz w:val="23"/>
                <w:szCs w:val="23"/>
                <w:color w:val="auto"/>
              </w:rPr>
            </w:pPr>
          </w:p>
        </w:tc>
        <w:tc>
          <w:tcPr>
            <w:tcW w:w="1360" w:type="dxa"/>
            <w:vAlign w:val="bottom"/>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63"/>
        </w:trPr>
        <w:tc>
          <w:tcPr>
            <w:tcW w:w="2400" w:type="dxa"/>
            <w:vAlign w:val="bottom"/>
          </w:tcPr>
          <w:p>
            <w:pPr>
              <w:spacing w:after="0"/>
              <w:rPr>
                <w:sz w:val="20"/>
                <w:szCs w:val="20"/>
                <w:color w:val="auto"/>
              </w:rPr>
            </w:pPr>
            <w:r>
              <w:rPr>
                <w:rFonts w:ascii="Times New Roman" w:cs="Times New Roman" w:eastAsia="Times New Roman" w:hAnsi="Times New Roman"/>
                <w:sz w:val="22"/>
                <w:szCs w:val="22"/>
                <w:color w:val="auto"/>
              </w:rPr>
              <w:t>NP applies to entire entry</w:t>
            </w:r>
          </w:p>
        </w:tc>
        <w:tc>
          <w:tcPr>
            <w:tcW w:w="1360" w:type="dxa"/>
            <w:vAlign w:val="bottom"/>
          </w:tcPr>
          <w:p>
            <w:pPr>
              <w:ind w:left="140"/>
              <w:spacing w:after="0"/>
              <w:rPr>
                <w:sz w:val="20"/>
                <w:szCs w:val="20"/>
                <w:color w:val="auto"/>
              </w:rPr>
            </w:pPr>
            <w:r>
              <w:rPr>
                <w:rFonts w:ascii="Times New Roman" w:cs="Times New Roman" w:eastAsia="Times New Roman" w:hAnsi="Times New Roman"/>
                <w:sz w:val="22"/>
                <w:szCs w:val="22"/>
                <w:color w:val="auto"/>
                <w:w w:val="99"/>
              </w:rPr>
              <w:t>NP Column 1</w:t>
            </w:r>
          </w:p>
        </w:tc>
      </w:tr>
      <w:tr>
        <w:trPr>
          <w:trHeight w:val="286"/>
        </w:trPr>
        <w:tc>
          <w:tcPr>
            <w:tcW w:w="2400" w:type="dxa"/>
            <w:vAlign w:val="bottom"/>
          </w:tcPr>
          <w:p>
            <w:pPr>
              <w:spacing w:after="0"/>
              <w:rPr>
                <w:sz w:val="20"/>
                <w:szCs w:val="20"/>
                <w:color w:val="auto"/>
              </w:rPr>
            </w:pPr>
            <w:r>
              <w:rPr>
                <w:rFonts w:ascii="Times New Roman" w:cs="Times New Roman" w:eastAsia="Times New Roman" w:hAnsi="Times New Roman"/>
                <w:sz w:val="22"/>
                <w:szCs w:val="22"/>
                <w:color w:val="auto"/>
              </w:rPr>
              <w:t>AT applies to entire entry</w:t>
            </w:r>
          </w:p>
        </w:tc>
        <w:tc>
          <w:tcPr>
            <w:tcW w:w="1360" w:type="dxa"/>
            <w:vAlign w:val="bottom"/>
          </w:tcPr>
          <w:p>
            <w:pPr>
              <w:ind w:left="140"/>
              <w:spacing w:after="0"/>
              <w:rPr>
                <w:sz w:val="20"/>
                <w:szCs w:val="20"/>
                <w:color w:val="auto"/>
              </w:rPr>
            </w:pPr>
            <w:r>
              <w:rPr>
                <w:rFonts w:ascii="Times New Roman" w:cs="Times New Roman" w:eastAsia="Times New Roman" w:hAnsi="Times New Roman"/>
                <w:sz w:val="22"/>
                <w:szCs w:val="22"/>
                <w:color w:val="auto"/>
                <w:w w:val="98"/>
              </w:rPr>
              <w:t>AT Column 1</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-71120</wp:posOffset>
                </wp:positionH>
                <wp:positionV relativeFrom="paragraph">
                  <wp:posOffset>-508000</wp:posOffset>
                </wp:positionV>
                <wp:extent cx="2885440" cy="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8544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 o:spid="_x0000_s10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5999pt,-40pt" to="221.6pt,-40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-71120</wp:posOffset>
                </wp:positionH>
                <wp:positionV relativeFrom="paragraph">
                  <wp:posOffset>-340995</wp:posOffset>
                </wp:positionV>
                <wp:extent cx="2885440" cy="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8544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5999pt,-26.8499pt" to="221.6pt,-26.849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-71120</wp:posOffset>
                </wp:positionH>
                <wp:positionV relativeFrom="paragraph">
                  <wp:posOffset>-173990</wp:posOffset>
                </wp:positionV>
                <wp:extent cx="2885440" cy="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8544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5999pt,-13.6999pt" to="221.6pt,-13.699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-68580</wp:posOffset>
                </wp:positionH>
                <wp:positionV relativeFrom="paragraph">
                  <wp:posOffset>-511175</wp:posOffset>
                </wp:positionV>
                <wp:extent cx="0" cy="507365"/>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0736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999pt,-40.2499pt" to="-5.3999pt,-0.299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1543050</wp:posOffset>
                </wp:positionH>
                <wp:positionV relativeFrom="paragraph">
                  <wp:posOffset>-511175</wp:posOffset>
                </wp:positionV>
                <wp:extent cx="0" cy="507365"/>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0736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5" o:spid="_x0000_s1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1.5pt,-40.2499pt" to="121.5pt,-0.299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2811145</wp:posOffset>
                </wp:positionH>
                <wp:positionV relativeFrom="paragraph">
                  <wp:posOffset>-511175</wp:posOffset>
                </wp:positionV>
                <wp:extent cx="0" cy="507365"/>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0736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1.35pt,-40.2499pt" to="221.35pt,-0.299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-71120</wp:posOffset>
                </wp:positionH>
                <wp:positionV relativeFrom="paragraph">
                  <wp:posOffset>-6350</wp:posOffset>
                </wp:positionV>
                <wp:extent cx="2885440" cy="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8544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7" o:spid="_x0000_s10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5999pt,-0.4999pt" to="221.6pt,-0.4999pt" o:allowincell="f" strokecolor="#000000" strokeweight="0.48pt"/>
            </w:pict>
          </mc:Fallback>
        </mc:AlternateContent>
      </w:r>
    </w:p>
    <w:p>
      <w:pPr>
        <w:spacing w:after="0" w:line="206" w:lineRule="exact"/>
        <w:rPr>
          <w:sz w:val="20"/>
          <w:szCs w:val="20"/>
          <w:color w:val="auto"/>
        </w:rPr>
      </w:pPr>
    </w:p>
    <w:p>
      <w:pPr>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spacing w:after="0" w:line="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both"/>
        <w:ind w:left="18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3E001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3E201</w:t>
      </w:r>
      <w:r>
        <w:rPr>
          <w:rFonts w:ascii="Times New Roman" w:cs="Times New Roman" w:eastAsia="Times New Roman" w:hAnsi="Times New Roman"/>
          <w:sz w:val="22"/>
          <w:szCs w:val="22"/>
          <w:color w:val="auto"/>
        </w:rPr>
        <w:t xml:space="preserve"> (“use”) for technology for items controlled under this entry. (2) Mass spectrometers “specially designed” or prepared for analyzing on -line samples of UF </w:t>
      </w:r>
      <w:r>
        <w:rPr>
          <w:rFonts w:ascii="Times New Roman" w:cs="Times New Roman" w:eastAsia="Times New Roman" w:hAnsi="Times New Roman"/>
          <w:sz w:val="14"/>
          <w:szCs w:val="14"/>
          <w:color w:val="auto"/>
        </w:rPr>
        <w:t>6</w:t>
      </w:r>
      <w:r>
        <w:rPr>
          <w:rFonts w:ascii="Times New Roman" w:cs="Times New Roman" w:eastAsia="Times New Roman" w:hAnsi="Times New Roman"/>
          <w:sz w:val="22"/>
          <w:szCs w:val="22"/>
          <w:color w:val="auto"/>
        </w:rPr>
        <w:t xml:space="preserve"> gas streams are subject to the export licensing authority of the Nuclear Regulatory Commission (see 10 CFR part 110).</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spacing w:after="0" w:line="270" w:lineRule="auto"/>
        <w:rPr>
          <w:sz w:val="20"/>
          <w:szCs w:val="20"/>
          <w:color w:val="auto"/>
        </w:rPr>
      </w:pPr>
      <w:r>
        <w:rPr>
          <w:rFonts w:ascii="Times New Roman" w:cs="Times New Roman" w:eastAsia="Times New Roman" w:hAnsi="Times New Roman"/>
          <w:sz w:val="22"/>
          <w:szCs w:val="22"/>
          <w:color w:val="auto"/>
        </w:rPr>
        <w:t>a. Inductively coupled plasma mass spectrometers (ICP/MS);</w:t>
      </w:r>
    </w:p>
    <w:p>
      <w:pPr>
        <w:spacing w:after="0" w:line="18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 Glow discharge mass spectrometers (GDMS);</w:t>
      </w:r>
    </w:p>
    <w:p>
      <w:pPr>
        <w:spacing w:after="0" w:line="253" w:lineRule="exact"/>
        <w:rPr>
          <w:sz w:val="20"/>
          <w:szCs w:val="20"/>
          <w:color w:val="auto"/>
        </w:rPr>
      </w:pPr>
    </w:p>
    <w:p>
      <w:pPr>
        <w:spacing w:after="0" w:line="270" w:lineRule="auto"/>
        <w:rPr>
          <w:sz w:val="20"/>
          <w:szCs w:val="20"/>
          <w:color w:val="auto"/>
        </w:rPr>
      </w:pPr>
      <w:r>
        <w:rPr>
          <w:rFonts w:ascii="Times New Roman" w:cs="Times New Roman" w:eastAsia="Times New Roman" w:hAnsi="Times New Roman"/>
          <w:sz w:val="22"/>
          <w:szCs w:val="22"/>
          <w:color w:val="auto"/>
        </w:rPr>
        <w:t>c. Thermal ionization mass spectrometers (TIMS);</w:t>
      </w:r>
    </w:p>
    <w:p>
      <w:pPr>
        <w:spacing w:after="0" w:line="189" w:lineRule="exact"/>
        <w:rPr>
          <w:sz w:val="20"/>
          <w:szCs w:val="20"/>
          <w:color w:val="auto"/>
        </w:rPr>
      </w:pPr>
    </w:p>
    <w:p>
      <w:pPr>
        <w:spacing w:after="0" w:line="271" w:lineRule="auto"/>
        <w:tabs>
          <w:tab w:leader="none" w:pos="376" w:val="left"/>
        </w:tabs>
        <w:numPr>
          <w:ilvl w:val="0"/>
          <w:numId w:val="5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Electron bombardment mass spectrometers having both of the following features:</w:t>
      </w:r>
    </w:p>
    <w:p>
      <w:pPr>
        <w:spacing w:after="0" w:line="188" w:lineRule="exact"/>
        <w:rPr>
          <w:sz w:val="20"/>
          <w:szCs w:val="20"/>
          <w:color w:val="auto"/>
        </w:rPr>
      </w:pPr>
    </w:p>
    <w:p>
      <w:pPr>
        <w:jc w:val="both"/>
        <w:ind w:firstLine="144"/>
        <w:spacing w:after="0" w:line="250" w:lineRule="auto"/>
        <w:rPr>
          <w:sz w:val="20"/>
          <w:szCs w:val="20"/>
          <w:color w:val="auto"/>
        </w:rPr>
      </w:pPr>
      <w:r>
        <w:rPr>
          <w:rFonts w:ascii="Times New Roman" w:cs="Times New Roman" w:eastAsia="Times New Roman" w:hAnsi="Times New Roman"/>
          <w:sz w:val="22"/>
          <w:szCs w:val="22"/>
          <w:color w:val="auto"/>
        </w:rPr>
        <w:t xml:space="preserve">d.1. A molecular beam inlet system that injects a collimated beam of analyte molecules into a region of the ion source where the molecules are ionized by an electron beam; </w:t>
      </w:r>
      <w:r>
        <w:rPr>
          <w:rFonts w:ascii="Times New Roman" w:cs="Times New Roman" w:eastAsia="Times New Roman" w:hAnsi="Times New Roman"/>
          <w:sz w:val="22"/>
          <w:szCs w:val="22"/>
          <w:i w:val="1"/>
          <w:iCs w:val="1"/>
          <w:color w:val="auto"/>
        </w:rPr>
        <w:t>and</w:t>
      </w:r>
    </w:p>
    <w:p>
      <w:pPr>
        <w:spacing w:after="0" w:line="211"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d.2. One or more cold traps that can be cooled to a temperature of 193 K (-80 C) or less in order to trap analyte molecules that are not ionized by the electron beam;</w:t>
      </w:r>
    </w:p>
    <w:p>
      <w:pPr>
        <w:spacing w:after="0" w:line="205"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e. Mass spectrometers equipped with a microfluorination ion source designed for</w:t>
      </w:r>
    </w:p>
    <w:p>
      <w:pPr>
        <w:spacing w:after="0" w:line="200" w:lineRule="exact"/>
        <w:rPr>
          <w:sz w:val="20"/>
          <w:szCs w:val="20"/>
          <w:color w:val="auto"/>
        </w:rPr>
      </w:pPr>
    </w:p>
    <w:p>
      <w:pPr>
        <w:sectPr>
          <w:pgSz w:w="12240" w:h="15840" w:orient="portrait"/>
          <w:cols w:equalWidth="0" w:num="2">
            <w:col w:w="4560" w:space="600"/>
            <w:col w:w="4320"/>
          </w:cols>
          <w:pgMar w:left="1320" w:top="1062" w:right="1440" w:bottom="892" w:gutter="0" w:footer="0" w:header="0"/>
          <w:type w:val="continuous"/>
        </w:sectPr>
      </w:pPr>
    </w:p>
    <w:p>
      <w:pPr>
        <w:spacing w:after="0" w:line="198" w:lineRule="exact"/>
        <w:rPr>
          <w:sz w:val="20"/>
          <w:szCs w:val="20"/>
          <w:color w:val="auto"/>
        </w:rPr>
      </w:pPr>
    </w:p>
    <w:p>
      <w:pPr>
        <w:ind w:left="120"/>
        <w:spacing w:after="0"/>
        <w:tabs>
          <w:tab w:leader="none" w:pos="3540" w:val="left"/>
          <w:tab w:leader="none" w:pos="84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320" w:top="1062" w:right="1440" w:bottom="892" w:gutter="0" w:footer="0" w:header="0"/>
          <w:type w:val="continuous"/>
        </w:sectPr>
      </w:pPr>
    </w:p>
    <w:bookmarkStart w:id="28" w:name="page29"/>
    <w:bookmarkEnd w:id="28"/>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29</w:t>
      </w:r>
    </w:p>
    <w:p>
      <w:pPr>
        <w:sectPr>
          <w:pgSz w:w="12240" w:h="15840" w:orient="portrait"/>
          <w:cols w:equalWidth="0" w:num="1">
            <w:col w:w="9380"/>
          </w:cols>
          <w:pgMar w:left="1440" w:top="1062" w:right="1420" w:bottom="892" w:gutter="0" w:footer="0" w:header="0"/>
        </w:sectPr>
      </w:pPr>
    </w:p>
    <w:p>
      <w:pPr>
        <w:spacing w:after="0" w:line="24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actinides or actinide fluorides.</w:t>
      </w:r>
    </w:p>
    <w:p>
      <w:pPr>
        <w:spacing w:after="0" w:line="247"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55" w:lineRule="exact"/>
        <w:rPr>
          <w:sz w:val="20"/>
          <w:szCs w:val="20"/>
          <w:color w:val="auto"/>
        </w:rPr>
      </w:pPr>
    </w:p>
    <w:p>
      <w:pPr>
        <w:jc w:val="both"/>
        <w:ind w:firstLine="144"/>
        <w:spacing w:after="0" w:line="257" w:lineRule="auto"/>
        <w:tabs>
          <w:tab w:leader="none" w:pos="370" w:val="left"/>
        </w:tabs>
        <w:numPr>
          <w:ilvl w:val="0"/>
          <w:numId w:val="54"/>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ECCN 3A233.d controls mass spectrometers that are typically used for isotopic analysis of UF</w:t>
      </w:r>
      <w:r>
        <w:rPr>
          <w:rFonts w:ascii="Times New Roman" w:cs="Times New Roman" w:eastAsia="Times New Roman" w:hAnsi="Times New Roman"/>
          <w:sz w:val="14"/>
          <w:szCs w:val="14"/>
          <w:i w:val="1"/>
          <w:iCs w:val="1"/>
          <w:color w:val="auto"/>
        </w:rPr>
        <w:t>6</w:t>
      </w:r>
      <w:r>
        <w:rPr>
          <w:rFonts w:ascii="Times New Roman" w:cs="Times New Roman" w:eastAsia="Times New Roman" w:hAnsi="Times New Roman"/>
          <w:sz w:val="22"/>
          <w:szCs w:val="22"/>
          <w:i w:val="1"/>
          <w:iCs w:val="1"/>
          <w:color w:val="auto"/>
        </w:rPr>
        <w:t xml:space="preserve"> gas samples.</w:t>
      </w:r>
    </w:p>
    <w:p>
      <w:pPr>
        <w:spacing w:after="0" w:line="198" w:lineRule="exact"/>
        <w:rPr>
          <w:rFonts w:ascii="Times New Roman" w:cs="Times New Roman" w:eastAsia="Times New Roman" w:hAnsi="Times New Roman"/>
          <w:sz w:val="22"/>
          <w:szCs w:val="22"/>
          <w:b w:val="1"/>
          <w:bCs w:val="1"/>
          <w:i w:val="1"/>
          <w:iCs w:val="1"/>
          <w:color w:val="auto"/>
        </w:rPr>
      </w:pPr>
    </w:p>
    <w:p>
      <w:pPr>
        <w:jc w:val="both"/>
        <w:ind w:firstLine="144"/>
        <w:spacing w:after="0" w:line="251" w:lineRule="auto"/>
        <w:tabs>
          <w:tab w:leader="none" w:pos="400" w:val="left"/>
        </w:tabs>
        <w:numPr>
          <w:ilvl w:val="0"/>
          <w:numId w:val="54"/>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Electron bombardment mass spectrometers in ECCN 3A233.d are also known as electron impact mass spectrometers or electron ionization mass spectrometers.</w:t>
      </w:r>
    </w:p>
    <w:p>
      <w:pPr>
        <w:spacing w:after="0" w:line="206" w:lineRule="exact"/>
        <w:rPr>
          <w:rFonts w:ascii="Times New Roman" w:cs="Times New Roman" w:eastAsia="Times New Roman" w:hAnsi="Times New Roman"/>
          <w:sz w:val="22"/>
          <w:szCs w:val="22"/>
          <w:b w:val="1"/>
          <w:bCs w:val="1"/>
          <w:i w:val="1"/>
          <w:iCs w:val="1"/>
          <w:color w:val="auto"/>
        </w:rPr>
      </w:pPr>
    </w:p>
    <w:p>
      <w:pPr>
        <w:jc w:val="both"/>
        <w:ind w:firstLine="144"/>
        <w:spacing w:after="0" w:line="246" w:lineRule="auto"/>
        <w:tabs>
          <w:tab w:leader="none" w:pos="426" w:val="left"/>
        </w:tabs>
        <w:numPr>
          <w:ilvl w:val="0"/>
          <w:numId w:val="5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 ECCN 3A233.d.2, a “cold trap” is a device that traps gas molecules by condensing or freezing them on cold surfaces. For the purposes of this ECCN, a closed-loop gaseous helium cryogenic vacuum pump is not a cold trap.</w:t>
      </w:r>
    </w:p>
    <w:p>
      <w:pPr>
        <w:spacing w:after="0" w:line="200" w:lineRule="exact"/>
        <w:rPr>
          <w:sz w:val="20"/>
          <w:szCs w:val="20"/>
          <w:color w:val="auto"/>
        </w:rPr>
      </w:pPr>
    </w:p>
    <w:p>
      <w:pPr>
        <w:spacing w:after="0" w:line="269" w:lineRule="exact"/>
        <w:rPr>
          <w:sz w:val="20"/>
          <w:szCs w:val="20"/>
          <w:color w:val="auto"/>
        </w:rPr>
      </w:pPr>
    </w:p>
    <w:p>
      <w:pPr>
        <w:jc w:val="both"/>
        <w:spacing w:after="0" w:line="257" w:lineRule="auto"/>
        <w:rPr>
          <w:sz w:val="20"/>
          <w:szCs w:val="20"/>
          <w:color w:val="auto"/>
        </w:rPr>
      </w:pPr>
      <w:r>
        <w:rPr>
          <w:rFonts w:ascii="Times New Roman" w:cs="Times New Roman" w:eastAsia="Times New Roman" w:hAnsi="Times New Roman"/>
          <w:sz w:val="22"/>
          <w:szCs w:val="22"/>
          <w:b w:val="1"/>
          <w:bCs w:val="1"/>
          <w:color w:val="auto"/>
        </w:rPr>
        <w:t>3A234 Striplines to provide low inductance path to detonators with the following characteristics (see List of Items Controlled).</w:t>
      </w:r>
    </w:p>
    <w:p>
      <w:pPr>
        <w:spacing w:after="0" w:line="19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 NP, AT</w:t>
      </w:r>
    </w:p>
    <w:p>
      <w:pPr>
        <w:spacing w:after="0" w:line="264" w:lineRule="exact"/>
        <w:rPr>
          <w:sz w:val="20"/>
          <w:szCs w:val="20"/>
          <w:color w:val="auto"/>
        </w:rPr>
      </w:pPr>
    </w:p>
    <w:p>
      <w:pPr>
        <w:ind w:left="248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-151765</wp:posOffset>
                </wp:positionV>
                <wp:extent cx="2749550" cy="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8" o:spid="_x0000_s10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11.9499pt" to="216.65pt,-11.949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1905</wp:posOffset>
                </wp:positionH>
                <wp:positionV relativeFrom="paragraph">
                  <wp:posOffset>335280</wp:posOffset>
                </wp:positionV>
                <wp:extent cx="2749550" cy="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9" o:spid="_x0000_s10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26.4pt" to="216.65pt,26.4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1905</wp:posOffset>
                </wp:positionH>
                <wp:positionV relativeFrom="paragraph">
                  <wp:posOffset>502920</wp:posOffset>
                </wp:positionV>
                <wp:extent cx="2749550" cy="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0" o:spid="_x0000_s10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39.6pt" to="216.65pt,39.6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-154940</wp:posOffset>
                </wp:positionV>
                <wp:extent cx="0" cy="82804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04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1" o:spid="_x0000_s10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pt,-12.1999pt" to="0.4pt,53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1485900</wp:posOffset>
                </wp:positionH>
                <wp:positionV relativeFrom="paragraph">
                  <wp:posOffset>-154940</wp:posOffset>
                </wp:positionV>
                <wp:extent cx="0" cy="82804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04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2" o:spid="_x0000_s10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7pt,-12.1999pt" to="117pt,53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2748280</wp:posOffset>
                </wp:positionH>
                <wp:positionV relativeFrom="paragraph">
                  <wp:posOffset>-154940</wp:posOffset>
                </wp:positionV>
                <wp:extent cx="0" cy="82804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04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3" o:spid="_x0000_s10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6.4pt,-12.1999pt" to="216.4pt,53pt" o:allowincell="f" strokecolor="#000000" strokeweight="0.48pt"/>
            </w:pict>
          </mc:Fallback>
        </mc:AlternateContent>
      </w:r>
    </w:p>
    <w:p>
      <w:pPr>
        <w:ind w:left="2500" w:right="140" w:hanging="2417"/>
        <w:spacing w:after="0" w:line="244" w:lineRule="auto"/>
        <w:tabs>
          <w:tab w:leader="none" w:pos="248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ind w:left="20" w:right="740"/>
        <w:spacing w:after="0" w:line="280" w:lineRule="auto"/>
        <w:rPr>
          <w:sz w:val="20"/>
          <w:szCs w:val="20"/>
          <w:color w:val="auto"/>
        </w:rPr>
      </w:pPr>
      <w:r>
        <w:rPr>
          <w:rFonts w:ascii="Times New Roman" w:cs="Times New Roman" w:eastAsia="Times New Roman" w:hAnsi="Times New Roman"/>
          <w:sz w:val="22"/>
          <w:szCs w:val="22"/>
          <w:color w:val="auto"/>
        </w:rPr>
        <w:t>NP applies to entire entry NP Column 1 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-33655</wp:posOffset>
                </wp:positionV>
                <wp:extent cx="2749550" cy="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4" o:spid="_x0000_s10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2.6499pt" to="216.65pt,-2.6499pt" o:allowincell="f" strokecolor="#000000" strokeweight="0.4799pt"/>
            </w:pict>
          </mc:Fallback>
        </mc:AlternateContent>
      </w:r>
    </w:p>
    <w:p>
      <w:pPr>
        <w:spacing w:after="0" w:line="165" w:lineRule="exact"/>
        <w:rPr>
          <w:sz w:val="20"/>
          <w:szCs w:val="20"/>
          <w:color w:val="auto"/>
        </w:rPr>
      </w:pPr>
    </w:p>
    <w:p>
      <w:pPr>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5"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LVS: N/A</w:t>
      </w:r>
    </w:p>
    <w:p>
      <w:pPr>
        <w:ind w:left="140"/>
        <w:spacing w:after="0"/>
        <w:rPr>
          <w:sz w:val="20"/>
          <w:szCs w:val="20"/>
          <w:color w:val="auto"/>
        </w:rPr>
      </w:pPr>
      <w:r>
        <w:rPr>
          <w:rFonts w:ascii="Times New Roman" w:cs="Times New Roman" w:eastAsia="Times New Roman" w:hAnsi="Times New Roman"/>
          <w:sz w:val="22"/>
          <w:szCs w:val="22"/>
          <w:color w:val="auto"/>
        </w:rPr>
        <w:t>GBS: N/A</w:t>
      </w:r>
    </w:p>
    <w:p>
      <w:pPr>
        <w:ind w:left="140"/>
        <w:spacing w:after="0"/>
        <w:rPr>
          <w:sz w:val="20"/>
          <w:szCs w:val="20"/>
          <w:color w:val="auto"/>
        </w:rPr>
      </w:pPr>
      <w:r>
        <w:rPr>
          <w:rFonts w:ascii="Times New Roman" w:cs="Times New Roman" w:eastAsia="Times New Roman" w:hAnsi="Times New Roman"/>
          <w:sz w:val="22"/>
          <w:szCs w:val="22"/>
          <w:color w:val="auto"/>
        </w:rPr>
        <w:t>CIV: N/A</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0" w:lineRule="exact"/>
        <w:rPr>
          <w:sz w:val="20"/>
          <w:szCs w:val="20"/>
          <w:color w:val="auto"/>
        </w:rPr>
      </w:pPr>
      <w:r>
        <w:rPr>
          <w:sz w:val="20"/>
          <w:szCs w:val="20"/>
          <w:color w:val="auto"/>
        </w:rPr>
        <w:br w:type="column"/>
      </w:r>
    </w:p>
    <w:p>
      <w:pPr>
        <w:spacing w:after="0" w:line="221" w:lineRule="exact"/>
        <w:rPr>
          <w:sz w:val="20"/>
          <w:szCs w:val="20"/>
          <w:color w:val="auto"/>
        </w:rPr>
      </w:pPr>
    </w:p>
    <w:p>
      <w:pPr>
        <w:ind w:right="840"/>
        <w:spacing w:after="0" w:line="514" w:lineRule="auto"/>
        <w:rPr>
          <w:sz w:val="20"/>
          <w:szCs w:val="20"/>
          <w:color w:val="auto"/>
        </w:rPr>
      </w:pPr>
      <w:r>
        <w:rPr>
          <w:rFonts w:ascii="Times New Roman" w:cs="Times New Roman" w:eastAsia="Times New Roman" w:hAnsi="Times New Roman"/>
          <w:sz w:val="22"/>
          <w:szCs w:val="22"/>
          <w:color w:val="auto"/>
        </w:rPr>
        <w:t xml:space="preserve">a. Voltage rating greater than 2 kV; </w:t>
      </w:r>
      <w:r>
        <w:rPr>
          <w:rFonts w:ascii="Times New Roman" w:cs="Times New Roman" w:eastAsia="Times New Roman" w:hAnsi="Times New Roman"/>
          <w:sz w:val="22"/>
          <w:szCs w:val="22"/>
          <w:i w:val="1"/>
          <w:iCs w:val="1"/>
          <w:color w:val="auto"/>
        </w:rPr>
        <w:t>and</w:t>
      </w:r>
      <w:r>
        <w:rPr>
          <w:rFonts w:ascii="Times New Roman" w:cs="Times New Roman" w:eastAsia="Times New Roman" w:hAnsi="Times New Roman"/>
          <w:sz w:val="22"/>
          <w:szCs w:val="22"/>
          <w:color w:val="auto"/>
        </w:rPr>
        <w:t xml:space="preserve"> b. Inductance of less than 20 nH.</w:t>
      </w:r>
    </w:p>
    <w:p>
      <w:pPr>
        <w:spacing w:after="0" w:line="182" w:lineRule="exact"/>
        <w:rPr>
          <w:sz w:val="20"/>
          <w:szCs w:val="20"/>
          <w:color w:val="auto"/>
        </w:rPr>
      </w:pPr>
    </w:p>
    <w:p>
      <w:pPr>
        <w:ind w:right="20"/>
        <w:spacing w:after="0" w:line="274" w:lineRule="auto"/>
        <w:rPr>
          <w:sz w:val="20"/>
          <w:szCs w:val="20"/>
          <w:color w:val="auto"/>
        </w:rPr>
      </w:pPr>
      <w:r>
        <w:rPr>
          <w:rFonts w:ascii="Times New Roman" w:cs="Times New Roman" w:eastAsia="Times New Roman" w:hAnsi="Times New Roman"/>
          <w:sz w:val="22"/>
          <w:szCs w:val="22"/>
          <w:b w:val="1"/>
          <w:bCs w:val="1"/>
          <w:color w:val="auto"/>
        </w:rPr>
        <w:t>3A611 Military electronics, as follows (see List of Items Controlled).</w:t>
      </w:r>
    </w:p>
    <w:p>
      <w:pPr>
        <w:spacing w:after="0" w:line="18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 xml:space="preserve">Reason for Control: </w:t>
      </w:r>
      <w:r>
        <w:rPr>
          <w:rFonts w:ascii="Times New Roman" w:cs="Times New Roman" w:eastAsia="Times New Roman" w:hAnsi="Times New Roman"/>
          <w:sz w:val="22"/>
          <w:szCs w:val="22"/>
          <w:color w:val="auto"/>
        </w:rPr>
        <w:t>NS, RS, AT, UN</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480" w:type="dxa"/>
            <w:vAlign w:val="bottom"/>
            <w:tcBorders>
              <w:top w:val="single" w:sz="8" w:color="auto"/>
              <w:left w:val="single" w:sz="8" w:color="auto"/>
              <w:right w:val="single" w:sz="8" w:color="auto"/>
            </w:tcBorders>
          </w:tcPr>
          <w:p>
            <w:pPr>
              <w:spacing w:after="0"/>
              <w:rPr>
                <w:sz w:val="21"/>
                <w:szCs w:val="21"/>
                <w:color w:val="auto"/>
              </w:rPr>
            </w:pPr>
          </w:p>
        </w:tc>
        <w:tc>
          <w:tcPr>
            <w:tcW w:w="186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8"/>
              </w:rPr>
              <w:t>Country Chart (see</w:t>
            </w:r>
          </w:p>
        </w:tc>
      </w:tr>
      <w:tr>
        <w:trPr>
          <w:trHeight w:val="253"/>
        </w:trPr>
        <w:tc>
          <w:tcPr>
            <w:tcW w:w="2480" w:type="dxa"/>
            <w:vAlign w:val="bottom"/>
            <w:tcBorders>
              <w:left w:val="single" w:sz="8" w:color="auto"/>
              <w:right w:val="single" w:sz="8" w:color="auto"/>
            </w:tcBorders>
          </w:tcPr>
          <w:p>
            <w:pPr>
              <w:ind w:left="7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6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480" w:type="dxa"/>
            <w:vAlign w:val="bottom"/>
            <w:tcBorders>
              <w:left w:val="single" w:sz="8" w:color="auto"/>
              <w:bottom w:val="single" w:sz="8" w:color="auto"/>
              <w:right w:val="single" w:sz="8" w:color="auto"/>
            </w:tcBorders>
          </w:tcPr>
          <w:p>
            <w:pPr>
              <w:spacing w:after="0"/>
              <w:rPr>
                <w:sz w:val="23"/>
                <w:szCs w:val="23"/>
                <w:color w:val="auto"/>
              </w:rPr>
            </w:pPr>
          </w:p>
        </w:tc>
        <w:tc>
          <w:tcPr>
            <w:tcW w:w="186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320"/>
        </w:trPr>
        <w:tc>
          <w:tcPr>
            <w:tcW w:w="2480" w:type="dxa"/>
            <w:vAlign w:val="bottom"/>
            <w:tcBorders>
              <w:left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NS applies to entire entry</w:t>
            </w:r>
          </w:p>
        </w:tc>
        <w:tc>
          <w:tcPr>
            <w:tcW w:w="186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NS Column 1</w:t>
            </w:r>
          </w:p>
        </w:tc>
      </w:tr>
      <w:tr>
        <w:trPr>
          <w:trHeight w:val="176"/>
        </w:trPr>
        <w:tc>
          <w:tcPr>
            <w:tcW w:w="2480" w:type="dxa"/>
            <w:vAlign w:val="bottom"/>
            <w:tcBorders>
              <w:left w:val="single" w:sz="8" w:color="auto"/>
              <w:bottom w:val="single" w:sz="8" w:color="auto"/>
              <w:right w:val="single" w:sz="8" w:color="auto"/>
            </w:tcBorders>
          </w:tcPr>
          <w:p>
            <w:pPr>
              <w:ind w:left="20"/>
              <w:spacing w:after="0" w:line="177" w:lineRule="exact"/>
              <w:rPr>
                <w:sz w:val="20"/>
                <w:szCs w:val="20"/>
                <w:color w:val="auto"/>
              </w:rPr>
            </w:pPr>
            <w:r>
              <w:rPr>
                <w:rFonts w:ascii="Times New Roman" w:cs="Times New Roman" w:eastAsia="Times New Roman" w:hAnsi="Times New Roman"/>
                <w:sz w:val="20"/>
                <w:szCs w:val="20"/>
                <w:color w:val="auto"/>
              </w:rPr>
              <w:t>except 3A611.y</w:t>
            </w:r>
          </w:p>
        </w:tc>
        <w:tc>
          <w:tcPr>
            <w:tcW w:w="1860" w:type="dxa"/>
            <w:vAlign w:val="bottom"/>
            <w:tcBorders>
              <w:bottom w:val="single" w:sz="8" w:color="auto"/>
              <w:right w:val="single" w:sz="8" w:color="auto"/>
            </w:tcBorders>
          </w:tcPr>
          <w:p>
            <w:pPr>
              <w:spacing w:after="0"/>
              <w:rPr>
                <w:sz w:val="15"/>
                <w:szCs w:val="15"/>
                <w:color w:val="auto"/>
              </w:rPr>
            </w:pPr>
          </w:p>
        </w:tc>
      </w:tr>
      <w:tr>
        <w:trPr>
          <w:trHeight w:val="320"/>
        </w:trPr>
        <w:tc>
          <w:tcPr>
            <w:tcW w:w="2480" w:type="dxa"/>
            <w:vAlign w:val="bottom"/>
            <w:tcBorders>
              <w:left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RS applies to entire entry</w:t>
            </w:r>
          </w:p>
        </w:tc>
        <w:tc>
          <w:tcPr>
            <w:tcW w:w="186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RS Column 1</w:t>
            </w:r>
          </w:p>
        </w:tc>
      </w:tr>
      <w:tr>
        <w:trPr>
          <w:trHeight w:val="176"/>
        </w:trPr>
        <w:tc>
          <w:tcPr>
            <w:tcW w:w="2480" w:type="dxa"/>
            <w:vAlign w:val="bottom"/>
            <w:tcBorders>
              <w:left w:val="single" w:sz="8" w:color="auto"/>
              <w:bottom w:val="single" w:sz="8" w:color="auto"/>
              <w:right w:val="single" w:sz="8" w:color="auto"/>
            </w:tcBorders>
          </w:tcPr>
          <w:p>
            <w:pPr>
              <w:ind w:left="20"/>
              <w:spacing w:after="0" w:line="177" w:lineRule="exact"/>
              <w:rPr>
                <w:sz w:val="20"/>
                <w:szCs w:val="20"/>
                <w:color w:val="auto"/>
              </w:rPr>
            </w:pPr>
            <w:r>
              <w:rPr>
                <w:rFonts w:ascii="Times New Roman" w:cs="Times New Roman" w:eastAsia="Times New Roman" w:hAnsi="Times New Roman"/>
                <w:sz w:val="20"/>
                <w:szCs w:val="20"/>
                <w:color w:val="auto"/>
              </w:rPr>
              <w:t>except 3A611.y</w:t>
            </w:r>
          </w:p>
        </w:tc>
        <w:tc>
          <w:tcPr>
            <w:tcW w:w="1860" w:type="dxa"/>
            <w:vAlign w:val="bottom"/>
            <w:tcBorders>
              <w:bottom w:val="single" w:sz="8" w:color="auto"/>
              <w:right w:val="single" w:sz="8" w:color="auto"/>
            </w:tcBorders>
          </w:tcPr>
          <w:p>
            <w:pPr>
              <w:spacing w:after="0"/>
              <w:rPr>
                <w:sz w:val="15"/>
                <w:szCs w:val="15"/>
                <w:color w:val="auto"/>
              </w:rPr>
            </w:pPr>
          </w:p>
        </w:tc>
      </w:tr>
      <w:tr>
        <w:trPr>
          <w:trHeight w:val="243"/>
        </w:trPr>
        <w:tc>
          <w:tcPr>
            <w:tcW w:w="2480" w:type="dxa"/>
            <w:vAlign w:val="bottom"/>
            <w:tcBorders>
              <w:left w:val="single" w:sz="8" w:color="auto"/>
              <w:bottom w:val="single" w:sz="8" w:color="auto"/>
              <w:right w:val="single" w:sz="8" w:color="auto"/>
            </w:tcBorders>
          </w:tcPr>
          <w:p>
            <w:pPr>
              <w:ind w:left="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60" w:type="dxa"/>
            <w:vAlign w:val="bottom"/>
            <w:tcBorders>
              <w:bottom w:val="single" w:sz="8" w:color="auto"/>
              <w:right w:val="single" w:sz="8" w:color="auto"/>
            </w:tcBorders>
          </w:tcPr>
          <w:p>
            <w:pPr>
              <w:spacing w:after="0" w:line="243" w:lineRule="exact"/>
              <w:rPr>
                <w:sz w:val="20"/>
                <w:szCs w:val="20"/>
                <w:color w:val="auto"/>
              </w:rPr>
            </w:pPr>
            <w:r>
              <w:rPr>
                <w:rFonts w:ascii="Times New Roman" w:cs="Times New Roman" w:eastAsia="Times New Roman" w:hAnsi="Times New Roman"/>
                <w:sz w:val="22"/>
                <w:szCs w:val="22"/>
                <w:color w:val="auto"/>
              </w:rPr>
              <w:t>AT Column 1</w:t>
            </w:r>
          </w:p>
        </w:tc>
      </w:tr>
      <w:tr>
        <w:trPr>
          <w:trHeight w:val="227"/>
        </w:trPr>
        <w:tc>
          <w:tcPr>
            <w:tcW w:w="2480" w:type="dxa"/>
            <w:vAlign w:val="bottom"/>
            <w:tcBorders>
              <w:left w:val="single" w:sz="8" w:color="auto"/>
              <w:right w:val="single" w:sz="8" w:color="auto"/>
            </w:tcBorders>
          </w:tcPr>
          <w:p>
            <w:pPr>
              <w:ind w:left="20"/>
              <w:spacing w:after="0" w:line="227" w:lineRule="exact"/>
              <w:rPr>
                <w:sz w:val="20"/>
                <w:szCs w:val="20"/>
                <w:color w:val="auto"/>
              </w:rPr>
            </w:pPr>
            <w:r>
              <w:rPr>
                <w:rFonts w:ascii="Times New Roman" w:cs="Times New Roman" w:eastAsia="Times New Roman" w:hAnsi="Times New Roman"/>
                <w:sz w:val="22"/>
                <w:szCs w:val="22"/>
                <w:color w:val="auto"/>
              </w:rPr>
              <w:t>UN applies to entire entry</w:t>
            </w:r>
          </w:p>
        </w:tc>
        <w:tc>
          <w:tcPr>
            <w:tcW w:w="1860" w:type="dxa"/>
            <w:vAlign w:val="bottom"/>
            <w:tcBorders>
              <w:right w:val="single" w:sz="8" w:color="auto"/>
            </w:tcBorders>
          </w:tcPr>
          <w:p>
            <w:pPr>
              <w:spacing w:after="0" w:line="227" w:lineRule="exact"/>
              <w:rPr>
                <w:sz w:val="20"/>
                <w:szCs w:val="20"/>
                <w:color w:val="auto"/>
              </w:rPr>
            </w:pPr>
            <w:r>
              <w:rPr>
                <w:rFonts w:ascii="Times New Roman" w:cs="Times New Roman" w:eastAsia="Times New Roman" w:hAnsi="Times New Roman"/>
                <w:sz w:val="22"/>
                <w:szCs w:val="22"/>
                <w:color w:val="auto"/>
              </w:rPr>
              <w:t>See  §  746.1(b)  for</w:t>
            </w:r>
          </w:p>
        </w:tc>
      </w:tr>
      <w:tr>
        <w:trPr>
          <w:trHeight w:val="269"/>
        </w:trPr>
        <w:tc>
          <w:tcPr>
            <w:tcW w:w="2480" w:type="dxa"/>
            <w:vAlign w:val="bottom"/>
            <w:tcBorders>
              <w:left w:val="single" w:sz="8" w:color="auto"/>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except 3A611.y</w:t>
            </w:r>
          </w:p>
        </w:tc>
        <w:tc>
          <w:tcPr>
            <w:tcW w:w="1860" w:type="dxa"/>
            <w:vAlign w:val="bottom"/>
            <w:tcBorders>
              <w:bottom w:val="single" w:sz="8" w:color="auto"/>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UN controls</w:t>
            </w:r>
          </w:p>
        </w:tc>
      </w:tr>
    </w:tbl>
    <w:p>
      <w:pPr>
        <w:spacing w:after="0" w:line="234" w:lineRule="exact"/>
        <w:rPr>
          <w:sz w:val="20"/>
          <w:szCs w:val="20"/>
          <w:color w:val="auto"/>
        </w:rPr>
      </w:pPr>
    </w:p>
    <w:p>
      <w:pPr>
        <w:jc w:val="both"/>
        <w:ind w:right="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1" w:lineRule="exact"/>
        <w:rPr>
          <w:sz w:val="20"/>
          <w:szCs w:val="20"/>
          <w:color w:val="auto"/>
        </w:rPr>
      </w:pPr>
    </w:p>
    <w:p>
      <w:pPr>
        <w:jc w:val="both"/>
        <w:ind w:left="1080" w:right="20" w:hanging="539"/>
        <w:spacing w:after="0" w:line="242" w:lineRule="auto"/>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$1500 for 3A611.a, .d through .h</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and .x; N/A for ECCN 3A611.c.</w:t>
      </w:r>
    </w:p>
    <w:p>
      <w:pPr>
        <w:ind w:left="5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5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52" w:lineRule="exact"/>
        <w:rPr>
          <w:sz w:val="20"/>
          <w:szCs w:val="20"/>
          <w:color w:val="auto"/>
        </w:rPr>
      </w:pPr>
    </w:p>
    <w:p>
      <w:pPr>
        <w:jc w:val="both"/>
        <w:ind w:left="1080" w:right="20" w:hanging="539"/>
        <w:spacing w:after="0" w:line="251" w:lineRule="auto"/>
        <w:rPr>
          <w:sz w:val="20"/>
          <w:szCs w:val="20"/>
          <w:color w:val="auto"/>
        </w:rPr>
      </w:pPr>
      <w:r>
        <w:rPr>
          <w:rFonts w:ascii="Times New Roman" w:cs="Times New Roman" w:eastAsia="Times New Roman" w:hAnsi="Times New Roman"/>
          <w:sz w:val="22"/>
          <w:szCs w:val="22"/>
          <w:i w:val="1"/>
          <w:iCs w:val="1"/>
          <w:color w:val="auto"/>
        </w:rPr>
        <w:t xml:space="preserve">STA: </w:t>
      </w:r>
      <w:r>
        <w:rPr>
          <w:rFonts w:ascii="Times New Roman" w:cs="Times New Roman" w:eastAsia="Times New Roman" w:hAnsi="Times New Roman"/>
          <w:sz w:val="22"/>
          <w:szCs w:val="22"/>
          <w:color w:val="auto"/>
        </w:rPr>
        <w:t>Paragraph</w:t>
      </w:r>
      <w:r>
        <w:rPr>
          <w:sz w:val="20"/>
          <w:szCs w:val="20"/>
          <w:color w:val="auto"/>
        </w:rPr>
        <w:t xml:space="preserve"> </w:t>
      </w:r>
      <w:r>
        <w:rPr>
          <w:rFonts w:ascii="Times New Roman" w:cs="Times New Roman" w:eastAsia="Times New Roman" w:hAnsi="Times New Roman"/>
          <w:sz w:val="22"/>
          <w:szCs w:val="22"/>
          <w:color w:val="auto"/>
        </w:rPr>
        <w:t>(c)(2) of License Exception STA (§ 740.20(c)(2) of the EAR) may not be used for any item in 3A611.</w:t>
      </w:r>
    </w:p>
    <w:p>
      <w:pPr>
        <w:spacing w:after="0" w:line="200" w:lineRule="exact"/>
        <w:rPr>
          <w:sz w:val="20"/>
          <w:szCs w:val="20"/>
          <w:color w:val="auto"/>
        </w:rPr>
      </w:pPr>
    </w:p>
    <w:p>
      <w:pPr>
        <w:spacing w:after="0" w:line="27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both"/>
        <w:ind w:right="20"/>
        <w:spacing w:after="0" w:line="243"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Electronic items that are</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enumerated in USML Category XI or other USML categories, and technical data (including software) directly related thereto, are subject to the ITAR. (2) Application specific integrated circuits (ASICs) and programmable logic devices (PLD) that are programmed for defense articles that are subject to the ITAR are controlled in USML Category XI(c)(1). (3) See ECCN 3A001.a.7 for controls on unprogrammed</w:t>
      </w:r>
    </w:p>
    <w:p>
      <w:pPr>
        <w:spacing w:after="0" w:line="200" w:lineRule="exact"/>
        <w:rPr>
          <w:sz w:val="20"/>
          <w:szCs w:val="20"/>
          <w:color w:val="auto"/>
        </w:rPr>
      </w:pPr>
    </w:p>
    <w:p>
      <w:pPr>
        <w:sectPr>
          <w:pgSz w:w="12240" w:h="15840" w:orient="portrait"/>
          <w:cols w:equalWidth="0" w:num="2">
            <w:col w:w="4320" w:space="720"/>
            <w:col w:w="4340"/>
          </w:cols>
          <w:pgMar w:left="1440" w:top="1062" w:right="1420" w:bottom="892" w:gutter="0" w:footer="0" w:header="0"/>
          <w:type w:val="continuous"/>
        </w:sectPr>
      </w:pPr>
    </w:p>
    <w:p>
      <w:pPr>
        <w:spacing w:after="0" w:line="231"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80"/>
          </w:cols>
          <w:pgMar w:left="1440" w:top="1062" w:right="1420" w:bottom="892" w:gutter="0" w:footer="0" w:header="0"/>
          <w:type w:val="continuous"/>
        </w:sectPr>
      </w:pPr>
    </w:p>
    <w:bookmarkStart w:id="29" w:name="page30"/>
    <w:bookmarkEnd w:id="29"/>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30</w:t>
      </w:r>
    </w:p>
    <w:p>
      <w:pPr>
        <w:sectPr>
          <w:pgSz w:w="12240" w:h="15840" w:orient="portrait"/>
          <w:cols w:equalWidth="0" w:num="1">
            <w:col w:w="9360"/>
          </w:cols>
          <w:pgMar w:left="1440" w:top="1062" w:right="1440" w:bottom="892" w:gutter="0" w:footer="0" w:header="0"/>
        </w:sectPr>
      </w:pPr>
    </w:p>
    <w:p>
      <w:pPr>
        <w:spacing w:after="0" w:line="245" w:lineRule="exact"/>
        <w:rPr>
          <w:sz w:val="20"/>
          <w:szCs w:val="20"/>
          <w:color w:val="auto"/>
        </w:rPr>
      </w:pPr>
    </w:p>
    <w:p>
      <w:pPr>
        <w:jc w:val="both"/>
        <w:spacing w:after="0"/>
        <w:rPr>
          <w:sz w:val="20"/>
          <w:szCs w:val="20"/>
          <w:color w:val="auto"/>
        </w:rPr>
      </w:pPr>
      <w:r>
        <w:rPr>
          <w:rFonts w:ascii="Times New Roman" w:cs="Times New Roman" w:eastAsia="Times New Roman" w:hAnsi="Times New Roman"/>
          <w:sz w:val="22"/>
          <w:szCs w:val="22"/>
          <w:color w:val="auto"/>
        </w:rPr>
        <w:t>programmable logic devices (PLD). (4) Printed circuit boards and populated circuit cards with a layout that is “specially designed” for defense articles are controlled in USML Category XI(c)(2). (5) Multichip modules for which the pattern or layout is “specially designed” for defense articles are controlled in USML Category XI(c)(3). (6) Electronic items “specially designed” for military application that are not controlled in any USML category but are within the scope of another “600 series” ECCN or a 9x515 ECCN are controlled by that “600 series” ECCN or 9x515 ECCN. For example, electronic components not enumerated on the USML or a “600 series” other than 3A611 that are “specially designed” for a military aircraft controlled by USML Category VIII or ECCN 9A610 are controlled by the catch-all control in ECCN 9A610.x. Electronic components not enumerated on the USML or another “600 series” entry that are “specially designed” for a military vehicle controlled by USML Category VII or ECCN 0A606 are controlled by ECCN</w:t>
      </w:r>
    </w:p>
    <w:p>
      <w:pPr>
        <w:jc w:val="both"/>
        <w:spacing w:after="0" w:line="243" w:lineRule="auto"/>
        <w:rPr>
          <w:sz w:val="20"/>
          <w:szCs w:val="20"/>
          <w:color w:val="auto"/>
        </w:rPr>
      </w:pPr>
      <w:r>
        <w:rPr>
          <w:rFonts w:ascii="Times New Roman" w:cs="Times New Roman" w:eastAsia="Times New Roman" w:hAnsi="Times New Roman"/>
          <w:sz w:val="22"/>
          <w:szCs w:val="22"/>
          <w:color w:val="auto"/>
        </w:rPr>
        <w:t>0A606.x. Electronic components not enumerated on the USML that are “specially designed” for a missile controlled by USML Category IV are controlled by ECCN 9A604.(7) Certain radiation-hardened microelectronic circuits are controlled by ECCN 9A515.d or 9A515.e, when “specially designed” for defense articles, “600 series” items, or items controlled by 9A515.</w:t>
      </w:r>
    </w:p>
    <w:p>
      <w:pPr>
        <w:spacing w:after="0" w:line="200" w:lineRule="exact"/>
        <w:rPr>
          <w:sz w:val="20"/>
          <w:szCs w:val="20"/>
          <w:color w:val="auto"/>
        </w:rPr>
      </w:pPr>
    </w:p>
    <w:p>
      <w:pPr>
        <w:spacing w:after="0" w:line="27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2"/>
          <w:szCs w:val="22"/>
          <w:color w:val="auto"/>
        </w:rPr>
        <w:t>a. Electronic “equipment,” “end items,” and “systems” “specially designed” for a military application that are not enumerated or otherwise described in either a USML category or another “600 series” ECCN.</w:t>
      </w:r>
    </w:p>
    <w:p>
      <w:pPr>
        <w:spacing w:after="0" w:line="211" w:lineRule="exact"/>
        <w:rPr>
          <w:sz w:val="20"/>
          <w:szCs w:val="20"/>
          <w:color w:val="auto"/>
        </w:rPr>
      </w:pPr>
    </w:p>
    <w:p>
      <w:pPr>
        <w:jc w:val="both"/>
        <w:ind w:firstLine="144"/>
        <w:spacing w:after="0" w:line="24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to 3A611.a: </w:t>
      </w:r>
      <w:r>
        <w:rPr>
          <w:rFonts w:ascii="Times New Roman" w:cs="Times New Roman" w:eastAsia="Times New Roman" w:hAnsi="Times New Roman"/>
          <w:sz w:val="22"/>
          <w:szCs w:val="22"/>
          <w:i w:val="1"/>
          <w:iCs w:val="1"/>
          <w:color w:val="auto"/>
        </w:rPr>
        <w:t>ECCN 3A611.a includes any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radar, telecommunications, acoustic or computer equipment, end items, or systems “specially designed” for military application that are not enumerated or otherwise described in any USML category or controlled by another</w:t>
      </w:r>
    </w:p>
    <w:p>
      <w:pPr>
        <w:spacing w:after="0" w:line="20" w:lineRule="exact"/>
        <w:rPr>
          <w:sz w:val="20"/>
          <w:szCs w:val="20"/>
          <w:color w:val="auto"/>
        </w:rPr>
      </w:pPr>
      <w:r>
        <w:rPr>
          <w:sz w:val="20"/>
          <w:szCs w:val="20"/>
          <w:color w:val="auto"/>
        </w:rPr>
        <w:br w:type="column"/>
      </w:r>
    </w:p>
    <w:p>
      <w:pPr>
        <w:spacing w:after="0" w:line="22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“600 series” ECCN.</w:t>
      </w:r>
    </w:p>
    <w:p>
      <w:pPr>
        <w:spacing w:after="0" w:line="255" w:lineRule="exact"/>
        <w:rPr>
          <w:sz w:val="20"/>
          <w:szCs w:val="20"/>
          <w:color w:val="auto"/>
        </w:rPr>
      </w:pPr>
    </w:p>
    <w:p>
      <w:pPr>
        <w:ind w:left="220" w:hanging="220"/>
        <w:spacing w:after="0"/>
        <w:tabs>
          <w:tab w:leader="none" w:pos="220" w:val="left"/>
        </w:tabs>
        <w:numPr>
          <w:ilvl w:val="0"/>
          <w:numId w:val="5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3" w:lineRule="exact"/>
        <w:rPr>
          <w:rFonts w:ascii="Times New Roman" w:cs="Times New Roman" w:eastAsia="Times New Roman" w:hAnsi="Times New Roman"/>
          <w:sz w:val="22"/>
          <w:szCs w:val="22"/>
          <w:color w:val="auto"/>
        </w:rPr>
      </w:pPr>
    </w:p>
    <w:p>
      <w:pPr>
        <w:ind w:left="200" w:hanging="200"/>
        <w:spacing w:after="0"/>
        <w:tabs>
          <w:tab w:leader="none" w:pos="200" w:val="left"/>
        </w:tabs>
        <w:numPr>
          <w:ilvl w:val="0"/>
          <w:numId w:val="5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3" w:lineRule="exact"/>
        <w:rPr>
          <w:rFonts w:ascii="Times New Roman" w:cs="Times New Roman" w:eastAsia="Times New Roman" w:hAnsi="Times New Roman"/>
          <w:sz w:val="22"/>
          <w:szCs w:val="22"/>
          <w:color w:val="auto"/>
        </w:rPr>
      </w:pPr>
    </w:p>
    <w:p>
      <w:pPr>
        <w:ind w:left="220" w:hanging="220"/>
        <w:spacing w:after="0"/>
        <w:tabs>
          <w:tab w:leader="none" w:pos="220" w:val="left"/>
        </w:tabs>
        <w:numPr>
          <w:ilvl w:val="0"/>
          <w:numId w:val="5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2" w:lineRule="exact"/>
        <w:rPr>
          <w:rFonts w:ascii="Times New Roman" w:cs="Times New Roman" w:eastAsia="Times New Roman" w:hAnsi="Times New Roman"/>
          <w:sz w:val="22"/>
          <w:szCs w:val="22"/>
          <w:color w:val="auto"/>
        </w:rPr>
      </w:pPr>
    </w:p>
    <w:p>
      <w:pPr>
        <w:jc w:val="both"/>
        <w:spacing w:after="0" w:line="250" w:lineRule="auto"/>
        <w:tabs>
          <w:tab w:leader="none" w:pos="229" w:val="left"/>
        </w:tabs>
        <w:numPr>
          <w:ilvl w:val="0"/>
          <w:numId w:val="5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High frequency (HF) surface wave radar that maintains the positional state of maritime surface or low altitude airborne objects of interest in a received radar signal through time.</w:t>
      </w:r>
    </w:p>
    <w:p>
      <w:pPr>
        <w:spacing w:after="0" w:line="206" w:lineRule="exact"/>
        <w:rPr>
          <w:sz w:val="20"/>
          <w:szCs w:val="20"/>
          <w:color w:val="auto"/>
        </w:rPr>
      </w:pPr>
    </w:p>
    <w:p>
      <w:pPr>
        <w:jc w:val="both"/>
        <w:ind w:firstLine="144"/>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to 3A611.e: </w:t>
      </w:r>
      <w:r>
        <w:rPr>
          <w:rFonts w:ascii="Times New Roman" w:cs="Times New Roman" w:eastAsia="Times New Roman" w:hAnsi="Times New Roman"/>
          <w:sz w:val="22"/>
          <w:szCs w:val="22"/>
          <w:i w:val="1"/>
          <w:iCs w:val="1"/>
          <w:color w:val="auto"/>
        </w:rPr>
        <w:t>ECCN 3A611.e does not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apply to systems, equipment, and assemblies “specially designed” for marine traffic control.</w:t>
      </w:r>
    </w:p>
    <w:p>
      <w:pPr>
        <w:spacing w:after="0" w:line="202"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2"/>
          <w:szCs w:val="22"/>
          <w:color w:val="auto"/>
        </w:rPr>
        <w:t>f. Application specific integrated circuits (ASICs) and programmable logic devices (PLD) that are not controlled by paragraph .y of this entry and that are programmed for “600 series” items.</w:t>
      </w:r>
    </w:p>
    <w:p>
      <w:pPr>
        <w:spacing w:after="0" w:line="211" w:lineRule="exact"/>
        <w:rPr>
          <w:sz w:val="20"/>
          <w:szCs w:val="20"/>
          <w:color w:val="auto"/>
        </w:rPr>
      </w:pPr>
    </w:p>
    <w:p>
      <w:pPr>
        <w:jc w:val="both"/>
        <w:ind w:firstLine="144"/>
        <w:spacing w:after="0" w:line="24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to paragraph .f: </w:t>
      </w:r>
      <w:r>
        <w:rPr>
          <w:rFonts w:ascii="Times New Roman" w:cs="Times New Roman" w:eastAsia="Times New Roman" w:hAnsi="Times New Roman"/>
          <w:sz w:val="22"/>
          <w:szCs w:val="22"/>
          <w:i w:val="1"/>
          <w:iCs w:val="1"/>
          <w:color w:val="auto"/>
        </w:rPr>
        <w:t>In this paragraph, the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term ‘application specific integrated circuit’ means an integrated circuit developed and produced for a specific application or function regardless of number of customers for which the integrated circuit is developed or produced.</w:t>
      </w:r>
    </w:p>
    <w:p>
      <w:pPr>
        <w:spacing w:after="0" w:line="213"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2"/>
          <w:szCs w:val="22"/>
          <w:color w:val="auto"/>
        </w:rPr>
        <w:t>g. Printed circuit boards and populated circuit card assemblies that are not controlled by paragraph .y of this entry and for which the layout is “specially designed” for “600 series” items.</w:t>
      </w:r>
    </w:p>
    <w:p>
      <w:pPr>
        <w:spacing w:after="0" w:line="216" w:lineRule="exact"/>
        <w:rPr>
          <w:sz w:val="20"/>
          <w:szCs w:val="20"/>
          <w:color w:val="auto"/>
        </w:rPr>
      </w:pPr>
    </w:p>
    <w:p>
      <w:pPr>
        <w:jc w:val="both"/>
        <w:spacing w:after="0" w:line="250" w:lineRule="auto"/>
        <w:rPr>
          <w:sz w:val="20"/>
          <w:szCs w:val="20"/>
          <w:color w:val="auto"/>
        </w:rPr>
      </w:pPr>
      <w:r>
        <w:rPr>
          <w:rFonts w:ascii="Times New Roman" w:cs="Times New Roman" w:eastAsia="Times New Roman" w:hAnsi="Times New Roman"/>
          <w:sz w:val="22"/>
          <w:szCs w:val="22"/>
          <w:color w:val="auto"/>
        </w:rPr>
        <w:t>h. Multichip modules that are not controlled by paragraph .y of this entry and for which the pattern or layout is “specially designed” for “600 series” items.</w:t>
      </w:r>
    </w:p>
    <w:p>
      <w:pPr>
        <w:spacing w:after="0" w:line="21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i. through w. [Reserved]</w:t>
      </w:r>
    </w:p>
    <w:p>
      <w:pPr>
        <w:spacing w:after="0" w:line="253" w:lineRule="exact"/>
        <w:rPr>
          <w:sz w:val="20"/>
          <w:szCs w:val="20"/>
          <w:color w:val="auto"/>
        </w:rPr>
      </w:pPr>
    </w:p>
    <w:p>
      <w:pPr>
        <w:jc w:val="both"/>
        <w:spacing w:after="0" w:line="247" w:lineRule="auto"/>
        <w:tabs>
          <w:tab w:leader="none" w:pos="403" w:val="left"/>
        </w:tabs>
        <w:numPr>
          <w:ilvl w:val="0"/>
          <w:numId w:val="5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“Parts,” “components,” “accessories,” and “attachments” that are “specially designed” for a commodity controlled by this entry or for an article controlled by USML Category XI, and not enumerated or described in any USML</w:t>
      </w:r>
    </w:p>
    <w:p>
      <w:pPr>
        <w:spacing w:after="0" w:line="202"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280"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30" w:name="page31"/>
    <w:bookmarkEnd w:id="3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31</w:t>
      </w:r>
    </w:p>
    <w:p>
      <w:pPr>
        <w:sectPr>
          <w:pgSz w:w="12240" w:h="15840" w:orient="portrait"/>
          <w:cols w:equalWidth="0" w:num="1">
            <w:col w:w="9360"/>
          </w:cols>
          <w:pgMar w:left="1440" w:top="1062" w:right="1440" w:bottom="892" w:gutter="0" w:footer="0" w:header="0"/>
        </w:sectPr>
      </w:pPr>
    </w:p>
    <w:p>
      <w:pPr>
        <w:spacing w:after="0" w:line="245" w:lineRule="exact"/>
        <w:rPr>
          <w:sz w:val="20"/>
          <w:szCs w:val="20"/>
          <w:color w:val="auto"/>
        </w:rPr>
      </w:pPr>
    </w:p>
    <w:p>
      <w:pPr>
        <w:jc w:val="both"/>
        <w:spacing w:after="0" w:line="255" w:lineRule="auto"/>
        <w:rPr>
          <w:sz w:val="20"/>
          <w:szCs w:val="20"/>
          <w:color w:val="auto"/>
        </w:rPr>
      </w:pPr>
      <w:r>
        <w:rPr>
          <w:rFonts w:ascii="Times New Roman" w:cs="Times New Roman" w:eastAsia="Times New Roman" w:hAnsi="Times New Roman"/>
          <w:sz w:val="22"/>
          <w:szCs w:val="22"/>
          <w:color w:val="auto"/>
        </w:rPr>
        <w:t>category or in any paragraph other than the .x paragraph of another 600 series ECCN or in paragraph .y of this entry.</w:t>
      </w:r>
    </w:p>
    <w:p>
      <w:pPr>
        <w:spacing w:after="0" w:line="200" w:lineRule="exact"/>
        <w:rPr>
          <w:sz w:val="20"/>
          <w:szCs w:val="20"/>
          <w:color w:val="auto"/>
        </w:rPr>
      </w:pPr>
    </w:p>
    <w:p>
      <w:pPr>
        <w:jc w:val="both"/>
        <w:ind w:firstLine="144"/>
        <w:spacing w:after="0" w:line="244"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1 to ECCN 3A611.x: </w:t>
      </w:r>
      <w:r>
        <w:rPr>
          <w:rFonts w:ascii="Times New Roman" w:cs="Times New Roman" w:eastAsia="Times New Roman" w:hAnsi="Times New Roman"/>
          <w:sz w:val="22"/>
          <w:szCs w:val="22"/>
          <w:i w:val="1"/>
          <w:iCs w:val="1"/>
          <w:color w:val="auto"/>
        </w:rPr>
        <w:t>ECCN 3A611.x</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includes “parts,” “components,” “accessories,” and “attachments” “specially designed” for a radar, telecommunications, acoustic system or equipment or computer “specially designed” for military application that are neither controlled in any USML category nor controlled in any paragraph other than the .x paragraph of another “600 series” ECCN.</w:t>
      </w:r>
    </w:p>
    <w:p>
      <w:pPr>
        <w:spacing w:after="0" w:line="215" w:lineRule="exact"/>
        <w:rPr>
          <w:sz w:val="20"/>
          <w:szCs w:val="20"/>
          <w:color w:val="auto"/>
        </w:rPr>
      </w:pPr>
    </w:p>
    <w:p>
      <w:pPr>
        <w:jc w:val="both"/>
        <w:ind w:firstLine="144"/>
        <w:spacing w:after="0" w:line="24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2 to ECCN 3A611.x: </w:t>
      </w:r>
      <w:r>
        <w:rPr>
          <w:rFonts w:ascii="Times New Roman" w:cs="Times New Roman" w:eastAsia="Times New Roman" w:hAnsi="Times New Roman"/>
          <w:sz w:val="22"/>
          <w:szCs w:val="22"/>
          <w:i w:val="1"/>
          <w:iCs w:val="1"/>
          <w:color w:val="auto"/>
        </w:rPr>
        <w:t>ECCN 3A611.x</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controls “parts” and “components” “specially designed” for underwater sensors or projectors controlled by USML Category XI(c)(12) containing single-crystal lead magnesium niobate lead titanate (PMN-PT) based piezoelectrics.</w:t>
      </w:r>
    </w:p>
    <w:p>
      <w:pPr>
        <w:spacing w:after="0" w:line="209" w:lineRule="exact"/>
        <w:rPr>
          <w:sz w:val="20"/>
          <w:szCs w:val="20"/>
          <w:color w:val="auto"/>
        </w:rPr>
      </w:pPr>
    </w:p>
    <w:p>
      <w:pPr>
        <w:ind w:left="140"/>
        <w:spacing w:after="0"/>
        <w:tabs>
          <w:tab w:leader="none" w:pos="740" w:val="left"/>
          <w:tab w:leader="none" w:pos="1020" w:val="left"/>
          <w:tab w:leader="none" w:pos="1380" w:val="left"/>
          <w:tab w:leader="none" w:pos="2160" w:val="left"/>
          <w:tab w:leader="none" w:pos="3520" w:val="left"/>
        </w:tabs>
        <w:rPr>
          <w:sz w:val="20"/>
          <w:szCs w:val="20"/>
          <w:color w:val="auto"/>
        </w:rPr>
      </w:pPr>
      <w:r>
        <w:rPr>
          <w:rFonts w:ascii="Times New Roman" w:cs="Times New Roman" w:eastAsia="Times New Roman" w:hAnsi="Times New Roman"/>
          <w:sz w:val="22"/>
          <w:szCs w:val="22"/>
          <w:b w:val="1"/>
          <w:bCs w:val="1"/>
          <w:i w:val="1"/>
          <w:iCs w:val="1"/>
          <w:color w:val="auto"/>
        </w:rPr>
        <w:t>Note</w:t>
        <w:tab/>
        <w:t>3</w:t>
        <w:tab/>
        <w:t>to</w:t>
        <w:tab/>
        <w:t>ECCN</w:t>
        <w:tab/>
        <w:t>3A611.x:</w:t>
      </w:r>
      <w:r>
        <w:rPr>
          <w:sz w:val="20"/>
          <w:szCs w:val="20"/>
          <w:color w:val="auto"/>
        </w:rPr>
        <w:tab/>
      </w:r>
      <w:r>
        <w:rPr>
          <w:rFonts w:ascii="Times New Roman" w:cs="Times New Roman" w:eastAsia="Times New Roman" w:hAnsi="Times New Roman"/>
          <w:sz w:val="22"/>
          <w:szCs w:val="22"/>
          <w:i w:val="1"/>
          <w:iCs w:val="1"/>
          <w:color w:val="auto"/>
        </w:rPr>
        <w:t>“Parts,”</w:t>
      </w:r>
    </w:p>
    <w:p>
      <w:pPr>
        <w:spacing w:after="0" w:line="6" w:lineRule="exact"/>
        <w:rPr>
          <w:sz w:val="20"/>
          <w:szCs w:val="20"/>
          <w:color w:val="auto"/>
        </w:rPr>
      </w:pPr>
    </w:p>
    <w:p>
      <w:pPr>
        <w:jc w:val="both"/>
        <w:spacing w:after="0" w:line="244" w:lineRule="auto"/>
        <w:rPr>
          <w:sz w:val="20"/>
          <w:szCs w:val="20"/>
          <w:color w:val="auto"/>
        </w:rPr>
      </w:pPr>
      <w:r>
        <w:rPr>
          <w:rFonts w:ascii="Times New Roman" w:cs="Times New Roman" w:eastAsia="Times New Roman" w:hAnsi="Times New Roman"/>
          <w:sz w:val="22"/>
          <w:szCs w:val="22"/>
          <w:i w:val="1"/>
          <w:iCs w:val="1"/>
          <w:color w:val="auto"/>
        </w:rPr>
        <w:t>“components,” “accessories,” and “attachments” subject to the EAR and within the scope of any 600 series .x entry that are of a type that are or would potentially be for use in or with multiple platforms (e.g., military electronics, military vehicles, and military aircraft) may be classified under 3A611.x.</w:t>
      </w:r>
    </w:p>
    <w:p>
      <w:pPr>
        <w:spacing w:after="0" w:line="222" w:lineRule="exact"/>
        <w:rPr>
          <w:sz w:val="20"/>
          <w:szCs w:val="20"/>
          <w:color w:val="auto"/>
        </w:rPr>
      </w:pPr>
    </w:p>
    <w:p>
      <w:pPr>
        <w:jc w:val="both"/>
        <w:ind w:firstLine="109"/>
        <w:spacing w:after="0" w:line="243" w:lineRule="auto"/>
        <w:tabs>
          <w:tab w:leader="none" w:pos="942" w:val="left"/>
        </w:tabs>
        <w:numPr>
          <w:ilvl w:val="0"/>
          <w:numId w:val="5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Specific “parts,” “components,” “accessories,” and “attachments” “specially designed” for a commodity subject to control in a “600 series” ECCN or a defense article and not elsewhere specified in any paragraph other than the .y paragraph of a “600 series” ECCN or the USML as follows, and “parts,” “components,” “accessories,” and “attachments” “specially designed” therefor:</w:t>
      </w:r>
    </w:p>
    <w:p>
      <w:pPr>
        <w:spacing w:after="0" w:line="22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y.1. Electrical connectors;</w:t>
      </w:r>
    </w:p>
    <w:p>
      <w:pPr>
        <w:spacing w:after="0" w:line="253"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y.2. Electric fans;</w:t>
      </w:r>
    </w:p>
    <w:p>
      <w:pPr>
        <w:spacing w:after="0" w:line="253"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y.3. Heat sinks;</w:t>
      </w:r>
    </w:p>
    <w:p>
      <w:pPr>
        <w:spacing w:after="0" w:line="252"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y.4. Joy sticks;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8"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y.5. Mica paper capacitors;</w:t>
      </w:r>
    </w:p>
    <w:p>
      <w:pPr>
        <w:spacing w:after="0" w:line="252"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y.6. Microphones;</w:t>
      </w:r>
    </w:p>
    <w:p>
      <w:pPr>
        <w:spacing w:after="0" w:line="253"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y.7. Potentiometers;</w:t>
      </w:r>
    </w:p>
    <w:p>
      <w:pPr>
        <w:spacing w:after="0" w:line="253"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y.8. Rheostats;</w:t>
      </w:r>
    </w:p>
    <w:p>
      <w:pPr>
        <w:spacing w:after="0" w:line="252"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y.9. Electric connector backshells;</w:t>
      </w:r>
    </w:p>
    <w:p>
      <w:pPr>
        <w:spacing w:after="0" w:line="253"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y.10. Solenoids;</w:t>
      </w:r>
    </w:p>
    <w:p>
      <w:pPr>
        <w:spacing w:after="0" w:line="252"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y.11. Speakers;</w:t>
      </w:r>
    </w:p>
    <w:p>
      <w:pPr>
        <w:spacing w:after="0" w:line="253"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y.12. Trackballs;</w:t>
      </w:r>
    </w:p>
    <w:p>
      <w:pPr>
        <w:spacing w:after="0" w:line="253"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y.13. Electric transformers;</w:t>
      </w:r>
    </w:p>
    <w:p>
      <w:pPr>
        <w:spacing w:after="0" w:line="252" w:lineRule="exact"/>
        <w:rPr>
          <w:sz w:val="20"/>
          <w:szCs w:val="20"/>
          <w:color w:val="auto"/>
        </w:rPr>
      </w:pPr>
    </w:p>
    <w:p>
      <w:pPr>
        <w:jc w:val="both"/>
        <w:ind w:firstLine="144"/>
        <w:spacing w:after="0" w:line="250" w:lineRule="auto"/>
        <w:rPr>
          <w:sz w:val="20"/>
          <w:szCs w:val="20"/>
          <w:color w:val="auto"/>
        </w:rPr>
      </w:pPr>
      <w:r>
        <w:rPr>
          <w:rFonts w:ascii="Times New Roman" w:cs="Times New Roman" w:eastAsia="Times New Roman" w:hAnsi="Times New Roman"/>
          <w:sz w:val="22"/>
          <w:szCs w:val="22"/>
          <w:color w:val="auto"/>
        </w:rPr>
        <w:t>y.14. Application specific integrated circuits (ASICs) and programmable logic devices (PLD) that are programmed for commodities controlled in the .y paragraph of any “600 series” ECCN;</w:t>
      </w:r>
    </w:p>
    <w:p>
      <w:pPr>
        <w:spacing w:after="0" w:line="211" w:lineRule="exact"/>
        <w:rPr>
          <w:sz w:val="20"/>
          <w:szCs w:val="20"/>
          <w:color w:val="auto"/>
        </w:rPr>
      </w:pPr>
    </w:p>
    <w:p>
      <w:pPr>
        <w:jc w:val="both"/>
        <w:ind w:firstLine="144"/>
        <w:spacing w:after="0" w:line="250" w:lineRule="auto"/>
        <w:rPr>
          <w:sz w:val="20"/>
          <w:szCs w:val="20"/>
          <w:color w:val="auto"/>
        </w:rPr>
      </w:pPr>
      <w:r>
        <w:rPr>
          <w:rFonts w:ascii="Times New Roman" w:cs="Times New Roman" w:eastAsia="Times New Roman" w:hAnsi="Times New Roman"/>
          <w:sz w:val="22"/>
          <w:szCs w:val="22"/>
          <w:color w:val="auto"/>
        </w:rPr>
        <w:t>y.15. Printed circuit boards and populated circuit card assemblies for which the layout is “specially designed” for an item controlled by the .y paragraph of any “600 series” ECCN;</w:t>
      </w:r>
    </w:p>
    <w:p>
      <w:pPr>
        <w:spacing w:after="0" w:line="211"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y.16. Multichip modules for which the pattern or layout is “specially designed” for an item in the .y paragraph of a “600 series” ECCN;</w:t>
      </w:r>
    </w:p>
    <w:p>
      <w:pPr>
        <w:spacing w:after="0" w:line="206"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y.17. Circuit breakers;</w:t>
      </w:r>
    </w:p>
    <w:p>
      <w:pPr>
        <w:spacing w:after="0" w:line="252"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y.18. Ground fault circuit interrupters;</w:t>
      </w:r>
    </w:p>
    <w:p>
      <w:pPr>
        <w:spacing w:after="0" w:line="253"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y.19. Electrical contacts;</w:t>
      </w:r>
    </w:p>
    <w:p>
      <w:pPr>
        <w:spacing w:after="0" w:line="253"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y.20. Electrical guide pins;</w:t>
      </w:r>
    </w:p>
    <w:p>
      <w:pPr>
        <w:spacing w:after="0" w:line="252"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y.21. Filtered and unfiltered mechanical switches;</w:t>
      </w:r>
    </w:p>
    <w:p>
      <w:pPr>
        <w:spacing w:after="0" w:line="188"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y.22. Thumbwheels;</w:t>
      </w:r>
    </w:p>
    <w:p>
      <w:pPr>
        <w:spacing w:after="0" w:line="253"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y.23. Fixed resistors;</w:t>
      </w:r>
    </w:p>
    <w:p>
      <w:pPr>
        <w:spacing w:after="0" w:line="452"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320"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31" w:name="page32"/>
    <w:bookmarkEnd w:id="31"/>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32</w:t>
      </w:r>
    </w:p>
    <w:p>
      <w:pPr>
        <w:sectPr>
          <w:pgSz w:w="12240" w:h="15840" w:orient="portrait"/>
          <w:cols w:equalWidth="0" w:num="1">
            <w:col w:w="9480"/>
          </w:cols>
          <w:pgMar w:left="1440" w:top="1062" w:right="1320" w:bottom="892" w:gutter="0" w:footer="0" w:header="0"/>
        </w:sectPr>
      </w:pPr>
    </w:p>
    <w:p>
      <w:pPr>
        <w:spacing w:after="0" w:line="245"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y.24. Electrical jumpers;</w:t>
      </w:r>
    </w:p>
    <w:p>
      <w:pPr>
        <w:spacing w:after="0" w:line="253"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y.25. Grounding straps;</w:t>
      </w:r>
    </w:p>
    <w:p>
      <w:pPr>
        <w:spacing w:after="0" w:line="252"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y.26. Indicator dials;</w:t>
      </w:r>
    </w:p>
    <w:p>
      <w:pPr>
        <w:spacing w:after="0" w:line="253"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y.27. Contactors;</w:t>
      </w:r>
    </w:p>
    <w:p>
      <w:pPr>
        <w:spacing w:after="0" w:line="253"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y.28. Touchpads;</w:t>
      </w:r>
    </w:p>
    <w:p>
      <w:pPr>
        <w:spacing w:after="0" w:line="252"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y.29. Mechanical caps;</w:t>
      </w:r>
    </w:p>
    <w:p>
      <w:pPr>
        <w:spacing w:after="0" w:line="253"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y.30. Mechanical plugs;</w:t>
      </w:r>
    </w:p>
    <w:p>
      <w:pPr>
        <w:spacing w:after="0" w:line="252"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y.31. Finger barriers;</w:t>
      </w:r>
    </w:p>
    <w:p>
      <w:pPr>
        <w:spacing w:after="0" w:line="253"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y.32. Flip-guards;</w:t>
      </w:r>
    </w:p>
    <w:p>
      <w:pPr>
        <w:spacing w:after="0" w:line="253"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y.33. Identification plates and nameplates;</w:t>
      </w:r>
    </w:p>
    <w:p>
      <w:pPr>
        <w:spacing w:after="0" w:line="252"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color w:val="auto"/>
        </w:rPr>
        <w:t>y.34. Knobs;</w:t>
      </w:r>
    </w:p>
    <w:p>
      <w:pPr>
        <w:spacing w:after="0" w:line="253" w:lineRule="exact"/>
        <w:rPr>
          <w:sz w:val="20"/>
          <w:szCs w:val="20"/>
          <w:color w:val="auto"/>
        </w:rPr>
      </w:pPr>
    </w:p>
    <w:p>
      <w:pPr>
        <w:jc w:val="both"/>
        <w:ind w:right="120" w:firstLine="144"/>
        <w:spacing w:after="0" w:line="271" w:lineRule="auto"/>
        <w:rPr>
          <w:sz w:val="20"/>
          <w:szCs w:val="20"/>
          <w:color w:val="auto"/>
        </w:rPr>
      </w:pPr>
      <w:r>
        <w:rPr>
          <w:rFonts w:ascii="Times New Roman" w:cs="Times New Roman" w:eastAsia="Times New Roman" w:hAnsi="Times New Roman"/>
          <w:sz w:val="22"/>
          <w:szCs w:val="22"/>
          <w:color w:val="auto"/>
        </w:rPr>
        <w:t>y.35. Hydraulic, pneumatic, fuel and lubrication gauges.</w:t>
      </w:r>
    </w:p>
    <w:p>
      <w:pPr>
        <w:spacing w:after="0" w:line="182" w:lineRule="exact"/>
        <w:rPr>
          <w:sz w:val="20"/>
          <w:szCs w:val="20"/>
          <w:color w:val="auto"/>
        </w:rPr>
      </w:pPr>
    </w:p>
    <w:p>
      <w:pPr>
        <w:jc w:val="both"/>
        <w:ind w:right="120" w:firstLine="144"/>
        <w:spacing w:after="0" w:line="244" w:lineRule="auto"/>
        <w:rPr>
          <w:sz w:val="20"/>
          <w:szCs w:val="20"/>
          <w:color w:val="auto"/>
        </w:rPr>
      </w:pPr>
      <w:r>
        <w:rPr>
          <w:rFonts w:ascii="Times New Roman" w:cs="Times New Roman" w:eastAsia="Times New Roman" w:hAnsi="Times New Roman"/>
          <w:sz w:val="22"/>
          <w:szCs w:val="22"/>
          <w:b w:val="1"/>
          <w:bCs w:val="1"/>
          <w:i w:val="1"/>
          <w:iCs w:val="1"/>
          <w:color w:val="auto"/>
        </w:rPr>
        <w:t>Note to ECCN 3A611</w:t>
      </w:r>
      <w:r>
        <w:rPr>
          <w:rFonts w:ascii="Times New Roman" w:cs="Times New Roman" w:eastAsia="Times New Roman" w:hAnsi="Times New Roman"/>
          <w:sz w:val="22"/>
          <w:szCs w:val="22"/>
          <w:i w:val="1"/>
          <w:iCs w:val="1"/>
          <w:color w:val="auto"/>
        </w:rPr>
        <w:t>: When applying the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“specially designed” definition to determine whether a printed circuit board, populated circuit card assembly or multichip module is controlled by paragraph .g, .h, .y.15 or .y.16 of this entry, the layout of the board or assembly and the pattern and layout of the module are the only characteristics that need be evaluated under the “specially designed” definition.</w:t>
      </w:r>
    </w:p>
    <w:p>
      <w:pPr>
        <w:spacing w:after="0" w:line="200" w:lineRule="exact"/>
        <w:rPr>
          <w:sz w:val="20"/>
          <w:szCs w:val="20"/>
          <w:color w:val="auto"/>
        </w:rPr>
      </w:pPr>
    </w:p>
    <w:p>
      <w:pPr>
        <w:spacing w:after="0" w:line="270" w:lineRule="exact"/>
        <w:rPr>
          <w:sz w:val="20"/>
          <w:szCs w:val="20"/>
          <w:color w:val="auto"/>
        </w:rPr>
      </w:pPr>
    </w:p>
    <w:p>
      <w:pPr>
        <w:jc w:val="both"/>
        <w:ind w:right="120"/>
        <w:spacing w:after="0" w:line="257" w:lineRule="auto"/>
        <w:rPr>
          <w:sz w:val="20"/>
          <w:szCs w:val="20"/>
          <w:color w:val="auto"/>
        </w:rPr>
      </w:pPr>
      <w:r>
        <w:rPr>
          <w:rFonts w:ascii="Times New Roman" w:cs="Times New Roman" w:eastAsia="Times New Roman" w:hAnsi="Times New Roman"/>
          <w:sz w:val="22"/>
          <w:szCs w:val="22"/>
          <w:b w:val="1"/>
          <w:bCs w:val="1"/>
          <w:color w:val="auto"/>
        </w:rPr>
        <w:t>3A980 Voice print identification and analysis equipment and “specially designed” “components” therefor, n.e.s.</w:t>
      </w:r>
    </w:p>
    <w:p>
      <w:pPr>
        <w:spacing w:after="0" w:line="19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0"/>
          <w:szCs w:val="20"/>
          <w:color w:val="auto"/>
        </w:rPr>
        <w:t>CC</w:t>
      </w:r>
    </w:p>
    <w:p>
      <w:pPr>
        <w:spacing w:after="0" w:line="248" w:lineRule="exact"/>
        <w:rPr>
          <w:sz w:val="20"/>
          <w:szCs w:val="20"/>
          <w:color w:val="auto"/>
        </w:rPr>
      </w:pPr>
    </w:p>
    <w:tbl>
      <w:tblPr>
        <w:tblLayout w:type="fixed"/>
        <w:tblInd w:w="9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82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See Supp. No. 1</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CC applies to entire entry</w:t>
            </w:r>
          </w:p>
        </w:tc>
        <w:tc>
          <w:tcPr>
            <w:tcW w:w="182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CC Column 1</w:t>
            </w:r>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4" w:lineRule="exact"/>
        <w:rPr>
          <w:sz w:val="20"/>
          <w:szCs w:val="20"/>
          <w:color w:val="auto"/>
        </w:rPr>
      </w:pPr>
    </w:p>
    <w:p>
      <w:pPr>
        <w:jc w:val="both"/>
        <w:ind w:right="120"/>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jc w:val="both"/>
        <w:ind w:right="120"/>
        <w:spacing w:after="0" w:line="271"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237" w:lineRule="exact"/>
        <w:rPr>
          <w:sz w:val="20"/>
          <w:szCs w:val="20"/>
          <w:color w:val="auto"/>
        </w:rPr>
      </w:pPr>
    </w:p>
    <w:p>
      <w:pPr>
        <w:jc w:val="both"/>
        <w:ind w:right="120"/>
        <w:spacing w:after="0" w:line="243" w:lineRule="auto"/>
        <w:rPr>
          <w:sz w:val="20"/>
          <w:szCs w:val="20"/>
          <w:color w:val="auto"/>
        </w:rPr>
      </w:pPr>
      <w:r>
        <w:rPr>
          <w:rFonts w:ascii="Times New Roman" w:cs="Times New Roman" w:eastAsia="Times New Roman" w:hAnsi="Times New Roman"/>
          <w:sz w:val="22"/>
          <w:szCs w:val="22"/>
          <w:b w:val="1"/>
          <w:bCs w:val="1"/>
          <w:color w:val="auto"/>
        </w:rPr>
        <w:t>3A981 Polygraphs (except biomedical recorders designed for use in medical facilities for monitoring biological and neurophysical responses); fingerprint analyzers, cameras and equipment, n.e.s.; automated fingerprint and identification retrieval systems, n.e.s.; psychological stress analysis equipment; electronic monitoring restraint devices; and “specially designed” “components” and “accessories” therefor, n.e.s.</w:t>
      </w:r>
    </w:p>
    <w:p>
      <w:pPr>
        <w:spacing w:after="0" w:line="21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0"/>
          <w:szCs w:val="20"/>
          <w:color w:val="auto"/>
        </w:rPr>
        <w:t>CC</w:t>
      </w:r>
    </w:p>
    <w:p>
      <w:pPr>
        <w:spacing w:after="0" w:line="248" w:lineRule="exact"/>
        <w:rPr>
          <w:sz w:val="20"/>
          <w:szCs w:val="20"/>
          <w:color w:val="auto"/>
        </w:rPr>
      </w:pPr>
    </w:p>
    <w:tbl>
      <w:tblPr>
        <w:tblLayout w:type="fixed"/>
        <w:tblInd w:w="90" w:type="dxa"/>
        <w:tblCellMar>
          <w:top w:w="0" w:type="dxa"/>
          <w:left w:w="0" w:type="dxa"/>
          <w:bottom w:w="0" w:type="dxa"/>
          <w:right w:w="0" w:type="dxa"/>
        </w:tblCellMar>
      </w:tblPr>
      <w:tr>
        <w:trPr>
          <w:trHeight w:val="249"/>
        </w:trPr>
        <w:tc>
          <w:tcPr>
            <w:tcW w:w="2640" w:type="dxa"/>
            <w:vAlign w:val="bottom"/>
            <w:tcBorders>
              <w:top w:val="single" w:sz="8" w:color="auto"/>
              <w:left w:val="single" w:sz="8" w:color="auto"/>
              <w:right w:val="single" w:sz="8" w:color="auto"/>
            </w:tcBorders>
          </w:tcPr>
          <w:p>
            <w:pPr>
              <w:spacing w:after="0"/>
              <w:rPr>
                <w:sz w:val="21"/>
                <w:szCs w:val="21"/>
                <w:color w:val="auto"/>
              </w:rPr>
            </w:pPr>
          </w:p>
        </w:tc>
        <w:tc>
          <w:tcPr>
            <w:tcW w:w="172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640" w:type="dxa"/>
            <w:vAlign w:val="bottom"/>
            <w:tcBorders>
              <w:left w:val="single" w:sz="8" w:color="auto"/>
              <w:right w:val="single" w:sz="8" w:color="auto"/>
            </w:tcBorders>
          </w:tcPr>
          <w:p>
            <w:pPr>
              <w:ind w:left="8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7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72"/>
        </w:trPr>
        <w:tc>
          <w:tcPr>
            <w:tcW w:w="2640" w:type="dxa"/>
            <w:vAlign w:val="bottom"/>
            <w:tcBorders>
              <w:left w:val="single" w:sz="8" w:color="auto"/>
              <w:bottom w:val="single" w:sz="8" w:color="auto"/>
              <w:right w:val="single" w:sz="8" w:color="auto"/>
            </w:tcBorders>
          </w:tcPr>
          <w:p>
            <w:pPr>
              <w:spacing w:after="0"/>
              <w:rPr>
                <w:sz w:val="23"/>
                <w:szCs w:val="23"/>
                <w:color w:val="auto"/>
              </w:rPr>
            </w:pPr>
          </w:p>
        </w:tc>
        <w:tc>
          <w:tcPr>
            <w:tcW w:w="17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3"/>
        </w:trPr>
        <w:tc>
          <w:tcPr>
            <w:tcW w:w="264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CC applies to entire entry</w:t>
            </w:r>
          </w:p>
        </w:tc>
        <w:tc>
          <w:tcPr>
            <w:tcW w:w="172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CC Column 1</w:t>
            </w:r>
          </w:p>
        </w:tc>
      </w:tr>
    </w:tbl>
    <w:p>
      <w:pPr>
        <w:spacing w:after="0" w:line="234" w:lineRule="exact"/>
        <w:rPr>
          <w:sz w:val="20"/>
          <w:szCs w:val="20"/>
          <w:color w:val="auto"/>
        </w:rPr>
      </w:pPr>
    </w:p>
    <w:p>
      <w:pPr>
        <w:ind w:right="120"/>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140"/>
        <w:spacing w:after="0"/>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N/A</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471" w:lineRule="exact"/>
        <w:rPr>
          <w:sz w:val="20"/>
          <w:szCs w:val="20"/>
          <w:color w:val="auto"/>
        </w:rPr>
      </w:pPr>
    </w:p>
    <w:p>
      <w:pPr>
        <w:sectPr>
          <w:pgSz w:w="12240" w:h="15840" w:orient="portrait"/>
          <w:cols w:equalWidth="0" w:num="2">
            <w:col w:w="4440" w:space="600"/>
            <w:col w:w="4440"/>
          </w:cols>
          <w:pgMar w:left="1440" w:top="1062" w:right="1320" w:bottom="892" w:gutter="0" w:footer="0" w:header="0"/>
          <w:type w:val="continuous"/>
        </w:sectPr>
      </w:pPr>
    </w:p>
    <w:p>
      <w:pPr>
        <w:spacing w:after="0" w:line="274"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062" w:right="1320" w:bottom="892" w:gutter="0" w:footer="0" w:header="0"/>
          <w:type w:val="continuous"/>
        </w:sectPr>
      </w:pPr>
    </w:p>
    <w:bookmarkStart w:id="32" w:name="page33"/>
    <w:bookmarkEnd w:id="32"/>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33</w:t>
      </w:r>
    </w:p>
    <w:p>
      <w:pPr>
        <w:sectPr>
          <w:pgSz w:w="12240" w:h="15840" w:orient="portrait"/>
          <w:cols w:equalWidth="0" w:num="1">
            <w:col w:w="9360"/>
          </w:cols>
          <w:pgMar w:left="1440" w:top="1062" w:right="1440" w:bottom="892" w:gutter="0" w:footer="0" w:header="0"/>
        </w:sectPr>
      </w:pPr>
    </w:p>
    <w:p>
      <w:pPr>
        <w:spacing w:after="0" w:line="241" w:lineRule="exact"/>
        <w:rPr>
          <w:sz w:val="20"/>
          <w:szCs w:val="20"/>
          <w:color w:val="auto"/>
        </w:rPr>
      </w:pPr>
    </w:p>
    <w:p>
      <w:pPr>
        <w:ind w:left="180" w:right="120"/>
        <w:spacing w:after="0" w:line="241"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0A982</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 other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types of restraint devices</w:t>
      </w:r>
    </w:p>
    <w:p>
      <w:pPr>
        <w:spacing w:after="0" w:line="1"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ind w:right="120"/>
        <w:spacing w:after="0" w:line="271"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182" w:lineRule="exact"/>
        <w:rPr>
          <w:sz w:val="20"/>
          <w:szCs w:val="20"/>
          <w:color w:val="auto"/>
        </w:rPr>
      </w:pPr>
    </w:p>
    <w:p>
      <w:pPr>
        <w:jc w:val="both"/>
        <w:ind w:right="120" w:firstLine="144"/>
        <w:spacing w:after="0" w:line="24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to ECCN 3A981. </w:t>
      </w:r>
      <w:r>
        <w:rPr>
          <w:rFonts w:ascii="Times New Roman" w:cs="Times New Roman" w:eastAsia="Times New Roman" w:hAnsi="Times New Roman"/>
          <w:sz w:val="22"/>
          <w:szCs w:val="22"/>
          <w:i w:val="1"/>
          <w:iCs w:val="1"/>
          <w:color w:val="auto"/>
        </w:rPr>
        <w:t>In this ECCN,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electronic monitoring restraint devices are devices used to record or report the location of confined persons for law enforcement or penal reasons. The term does not include devices that confine memory impaired patents to appropriate medical facilities.</w:t>
      </w:r>
    </w:p>
    <w:p>
      <w:pPr>
        <w:spacing w:after="0" w:line="200" w:lineRule="exact"/>
        <w:rPr>
          <w:sz w:val="20"/>
          <w:szCs w:val="20"/>
          <w:color w:val="auto"/>
        </w:rPr>
      </w:pPr>
    </w:p>
    <w:p>
      <w:pPr>
        <w:spacing w:after="0" w:line="264" w:lineRule="exact"/>
        <w:rPr>
          <w:sz w:val="20"/>
          <w:szCs w:val="20"/>
          <w:color w:val="auto"/>
        </w:rPr>
      </w:pPr>
    </w:p>
    <w:p>
      <w:pPr>
        <w:jc w:val="both"/>
        <w:ind w:right="120"/>
        <w:spacing w:after="0" w:line="273" w:lineRule="auto"/>
        <w:rPr>
          <w:sz w:val="20"/>
          <w:szCs w:val="20"/>
          <w:color w:val="auto"/>
        </w:rPr>
      </w:pPr>
      <w:r>
        <w:rPr>
          <w:rFonts w:ascii="Times New Roman" w:cs="Times New Roman" w:eastAsia="Times New Roman" w:hAnsi="Times New Roman"/>
          <w:sz w:val="22"/>
          <w:szCs w:val="22"/>
          <w:b w:val="1"/>
          <w:bCs w:val="1"/>
          <w:color w:val="auto"/>
        </w:rPr>
        <w:t>3A991 Electronic devices, and “components” not controlled by 3A001.</w:t>
      </w:r>
    </w:p>
    <w:p>
      <w:pPr>
        <w:spacing w:after="0" w:line="18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sz w:val="20"/>
          <w:szCs w:val="20"/>
          <w:color w:val="auto"/>
        </w:rPr>
        <w:tab/>
      </w:r>
      <w:r>
        <w:rPr>
          <w:rFonts w:ascii="Times New Roman" w:cs="Times New Roman" w:eastAsia="Times New Roman" w:hAnsi="Times New Roman"/>
          <w:sz w:val="22"/>
          <w:szCs w:val="22"/>
          <w:color w:val="auto"/>
        </w:rPr>
        <w:t>AT</w:t>
      </w:r>
    </w:p>
    <w:p>
      <w:pPr>
        <w:spacing w:after="0" w:line="248" w:lineRule="exact"/>
        <w:rPr>
          <w:sz w:val="20"/>
          <w:szCs w:val="20"/>
          <w:color w:val="auto"/>
        </w:rPr>
      </w:pPr>
    </w:p>
    <w:tbl>
      <w:tblPr>
        <w:tblLayout w:type="fixed"/>
        <w:tblInd w:w="9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82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2"/>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See Supp. No. 1</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4"/>
        </w:trPr>
        <w:tc>
          <w:tcPr>
            <w:tcW w:w="254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1820" w:type="dxa"/>
            <w:vAlign w:val="bottom"/>
            <w:tcBorders>
              <w:bottom w:val="single" w:sz="8" w:color="auto"/>
              <w:right w:val="single" w:sz="8" w:color="auto"/>
            </w:tcBorders>
          </w:tcPr>
          <w:p>
            <w:pPr>
              <w:ind w:left="10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2" w:lineRule="exact"/>
        <w:rPr>
          <w:sz w:val="20"/>
          <w:szCs w:val="20"/>
          <w:color w:val="auto"/>
        </w:rPr>
      </w:pPr>
    </w:p>
    <w:p>
      <w:pPr>
        <w:jc w:val="both"/>
        <w:ind w:right="120"/>
        <w:spacing w:after="0" w:line="244" w:lineRule="auto"/>
        <w:rPr>
          <w:sz w:val="20"/>
          <w:szCs w:val="20"/>
          <w:color w:val="auto"/>
        </w:rPr>
      </w:pPr>
      <w:r>
        <w:rPr>
          <w:rFonts w:ascii="Times New Roman" w:cs="Times New Roman" w:eastAsia="Times New Roman" w:hAnsi="Times New Roman"/>
          <w:sz w:val="22"/>
          <w:szCs w:val="22"/>
          <w:b w:val="1"/>
          <w:bCs w:val="1"/>
          <w:i w:val="1"/>
          <w:iCs w:val="1"/>
          <w:color w:val="auto"/>
        </w:rPr>
        <w:t>License Requirements Note</w:t>
      </w:r>
      <w:r>
        <w:rPr>
          <w:rFonts w:ascii="Times New Roman" w:cs="Times New Roman" w:eastAsia="Times New Roman" w:hAnsi="Times New Roman"/>
          <w:sz w:val="22"/>
          <w:szCs w:val="22"/>
          <w:i w:val="1"/>
          <w:iCs w:val="1"/>
          <w:color w:val="auto"/>
        </w:rPr>
        <w:t>: See § 744.17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the EAR for additional license requirements for microprocessors having a processing speed of 5 GFLOPS or more and an arithmetic logic unit with an access width of 32 bit or more, including those incorporating “information security” functionality, and associated “software” and “technology” for the “production” or “development” of such microprocessors.</w:t>
      </w:r>
    </w:p>
    <w:p>
      <w:pPr>
        <w:spacing w:after="0" w:line="217" w:lineRule="exact"/>
        <w:rPr>
          <w:sz w:val="20"/>
          <w:szCs w:val="20"/>
          <w:color w:val="auto"/>
        </w:rPr>
      </w:pPr>
    </w:p>
    <w:p>
      <w:pPr>
        <w:jc w:val="both"/>
        <w:ind w:right="120"/>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0" w:lineRule="exact"/>
        <w:rPr>
          <w:sz w:val="20"/>
          <w:szCs w:val="20"/>
          <w:color w:val="auto"/>
        </w:rPr>
      </w:pPr>
      <w:r>
        <w:rPr>
          <w:sz w:val="20"/>
          <w:szCs w:val="20"/>
          <w:color w:val="auto"/>
        </w:rPr>
        <w:br w:type="column"/>
      </w:r>
    </w:p>
    <w:p>
      <w:pPr>
        <w:spacing w:after="0" w:line="221"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spacing w:after="0"/>
        <w:tabs>
          <w:tab w:leader="none" w:pos="820" w:val="left"/>
          <w:tab w:leader="none" w:pos="2980" w:val="left"/>
        </w:tabs>
        <w:rPr>
          <w:sz w:val="20"/>
          <w:szCs w:val="20"/>
          <w:color w:val="auto"/>
        </w:rPr>
      </w:pPr>
      <w:r>
        <w:rPr>
          <w:rFonts w:ascii="Times New Roman" w:cs="Times New Roman" w:eastAsia="Times New Roman" w:hAnsi="Times New Roman"/>
          <w:sz w:val="22"/>
          <w:szCs w:val="22"/>
          <w:color w:val="auto"/>
        </w:rPr>
        <w:t>a.</w:t>
      </w:r>
      <w:r>
        <w:rPr>
          <w:sz w:val="20"/>
          <w:szCs w:val="20"/>
          <w:color w:val="auto"/>
        </w:rPr>
        <w:tab/>
      </w:r>
      <w:r>
        <w:rPr>
          <w:rFonts w:ascii="Times New Roman" w:cs="Times New Roman" w:eastAsia="Times New Roman" w:hAnsi="Times New Roman"/>
          <w:sz w:val="22"/>
          <w:szCs w:val="22"/>
          <w:color w:val="auto"/>
        </w:rPr>
        <w:t>“Microprocessor</w:t>
      </w:r>
      <w:r>
        <w:rPr>
          <w:sz w:val="20"/>
          <w:szCs w:val="20"/>
          <w:color w:val="auto"/>
        </w:rPr>
        <w:tab/>
      </w:r>
      <w:r>
        <w:rPr>
          <w:rFonts w:ascii="Times New Roman" w:cs="Times New Roman" w:eastAsia="Times New Roman" w:hAnsi="Times New Roman"/>
          <w:sz w:val="22"/>
          <w:szCs w:val="22"/>
          <w:color w:val="auto"/>
        </w:rPr>
        <w:t>microcircuits”,</w:t>
      </w:r>
    </w:p>
    <w:p>
      <w:pPr>
        <w:spacing w:after="0"/>
        <w:tabs>
          <w:tab w:leader="none" w:pos="2040" w:val="left"/>
          <w:tab w:leader="none" w:pos="3980" w:val="left"/>
        </w:tabs>
        <w:rPr>
          <w:sz w:val="20"/>
          <w:szCs w:val="20"/>
          <w:color w:val="auto"/>
        </w:rPr>
      </w:pPr>
      <w:r>
        <w:rPr>
          <w:rFonts w:ascii="Times New Roman" w:cs="Times New Roman" w:eastAsia="Times New Roman" w:hAnsi="Times New Roman"/>
          <w:sz w:val="22"/>
          <w:szCs w:val="22"/>
          <w:color w:val="auto"/>
        </w:rPr>
        <w:t>“microcomputer</w:t>
      </w:r>
      <w:r>
        <w:rPr>
          <w:sz w:val="20"/>
          <w:szCs w:val="20"/>
          <w:color w:val="auto"/>
        </w:rPr>
        <w:tab/>
      </w:r>
      <w:r>
        <w:rPr>
          <w:rFonts w:ascii="Times New Roman" w:cs="Times New Roman" w:eastAsia="Times New Roman" w:hAnsi="Times New Roman"/>
          <w:sz w:val="22"/>
          <w:szCs w:val="22"/>
          <w:color w:val="auto"/>
        </w:rPr>
        <w:t>microcircuits”,</w:t>
      </w:r>
      <w:r>
        <w:rPr>
          <w:sz w:val="20"/>
          <w:szCs w:val="20"/>
          <w:color w:val="auto"/>
        </w:rPr>
        <w:tab/>
      </w:r>
      <w:r>
        <w:rPr>
          <w:rFonts w:ascii="Times New Roman" w:cs="Times New Roman" w:eastAsia="Times New Roman" w:hAnsi="Times New Roman"/>
          <w:sz w:val="22"/>
          <w:szCs w:val="22"/>
          <w:color w:val="auto"/>
        </w:rPr>
        <w:t>and</w:t>
      </w:r>
    </w:p>
    <w:p>
      <w:pPr>
        <w:jc w:val="both"/>
        <w:spacing w:after="0" w:line="271" w:lineRule="auto"/>
        <w:rPr>
          <w:sz w:val="20"/>
          <w:szCs w:val="20"/>
          <w:color w:val="auto"/>
        </w:rPr>
      </w:pPr>
      <w:r>
        <w:rPr>
          <w:rFonts w:ascii="Times New Roman" w:cs="Times New Roman" w:eastAsia="Times New Roman" w:hAnsi="Times New Roman"/>
          <w:sz w:val="22"/>
          <w:szCs w:val="22"/>
          <w:color w:val="auto"/>
        </w:rPr>
        <w:t>microcontroller microcircuits having any of the following:</w:t>
      </w:r>
    </w:p>
    <w:p>
      <w:pPr>
        <w:spacing w:after="0" w:line="187"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a.1. A performance speed of 5 GFLOPS or more and an arithmetic logic unit with an access width of 32 bit or more;</w:t>
      </w:r>
    </w:p>
    <w:p>
      <w:pPr>
        <w:spacing w:after="0" w:line="205" w:lineRule="exact"/>
        <w:rPr>
          <w:sz w:val="20"/>
          <w:szCs w:val="20"/>
          <w:color w:val="auto"/>
        </w:rPr>
      </w:pPr>
    </w:p>
    <w:p>
      <w:pPr>
        <w:jc w:val="both"/>
        <w:ind w:firstLine="144"/>
        <w:spacing w:after="0" w:line="272" w:lineRule="auto"/>
        <w:rPr>
          <w:sz w:val="20"/>
          <w:szCs w:val="20"/>
          <w:color w:val="auto"/>
        </w:rPr>
      </w:pPr>
      <w:r>
        <w:rPr>
          <w:rFonts w:ascii="Times New Roman" w:cs="Times New Roman" w:eastAsia="Times New Roman" w:hAnsi="Times New Roman"/>
          <w:sz w:val="22"/>
          <w:szCs w:val="22"/>
          <w:color w:val="auto"/>
        </w:rPr>
        <w:t xml:space="preserve">a.2. A clock frequency rate exceeding 25 MHz; </w:t>
      </w:r>
      <w:r>
        <w:rPr>
          <w:rFonts w:ascii="Times New Roman" w:cs="Times New Roman" w:eastAsia="Times New Roman" w:hAnsi="Times New Roman"/>
          <w:sz w:val="22"/>
          <w:szCs w:val="22"/>
          <w:i w:val="1"/>
          <w:iCs w:val="1"/>
          <w:color w:val="auto"/>
        </w:rPr>
        <w:t>or</w:t>
      </w:r>
    </w:p>
    <w:p>
      <w:pPr>
        <w:spacing w:after="0" w:line="186" w:lineRule="exact"/>
        <w:rPr>
          <w:sz w:val="20"/>
          <w:szCs w:val="20"/>
          <w:color w:val="auto"/>
        </w:rPr>
      </w:pPr>
    </w:p>
    <w:p>
      <w:pPr>
        <w:jc w:val="both"/>
        <w:ind w:firstLine="144"/>
        <w:spacing w:after="0" w:line="247" w:lineRule="auto"/>
        <w:rPr>
          <w:sz w:val="20"/>
          <w:szCs w:val="20"/>
          <w:color w:val="auto"/>
        </w:rPr>
      </w:pPr>
      <w:r>
        <w:rPr>
          <w:rFonts w:ascii="Times New Roman" w:cs="Times New Roman" w:eastAsia="Times New Roman" w:hAnsi="Times New Roman"/>
          <w:sz w:val="22"/>
          <w:szCs w:val="22"/>
          <w:color w:val="auto"/>
        </w:rPr>
        <w:t>a.3. More than one data or instruction bus or serial communication port that provides a direct external interconnection between parallel “microprocessor microcircuits” with a transfer rate of 2.5 Mbyte/s.</w:t>
      </w:r>
    </w:p>
    <w:p>
      <w:pPr>
        <w:spacing w:after="0" w:line="21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 Storage integrated circuits, as follows:</w:t>
      </w:r>
    </w:p>
    <w:p>
      <w:pPr>
        <w:spacing w:after="0" w:line="252"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b.1. Electrical erasable programmable read-only memories (EEPROMs) with a storage capacity;</w:t>
      </w:r>
    </w:p>
    <w:p>
      <w:pPr>
        <w:spacing w:after="0" w:line="206" w:lineRule="exact"/>
        <w:rPr>
          <w:sz w:val="20"/>
          <w:szCs w:val="20"/>
          <w:color w:val="auto"/>
        </w:rPr>
      </w:pPr>
    </w:p>
    <w:p>
      <w:pPr>
        <w:jc w:val="both"/>
        <w:ind w:firstLine="288"/>
        <w:spacing w:after="0" w:line="270" w:lineRule="auto"/>
        <w:rPr>
          <w:sz w:val="20"/>
          <w:szCs w:val="20"/>
          <w:color w:val="auto"/>
        </w:rPr>
      </w:pPr>
      <w:r>
        <w:rPr>
          <w:rFonts w:ascii="Times New Roman" w:cs="Times New Roman" w:eastAsia="Times New Roman" w:hAnsi="Times New Roman"/>
          <w:sz w:val="22"/>
          <w:szCs w:val="22"/>
          <w:color w:val="auto"/>
        </w:rPr>
        <w:t xml:space="preserve">b.1.a. Exceeding 16 Mbits per package for flash memory types; </w:t>
      </w:r>
      <w:r>
        <w:rPr>
          <w:rFonts w:ascii="Times New Roman" w:cs="Times New Roman" w:eastAsia="Times New Roman" w:hAnsi="Times New Roman"/>
          <w:sz w:val="22"/>
          <w:szCs w:val="22"/>
          <w:i w:val="1"/>
          <w:iCs w:val="1"/>
          <w:color w:val="auto"/>
        </w:rPr>
        <w:t>or</w:t>
      </w:r>
    </w:p>
    <w:p>
      <w:pPr>
        <w:spacing w:after="0" w:line="189"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b.1.b. Exceeding either of the following limits for all other EEPROM types:</w:t>
      </w:r>
    </w:p>
    <w:p>
      <w:pPr>
        <w:spacing w:after="0" w:line="184" w:lineRule="exact"/>
        <w:rPr>
          <w:sz w:val="20"/>
          <w:szCs w:val="20"/>
          <w:color w:val="auto"/>
        </w:rPr>
      </w:pPr>
    </w:p>
    <w:p>
      <w:pPr>
        <w:ind w:left="440"/>
        <w:spacing w:after="0"/>
        <w:rPr>
          <w:sz w:val="20"/>
          <w:szCs w:val="20"/>
          <w:color w:val="auto"/>
        </w:rPr>
      </w:pPr>
      <w:r>
        <w:rPr>
          <w:rFonts w:ascii="Times New Roman" w:cs="Times New Roman" w:eastAsia="Times New Roman" w:hAnsi="Times New Roman"/>
          <w:sz w:val="22"/>
          <w:szCs w:val="22"/>
          <w:color w:val="auto"/>
        </w:rPr>
        <w:t xml:space="preserve">b.1.b.1. Exceeding 1 Mbit per package; </w:t>
      </w:r>
      <w:r>
        <w:rPr>
          <w:rFonts w:ascii="Times New Roman" w:cs="Times New Roman" w:eastAsia="Times New Roman" w:hAnsi="Times New Roman"/>
          <w:sz w:val="22"/>
          <w:szCs w:val="22"/>
          <w:i w:val="1"/>
          <w:iCs w:val="1"/>
          <w:color w:val="auto"/>
        </w:rPr>
        <w:t>or</w:t>
      </w:r>
    </w:p>
    <w:p>
      <w:pPr>
        <w:spacing w:after="0" w:line="256"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b.1.b.2. Exceeding 256 kbit per package and a maximum access time of less than 80 ns;</w:t>
      </w:r>
    </w:p>
    <w:p>
      <w:pPr>
        <w:spacing w:after="0" w:line="187"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b.2. Static random access memories (SRAMs)</w:t>
      </w:r>
    </w:p>
    <w:p>
      <w:pPr>
        <w:spacing w:after="0"/>
        <w:rPr>
          <w:sz w:val="20"/>
          <w:szCs w:val="20"/>
          <w:color w:val="auto"/>
        </w:rPr>
      </w:pPr>
      <w:r>
        <w:rPr>
          <w:rFonts w:ascii="Times New Roman" w:cs="Times New Roman" w:eastAsia="Times New Roman" w:hAnsi="Times New Roman"/>
          <w:sz w:val="22"/>
          <w:szCs w:val="22"/>
          <w:color w:val="auto"/>
        </w:rPr>
        <w:t>with a storage capacity:</w:t>
      </w:r>
    </w:p>
    <w:p>
      <w:pPr>
        <w:spacing w:after="0" w:line="249"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color w:val="auto"/>
        </w:rPr>
        <w:t xml:space="preserve">b.2.a. Exceeding 1 Mbit per package; </w:t>
      </w:r>
      <w:r>
        <w:rPr>
          <w:rFonts w:ascii="Times New Roman" w:cs="Times New Roman" w:eastAsia="Times New Roman" w:hAnsi="Times New Roman"/>
          <w:sz w:val="22"/>
          <w:szCs w:val="22"/>
          <w:i w:val="1"/>
          <w:iCs w:val="1"/>
          <w:color w:val="auto"/>
        </w:rPr>
        <w:t>or</w:t>
      </w:r>
    </w:p>
    <w:p>
      <w:pPr>
        <w:spacing w:after="0" w:line="257"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b.2.b. Exceeding 256 kbit per package and a maximum access time of less than 25 ns;</w:t>
      </w:r>
    </w:p>
    <w:p>
      <w:pPr>
        <w:spacing w:after="0" w:line="18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c. Analog-to-digital converters having any of the</w:t>
      </w:r>
    </w:p>
    <w:p>
      <w:pPr>
        <w:spacing w:after="0" w:line="200" w:lineRule="exact"/>
        <w:rPr>
          <w:sz w:val="20"/>
          <w:szCs w:val="20"/>
          <w:color w:val="auto"/>
        </w:rPr>
      </w:pPr>
    </w:p>
    <w:p>
      <w:pPr>
        <w:sectPr>
          <w:pgSz w:w="12240" w:h="15840" w:orient="portrait"/>
          <w:cols w:equalWidth="0" w:num="2">
            <w:col w:w="4440" w:space="600"/>
            <w:col w:w="4320"/>
          </w:cols>
          <w:pgMar w:left="1440" w:top="1062" w:right="1440" w:bottom="892" w:gutter="0" w:footer="0" w:header="0"/>
          <w:type w:val="continuous"/>
        </w:sectPr>
      </w:pPr>
    </w:p>
    <w:p>
      <w:pPr>
        <w:spacing w:after="0" w:line="320"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33" w:name="page34"/>
    <w:bookmarkEnd w:id="33"/>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34</w:t>
      </w:r>
    </w:p>
    <w:p>
      <w:pPr>
        <w:sectPr>
          <w:pgSz w:w="12240" w:h="15840" w:orient="portrait"/>
          <w:cols w:equalWidth="0" w:num="1">
            <w:col w:w="9360"/>
          </w:cols>
          <w:pgMar w:left="1440" w:top="1062" w:right="1440" w:bottom="892" w:gutter="0" w:footer="0" w:header="0"/>
        </w:sectPr>
      </w:pPr>
    </w:p>
    <w:p>
      <w:pPr>
        <w:spacing w:after="0" w:line="24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following:</w:t>
      </w:r>
    </w:p>
    <w:p>
      <w:pPr>
        <w:spacing w:after="0" w:line="252"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c.1. A resolution of 8 bit or more, but less than 12 bit, with an output rate greater than 200 million words per second;</w:t>
      </w:r>
    </w:p>
    <w:p>
      <w:pPr>
        <w:spacing w:after="0" w:line="206"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c.2. A resolution of 12 bit with an output rate greater than 105 million words per second;</w:t>
      </w:r>
    </w:p>
    <w:p>
      <w:pPr>
        <w:spacing w:after="0" w:line="187"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 xml:space="preserve">c.3. A resolution of more than 12 bit but equal to or less than 14 bit with an output rate greater than 10 million words per second; </w:t>
      </w:r>
      <w:r>
        <w:rPr>
          <w:rFonts w:ascii="Times New Roman" w:cs="Times New Roman" w:eastAsia="Times New Roman" w:hAnsi="Times New Roman"/>
          <w:sz w:val="22"/>
          <w:szCs w:val="22"/>
          <w:i w:val="1"/>
          <w:iCs w:val="1"/>
          <w:color w:val="auto"/>
        </w:rPr>
        <w:t>or</w:t>
      </w:r>
    </w:p>
    <w:p>
      <w:pPr>
        <w:spacing w:after="0" w:line="205"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c.4. A resolution of more than 14 bit with an output rate greater than 2.5 million words per second.</w:t>
      </w:r>
    </w:p>
    <w:p>
      <w:pPr>
        <w:spacing w:after="0" w:line="206" w:lineRule="exact"/>
        <w:rPr>
          <w:sz w:val="20"/>
          <w:szCs w:val="20"/>
          <w:color w:val="auto"/>
        </w:rPr>
      </w:pPr>
    </w:p>
    <w:p>
      <w:pPr>
        <w:jc w:val="both"/>
        <w:spacing w:after="0" w:line="255" w:lineRule="auto"/>
        <w:rPr>
          <w:sz w:val="20"/>
          <w:szCs w:val="20"/>
          <w:color w:val="auto"/>
        </w:rPr>
      </w:pPr>
      <w:r>
        <w:rPr>
          <w:rFonts w:ascii="Times New Roman" w:cs="Times New Roman" w:eastAsia="Times New Roman" w:hAnsi="Times New Roman"/>
          <w:sz w:val="22"/>
          <w:szCs w:val="22"/>
          <w:color w:val="auto"/>
        </w:rPr>
        <w:t>d. Field programmable logic devices having a maximum number of single-ended digital input/outputs between 200 and 700;</w:t>
      </w:r>
    </w:p>
    <w:p>
      <w:pPr>
        <w:spacing w:after="0" w:line="205" w:lineRule="exact"/>
        <w:rPr>
          <w:sz w:val="20"/>
          <w:szCs w:val="20"/>
          <w:color w:val="auto"/>
        </w:rPr>
      </w:pPr>
    </w:p>
    <w:p>
      <w:pPr>
        <w:jc w:val="both"/>
        <w:spacing w:after="0" w:line="255" w:lineRule="auto"/>
        <w:rPr>
          <w:sz w:val="20"/>
          <w:szCs w:val="20"/>
          <w:color w:val="auto"/>
        </w:rPr>
      </w:pPr>
      <w:r>
        <w:rPr>
          <w:rFonts w:ascii="Times New Roman" w:cs="Times New Roman" w:eastAsia="Times New Roman" w:hAnsi="Times New Roman"/>
          <w:sz w:val="22"/>
          <w:szCs w:val="22"/>
          <w:color w:val="auto"/>
        </w:rPr>
        <w:t>e. Fast Fourier Transform (FFT) processors having a rated execution time for a 1,024 point complex FFT of less than 1 ms.</w:t>
      </w:r>
    </w:p>
    <w:p>
      <w:pPr>
        <w:spacing w:after="0" w:line="205"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2"/>
          <w:szCs w:val="22"/>
          <w:color w:val="auto"/>
        </w:rPr>
        <w:t>f. Custom integrated circuits for which either the function is unknown, or the control status of the equipment in which the integrated circuits will be used is unknown to the manufacturer, having any of the following:</w:t>
      </w:r>
    </w:p>
    <w:p>
      <w:pPr>
        <w:spacing w:after="0" w:line="21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 xml:space="preserve">f.1. More than 144 terminals; </w:t>
      </w:r>
      <w:r>
        <w:rPr>
          <w:rFonts w:ascii="Times New Roman" w:cs="Times New Roman" w:eastAsia="Times New Roman" w:hAnsi="Times New Roman"/>
          <w:sz w:val="22"/>
          <w:szCs w:val="22"/>
          <w:i w:val="1"/>
          <w:iCs w:val="1"/>
          <w:color w:val="auto"/>
        </w:rPr>
        <w:t>or</w:t>
      </w:r>
    </w:p>
    <w:p>
      <w:pPr>
        <w:spacing w:after="0" w:line="257"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f.2. A typical “basic propagation delay time” of less than 0.4 ns.</w:t>
      </w:r>
    </w:p>
    <w:p>
      <w:pPr>
        <w:spacing w:after="0" w:line="187"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g. Traveling-wave ‘vacuum electronic devices,’ pulsed or continuous wave, as follows:</w:t>
      </w:r>
    </w:p>
    <w:p>
      <w:pPr>
        <w:spacing w:after="0" w:line="188" w:lineRule="exact"/>
        <w:rPr>
          <w:sz w:val="20"/>
          <w:szCs w:val="20"/>
          <w:color w:val="auto"/>
        </w:rPr>
      </w:pPr>
    </w:p>
    <w:p>
      <w:pPr>
        <w:jc w:val="both"/>
        <w:ind w:firstLine="144"/>
        <w:spacing w:after="0" w:line="270" w:lineRule="auto"/>
        <w:rPr>
          <w:sz w:val="20"/>
          <w:szCs w:val="20"/>
          <w:color w:val="auto"/>
        </w:rPr>
      </w:pPr>
      <w:r>
        <w:rPr>
          <w:rFonts w:ascii="Times New Roman" w:cs="Times New Roman" w:eastAsia="Times New Roman" w:hAnsi="Times New Roman"/>
          <w:sz w:val="22"/>
          <w:szCs w:val="22"/>
          <w:color w:val="auto"/>
        </w:rPr>
        <w:t>g.1. Coupled cavity devices, or derivatives thereof;</w:t>
      </w:r>
    </w:p>
    <w:p>
      <w:pPr>
        <w:spacing w:after="0" w:line="189"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 xml:space="preserve">g.2. Helix devices based on helix, folded waveguide, or serpentine waveguide circuits, </w:t>
      </w:r>
      <w:r>
        <w:rPr>
          <w:rFonts w:ascii="Times New Roman" w:cs="Times New Roman" w:eastAsia="Times New Roman" w:hAnsi="Times New Roman"/>
          <w:sz w:val="22"/>
          <w:szCs w:val="22"/>
          <w:i w:val="1"/>
          <w:iCs w:val="1"/>
          <w:color w:val="auto"/>
        </w:rPr>
        <w:t>or</w:t>
      </w:r>
      <w:r>
        <w:rPr>
          <w:rFonts w:ascii="Times New Roman" w:cs="Times New Roman" w:eastAsia="Times New Roman" w:hAnsi="Times New Roman"/>
          <w:sz w:val="22"/>
          <w:szCs w:val="22"/>
          <w:color w:val="auto"/>
        </w:rPr>
        <w:t xml:space="preserve"> derivatives thereof, with any of the following:</w:t>
      </w:r>
    </w:p>
    <w:p>
      <w:pPr>
        <w:spacing w:after="0" w:line="205"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 xml:space="preserve">g.2.a. An “instantaneous bandwidth” of half an octave or more; </w:t>
      </w:r>
      <w:r>
        <w:rPr>
          <w:rFonts w:ascii="Times New Roman" w:cs="Times New Roman" w:eastAsia="Times New Roman" w:hAnsi="Times New Roman"/>
          <w:sz w:val="22"/>
          <w:szCs w:val="22"/>
          <w:i w:val="1"/>
          <w:iCs w:val="1"/>
          <w:color w:val="auto"/>
        </w:rPr>
        <w:t>and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8" w:lineRule="exact"/>
        <w:rPr>
          <w:sz w:val="20"/>
          <w:szCs w:val="20"/>
          <w:color w:val="auto"/>
        </w:rPr>
      </w:pPr>
    </w:p>
    <w:p>
      <w:pPr>
        <w:jc w:val="both"/>
        <w:ind w:firstLine="288"/>
        <w:spacing w:after="0" w:line="250" w:lineRule="auto"/>
        <w:rPr>
          <w:sz w:val="20"/>
          <w:szCs w:val="20"/>
          <w:color w:val="auto"/>
        </w:rPr>
      </w:pPr>
      <w:r>
        <w:rPr>
          <w:rFonts w:ascii="Times New Roman" w:cs="Times New Roman" w:eastAsia="Times New Roman" w:hAnsi="Times New Roman"/>
          <w:sz w:val="22"/>
          <w:szCs w:val="22"/>
          <w:color w:val="auto"/>
        </w:rPr>
        <w:t>g.2.b. The product of the rated average output power (expressed in kW) and the maximum operating frequency (expressed in GHz) of more than 0.2;</w:t>
      </w:r>
    </w:p>
    <w:p>
      <w:pPr>
        <w:spacing w:after="0" w:line="211"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 xml:space="preserve">g.2.c. An “instantaneous bandwidth” of less than half an octave; </w:t>
      </w:r>
      <w:r>
        <w:rPr>
          <w:rFonts w:ascii="Times New Roman" w:cs="Times New Roman" w:eastAsia="Times New Roman" w:hAnsi="Times New Roman"/>
          <w:sz w:val="22"/>
          <w:szCs w:val="22"/>
          <w:i w:val="1"/>
          <w:iCs w:val="1"/>
          <w:color w:val="auto"/>
        </w:rPr>
        <w:t>and</w:t>
      </w:r>
    </w:p>
    <w:p>
      <w:pPr>
        <w:spacing w:after="0" w:line="187" w:lineRule="exact"/>
        <w:rPr>
          <w:sz w:val="20"/>
          <w:szCs w:val="20"/>
          <w:color w:val="auto"/>
        </w:rPr>
      </w:pPr>
    </w:p>
    <w:p>
      <w:pPr>
        <w:jc w:val="both"/>
        <w:ind w:firstLine="288"/>
        <w:spacing w:after="0" w:line="250" w:lineRule="auto"/>
        <w:rPr>
          <w:sz w:val="20"/>
          <w:szCs w:val="20"/>
          <w:color w:val="auto"/>
        </w:rPr>
      </w:pPr>
      <w:r>
        <w:rPr>
          <w:rFonts w:ascii="Times New Roman" w:cs="Times New Roman" w:eastAsia="Times New Roman" w:hAnsi="Times New Roman"/>
          <w:sz w:val="22"/>
          <w:szCs w:val="22"/>
          <w:color w:val="auto"/>
        </w:rPr>
        <w:t>g.2.d. The product of the rated average output power (expressed in kW) and the maximum operating frequency (expressed in GHz) of more than 0.4;</w:t>
      </w:r>
    </w:p>
    <w:p>
      <w:pPr>
        <w:spacing w:after="0" w:line="211"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h. Flexible waveguides designed for use at frequencies exceeding 40 GHz;</w:t>
      </w:r>
    </w:p>
    <w:p>
      <w:pPr>
        <w:spacing w:after="0" w:line="188"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2"/>
          <w:szCs w:val="22"/>
          <w:color w:val="auto"/>
        </w:rPr>
        <w:t>i. Surface acoustic wave and surface skimming (shallow bulk) acoustic wave devices (i.e., “signal processing” devices employing elastic waves in materials), having either of the following:</w:t>
      </w:r>
    </w:p>
    <w:p>
      <w:pPr>
        <w:spacing w:after="0" w:line="21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 xml:space="preserve">i.1. A carrier frequency exceeding 1 GHz; </w:t>
      </w:r>
      <w:r>
        <w:rPr>
          <w:rFonts w:ascii="Times New Roman" w:cs="Times New Roman" w:eastAsia="Times New Roman" w:hAnsi="Times New Roman"/>
          <w:sz w:val="22"/>
          <w:szCs w:val="22"/>
          <w:i w:val="1"/>
          <w:iCs w:val="1"/>
          <w:color w:val="auto"/>
        </w:rPr>
        <w:t>or</w:t>
      </w:r>
    </w:p>
    <w:p>
      <w:pPr>
        <w:spacing w:after="0" w:line="25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 xml:space="preserve">i.2. A carrier frequency of 1 GHz or less; </w:t>
      </w:r>
      <w:r>
        <w:rPr>
          <w:rFonts w:ascii="Times New Roman" w:cs="Times New Roman" w:eastAsia="Times New Roman" w:hAnsi="Times New Roman"/>
          <w:sz w:val="22"/>
          <w:szCs w:val="22"/>
          <w:i w:val="1"/>
          <w:iCs w:val="1"/>
          <w:color w:val="auto"/>
        </w:rPr>
        <w:t>and</w:t>
      </w:r>
    </w:p>
    <w:p>
      <w:pPr>
        <w:spacing w:after="0" w:line="257"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i.2.a. A frequency side-lobe rejection exceeding 55 Db;</w:t>
      </w:r>
    </w:p>
    <w:p>
      <w:pPr>
        <w:spacing w:after="0" w:line="187"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 xml:space="preserve">i.2.b. A product of the maximum delay time and bandwidth (time in microseconds and bandwidth in MHz) of more than 100; </w:t>
      </w:r>
      <w:r>
        <w:rPr>
          <w:rFonts w:ascii="Times New Roman" w:cs="Times New Roman" w:eastAsia="Times New Roman" w:hAnsi="Times New Roman"/>
          <w:sz w:val="22"/>
          <w:szCs w:val="22"/>
          <w:i w:val="1"/>
          <w:iCs w:val="1"/>
          <w:color w:val="auto"/>
        </w:rPr>
        <w:t>or</w:t>
      </w:r>
    </w:p>
    <w:p>
      <w:pPr>
        <w:spacing w:after="0" w:line="206" w:lineRule="exact"/>
        <w:rPr>
          <w:sz w:val="20"/>
          <w:szCs w:val="20"/>
          <w:color w:val="auto"/>
        </w:rPr>
      </w:pPr>
    </w:p>
    <w:p>
      <w:pPr>
        <w:jc w:val="both"/>
        <w:ind w:firstLine="288"/>
        <w:spacing w:after="0" w:line="270" w:lineRule="auto"/>
        <w:rPr>
          <w:sz w:val="20"/>
          <w:szCs w:val="20"/>
          <w:color w:val="auto"/>
        </w:rPr>
      </w:pPr>
      <w:r>
        <w:rPr>
          <w:rFonts w:ascii="Times New Roman" w:cs="Times New Roman" w:eastAsia="Times New Roman" w:hAnsi="Times New Roman"/>
          <w:sz w:val="22"/>
          <w:szCs w:val="22"/>
          <w:color w:val="auto"/>
        </w:rPr>
        <w:t>i.2.c. A dispersive delay of more than 10 microseconds.</w:t>
      </w:r>
    </w:p>
    <w:p>
      <w:pPr>
        <w:spacing w:after="0" w:line="18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j. Cells as follows:</w:t>
      </w:r>
    </w:p>
    <w:p>
      <w:pPr>
        <w:spacing w:after="0" w:line="253" w:lineRule="exact"/>
        <w:rPr>
          <w:sz w:val="20"/>
          <w:szCs w:val="20"/>
          <w:color w:val="auto"/>
        </w:rPr>
      </w:pPr>
    </w:p>
    <w:p>
      <w:pPr>
        <w:jc w:val="both"/>
        <w:ind w:firstLine="144"/>
        <w:spacing w:after="0" w:line="270" w:lineRule="auto"/>
        <w:rPr>
          <w:sz w:val="20"/>
          <w:szCs w:val="20"/>
          <w:color w:val="auto"/>
        </w:rPr>
      </w:pPr>
      <w:r>
        <w:rPr>
          <w:rFonts w:ascii="Times New Roman" w:cs="Times New Roman" w:eastAsia="Times New Roman" w:hAnsi="Times New Roman"/>
          <w:sz w:val="22"/>
          <w:szCs w:val="22"/>
          <w:color w:val="auto"/>
        </w:rPr>
        <w:t>j.1. Primary cells having an energy density of 550 Wh/kg or less at 293 K (20ºC);</w:t>
      </w:r>
    </w:p>
    <w:p>
      <w:pPr>
        <w:spacing w:after="0" w:line="189"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j.2. Secondary cells having an energy density of 350 Wh/kg or less at 293 K (20ºC).</w:t>
      </w:r>
    </w:p>
    <w:p>
      <w:pPr>
        <w:spacing w:after="0" w:line="183" w:lineRule="exact"/>
        <w:rPr>
          <w:sz w:val="20"/>
          <w:szCs w:val="20"/>
          <w:color w:val="auto"/>
        </w:rPr>
      </w:pPr>
    </w:p>
    <w:p>
      <w:pPr>
        <w:jc w:val="both"/>
        <w:ind w:firstLine="144"/>
        <w:spacing w:after="0" w:line="275"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3A991.j does not control batteries,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including single cell batteries.</w:t>
      </w:r>
    </w:p>
    <w:p>
      <w:pPr>
        <w:spacing w:after="0" w:line="448"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254"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34" w:name="page35"/>
    <w:bookmarkEnd w:id="34"/>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35</w:t>
      </w:r>
    </w:p>
    <w:p>
      <w:pPr>
        <w:sectPr>
          <w:pgSz w:w="12240" w:h="15840" w:orient="portrait"/>
          <w:cols w:equalWidth="0" w:num="1">
            <w:col w:w="9480"/>
          </w:cols>
          <w:pgMar w:left="1440" w:top="1062" w:right="1320" w:bottom="892" w:gutter="0" w:footer="0" w:header="0"/>
        </w:sectPr>
      </w:pPr>
    </w:p>
    <w:p>
      <w:pPr>
        <w:spacing w:after="0" w:line="240"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b w:val="1"/>
          <w:bCs w:val="1"/>
          <w:color w:val="auto"/>
        </w:rPr>
        <w:t>s:</w:t>
      </w:r>
    </w:p>
    <w:p>
      <w:pPr>
        <w:spacing w:after="0" w:line="254" w:lineRule="exact"/>
        <w:rPr>
          <w:sz w:val="20"/>
          <w:szCs w:val="20"/>
          <w:color w:val="auto"/>
        </w:rPr>
      </w:pPr>
    </w:p>
    <w:p>
      <w:pPr>
        <w:jc w:val="both"/>
        <w:ind w:firstLine="144"/>
        <w:spacing w:after="0" w:line="244" w:lineRule="auto"/>
        <w:tabs>
          <w:tab w:leader="none" w:pos="432" w:val="left"/>
        </w:tabs>
        <w:numPr>
          <w:ilvl w:val="1"/>
          <w:numId w:val="58"/>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For the purpose of 3A991.j energy density (Wh/kg) is calculated from the nominal voltage multiplied by the nominal capacity in ampere-hours divided by the mass in kilograms. If the nominal capacity is not stated, energy density is calculated from the nominal voltage squared then multiplied by the discharge duration in hours divided by the discharge load in Ohms and the mass in kilograms.</w:t>
      </w:r>
    </w:p>
    <w:p>
      <w:pPr>
        <w:spacing w:after="0" w:line="216" w:lineRule="exact"/>
        <w:rPr>
          <w:rFonts w:ascii="Times New Roman" w:cs="Times New Roman" w:eastAsia="Times New Roman" w:hAnsi="Times New Roman"/>
          <w:sz w:val="22"/>
          <w:szCs w:val="22"/>
          <w:b w:val="1"/>
          <w:bCs w:val="1"/>
          <w:i w:val="1"/>
          <w:iCs w:val="1"/>
          <w:color w:val="auto"/>
        </w:rPr>
      </w:pPr>
    </w:p>
    <w:p>
      <w:pPr>
        <w:jc w:val="both"/>
        <w:ind w:firstLine="144"/>
        <w:spacing w:after="0" w:line="248" w:lineRule="auto"/>
        <w:tabs>
          <w:tab w:leader="none" w:pos="432" w:val="left"/>
        </w:tabs>
        <w:numPr>
          <w:ilvl w:val="1"/>
          <w:numId w:val="58"/>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For the purpose of 3A991.j, a ‘cell’ is defined as an electrochemical device, which has positive and negative electrodes, and electrolyte, and is a source of electrical energy. It is the basic building block of a battery.</w:t>
      </w:r>
    </w:p>
    <w:p>
      <w:pPr>
        <w:spacing w:after="0" w:line="209" w:lineRule="exact"/>
        <w:rPr>
          <w:rFonts w:ascii="Times New Roman" w:cs="Times New Roman" w:eastAsia="Times New Roman" w:hAnsi="Times New Roman"/>
          <w:sz w:val="22"/>
          <w:szCs w:val="22"/>
          <w:b w:val="1"/>
          <w:bCs w:val="1"/>
          <w:i w:val="1"/>
          <w:iCs w:val="1"/>
          <w:color w:val="auto"/>
        </w:rPr>
      </w:pPr>
    </w:p>
    <w:p>
      <w:pPr>
        <w:jc w:val="both"/>
        <w:ind w:firstLine="144"/>
        <w:spacing w:after="0" w:line="257" w:lineRule="auto"/>
        <w:tabs>
          <w:tab w:leader="none" w:pos="432" w:val="left"/>
        </w:tabs>
        <w:numPr>
          <w:ilvl w:val="1"/>
          <w:numId w:val="58"/>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For the purpose of 3A991.j.1, a ‘primary cell’ is a ‘cell’ that is not designed to be charged by any other source.</w:t>
      </w:r>
    </w:p>
    <w:p>
      <w:pPr>
        <w:spacing w:after="0" w:line="200" w:lineRule="exact"/>
        <w:rPr>
          <w:rFonts w:ascii="Times New Roman" w:cs="Times New Roman" w:eastAsia="Times New Roman" w:hAnsi="Times New Roman"/>
          <w:sz w:val="22"/>
          <w:szCs w:val="22"/>
          <w:b w:val="1"/>
          <w:bCs w:val="1"/>
          <w:i w:val="1"/>
          <w:iCs w:val="1"/>
          <w:color w:val="auto"/>
        </w:rPr>
      </w:pPr>
    </w:p>
    <w:p>
      <w:pPr>
        <w:jc w:val="both"/>
        <w:ind w:firstLine="144"/>
        <w:spacing w:after="0" w:line="257" w:lineRule="auto"/>
        <w:tabs>
          <w:tab w:leader="none" w:pos="432" w:val="left"/>
        </w:tabs>
        <w:numPr>
          <w:ilvl w:val="1"/>
          <w:numId w:val="58"/>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For the purpose of 3A991.j.2, a ‘secondary cell’ is a ‘cell’ that is designed to be charged by an external electrical source.</w:t>
      </w:r>
    </w:p>
    <w:p>
      <w:pPr>
        <w:spacing w:after="0" w:line="201" w:lineRule="exact"/>
        <w:rPr>
          <w:rFonts w:ascii="Times New Roman" w:cs="Times New Roman" w:eastAsia="Times New Roman" w:hAnsi="Times New Roman"/>
          <w:sz w:val="22"/>
          <w:szCs w:val="22"/>
          <w:b w:val="1"/>
          <w:bCs w:val="1"/>
          <w:i w:val="1"/>
          <w:iCs w:val="1"/>
          <w:color w:val="auto"/>
        </w:rPr>
      </w:pPr>
    </w:p>
    <w:p>
      <w:pPr>
        <w:jc w:val="both"/>
        <w:spacing w:after="0" w:line="250" w:lineRule="auto"/>
        <w:tabs>
          <w:tab w:leader="none" w:pos="488" w:val="left"/>
        </w:tabs>
        <w:numPr>
          <w:ilvl w:val="0"/>
          <w:numId w:val="5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“Superconductive” electromagnets or solenoids “specially designed” to be fully charged or discharged in less than one minute, having all of the following:</w:t>
      </w:r>
    </w:p>
    <w:p>
      <w:pPr>
        <w:spacing w:after="0" w:line="206" w:lineRule="exact"/>
        <w:rPr>
          <w:sz w:val="20"/>
          <w:szCs w:val="20"/>
          <w:color w:val="auto"/>
        </w:rPr>
      </w:pPr>
    </w:p>
    <w:p>
      <w:pPr>
        <w:jc w:val="both"/>
        <w:ind w:firstLine="144"/>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3A991.k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“superconductive” electromagnets or solenoids designed for Magnetic Resonance Imaging (MRI) medical equipment.</w:t>
      </w:r>
    </w:p>
    <w:p>
      <w:pPr>
        <w:spacing w:after="0" w:line="207"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k.1. Maximum energy delivered during the discharge divided by the duration of the discharge of more than 500 kJ per minute;</w:t>
      </w:r>
    </w:p>
    <w:p>
      <w:pPr>
        <w:spacing w:after="0" w:line="205"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 xml:space="preserve">k.2. Inner diameter of the current carrying windings of more than 250 mm; </w:t>
      </w:r>
      <w:r>
        <w:rPr>
          <w:rFonts w:ascii="Times New Roman" w:cs="Times New Roman" w:eastAsia="Times New Roman" w:hAnsi="Times New Roman"/>
          <w:sz w:val="22"/>
          <w:szCs w:val="22"/>
          <w:i w:val="1"/>
          <w:iCs w:val="1"/>
          <w:color w:val="auto"/>
        </w:rPr>
        <w:t>and</w:t>
      </w:r>
    </w:p>
    <w:p>
      <w:pPr>
        <w:spacing w:after="0" w:line="188" w:lineRule="exact"/>
        <w:rPr>
          <w:sz w:val="20"/>
          <w:szCs w:val="20"/>
          <w:color w:val="auto"/>
        </w:rPr>
      </w:pPr>
    </w:p>
    <w:p>
      <w:pPr>
        <w:jc w:val="both"/>
        <w:ind w:firstLine="144"/>
        <w:spacing w:after="0" w:line="265" w:lineRule="auto"/>
        <w:rPr>
          <w:sz w:val="20"/>
          <w:szCs w:val="20"/>
          <w:color w:val="auto"/>
        </w:rPr>
      </w:pPr>
      <w:r>
        <w:rPr>
          <w:rFonts w:ascii="Times New Roman" w:cs="Times New Roman" w:eastAsia="Times New Roman" w:hAnsi="Times New Roman"/>
          <w:sz w:val="22"/>
          <w:szCs w:val="22"/>
          <w:color w:val="auto"/>
        </w:rPr>
        <w:t>k.3. Rated for a magnetic induction of more than 8T or “overall current density” in the winding of more than 300 A/mm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w:t>
      </w:r>
    </w:p>
    <w:p>
      <w:pPr>
        <w:spacing w:after="0" w:line="9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l. Circuits or systems for electromagnetic energy</w:t>
      </w:r>
    </w:p>
    <w:p>
      <w:pPr>
        <w:spacing w:after="0" w:line="20" w:lineRule="exact"/>
        <w:rPr>
          <w:sz w:val="20"/>
          <w:szCs w:val="20"/>
          <w:color w:val="auto"/>
        </w:rPr>
      </w:pPr>
      <w:r>
        <w:rPr>
          <w:sz w:val="20"/>
          <w:szCs w:val="20"/>
          <w:color w:val="auto"/>
        </w:rPr>
        <w:br w:type="column"/>
      </w:r>
    </w:p>
    <w:p>
      <w:pPr>
        <w:spacing w:after="0" w:line="225" w:lineRule="exact"/>
        <w:rPr>
          <w:sz w:val="20"/>
          <w:szCs w:val="20"/>
          <w:color w:val="auto"/>
        </w:rPr>
      </w:pPr>
    </w:p>
    <w:p>
      <w:pPr>
        <w:jc w:val="both"/>
        <w:ind w:right="120"/>
        <w:spacing w:after="0" w:line="246" w:lineRule="auto"/>
        <w:rPr>
          <w:sz w:val="20"/>
          <w:szCs w:val="20"/>
          <w:color w:val="auto"/>
        </w:rPr>
      </w:pPr>
      <w:r>
        <w:rPr>
          <w:rFonts w:ascii="Times New Roman" w:cs="Times New Roman" w:eastAsia="Times New Roman" w:hAnsi="Times New Roman"/>
          <w:sz w:val="22"/>
          <w:szCs w:val="22"/>
          <w:color w:val="auto"/>
        </w:rPr>
        <w:t>storage, containing “components” manufactured from “superconductive” materials “specially designed” for operation at temperatures below the “critical temperature” of at least one of their “superconductive” constituents, having all of the following:</w:t>
      </w:r>
    </w:p>
    <w:p>
      <w:pPr>
        <w:spacing w:after="0" w:line="215" w:lineRule="exact"/>
        <w:rPr>
          <w:sz w:val="20"/>
          <w:szCs w:val="20"/>
          <w:color w:val="auto"/>
        </w:rPr>
      </w:pPr>
    </w:p>
    <w:p>
      <w:pPr>
        <w:ind w:right="120" w:firstLine="144"/>
        <w:spacing w:after="0" w:line="270" w:lineRule="auto"/>
        <w:rPr>
          <w:sz w:val="20"/>
          <w:szCs w:val="20"/>
          <w:color w:val="auto"/>
        </w:rPr>
      </w:pPr>
      <w:r>
        <w:rPr>
          <w:rFonts w:ascii="Times New Roman" w:cs="Times New Roman" w:eastAsia="Times New Roman" w:hAnsi="Times New Roman"/>
          <w:sz w:val="22"/>
          <w:szCs w:val="22"/>
          <w:color w:val="auto"/>
        </w:rPr>
        <w:t>l.1. Resonant operating frequencies exceeding 1 MHz;</w:t>
      </w:r>
    </w:p>
    <w:p>
      <w:pPr>
        <w:spacing w:after="0" w:line="178" w:lineRule="exact"/>
        <w:rPr>
          <w:sz w:val="20"/>
          <w:szCs w:val="20"/>
          <w:color w:val="auto"/>
        </w:rPr>
      </w:pPr>
    </w:p>
    <w:p>
      <w:pPr>
        <w:jc w:val="both"/>
        <w:ind w:right="120" w:firstLine="144"/>
        <w:spacing w:after="0" w:line="229" w:lineRule="auto"/>
        <w:rPr>
          <w:sz w:val="20"/>
          <w:szCs w:val="20"/>
          <w:color w:val="auto"/>
        </w:rPr>
      </w:pPr>
      <w:r>
        <w:rPr>
          <w:rFonts w:ascii="Times New Roman" w:cs="Times New Roman" w:eastAsia="Times New Roman" w:hAnsi="Times New Roman"/>
          <w:sz w:val="22"/>
          <w:szCs w:val="22"/>
          <w:color w:val="auto"/>
        </w:rPr>
        <w:t>l.2. A stored energy density of 1 MJ/M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or more; </w:t>
      </w:r>
      <w:r>
        <w:rPr>
          <w:rFonts w:ascii="Times New Roman" w:cs="Times New Roman" w:eastAsia="Times New Roman" w:hAnsi="Times New Roman"/>
          <w:sz w:val="22"/>
          <w:szCs w:val="22"/>
          <w:i w:val="1"/>
          <w:iCs w:val="1"/>
          <w:color w:val="auto"/>
        </w:rPr>
        <w:t>and</w:t>
      </w:r>
    </w:p>
    <w:p>
      <w:pPr>
        <w:spacing w:after="0" w:line="221" w:lineRule="exact"/>
        <w:rPr>
          <w:sz w:val="20"/>
          <w:szCs w:val="20"/>
          <w:color w:val="auto"/>
        </w:rPr>
      </w:pPr>
    </w:p>
    <w:p>
      <w:pPr>
        <w:jc w:val="center"/>
        <w:ind w:right="720"/>
        <w:spacing w:after="0"/>
        <w:rPr>
          <w:sz w:val="20"/>
          <w:szCs w:val="20"/>
          <w:color w:val="auto"/>
        </w:rPr>
      </w:pPr>
      <w:r>
        <w:rPr>
          <w:rFonts w:ascii="Times New Roman" w:cs="Times New Roman" w:eastAsia="Times New Roman" w:hAnsi="Times New Roman"/>
          <w:sz w:val="22"/>
          <w:szCs w:val="22"/>
          <w:color w:val="auto"/>
        </w:rPr>
        <w:t>l.3. A discharge time of less than 1 ms;</w:t>
      </w:r>
    </w:p>
    <w:p>
      <w:pPr>
        <w:spacing w:after="0" w:line="253" w:lineRule="exact"/>
        <w:rPr>
          <w:sz w:val="20"/>
          <w:szCs w:val="20"/>
          <w:color w:val="auto"/>
        </w:rPr>
      </w:pPr>
    </w:p>
    <w:p>
      <w:pPr>
        <w:jc w:val="both"/>
        <w:ind w:right="120"/>
        <w:spacing w:after="0" w:line="255" w:lineRule="auto"/>
        <w:tabs>
          <w:tab w:leader="none" w:pos="404" w:val="left"/>
        </w:tabs>
        <w:numPr>
          <w:ilvl w:val="0"/>
          <w:numId w:val="6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Hydrogen/hydrogen-isotope thyratrons of ceramic-metal construction and rate for a peak current of 500 A or more;</w:t>
      </w:r>
    </w:p>
    <w:p>
      <w:pPr>
        <w:spacing w:after="0" w:line="205" w:lineRule="exact"/>
        <w:rPr>
          <w:rFonts w:ascii="Times New Roman" w:cs="Times New Roman" w:eastAsia="Times New Roman" w:hAnsi="Times New Roman"/>
          <w:sz w:val="22"/>
          <w:szCs w:val="22"/>
          <w:color w:val="auto"/>
        </w:rPr>
      </w:pPr>
    </w:p>
    <w:p>
      <w:pPr>
        <w:jc w:val="both"/>
        <w:ind w:right="120"/>
        <w:spacing w:after="0" w:line="255" w:lineRule="auto"/>
        <w:tabs>
          <w:tab w:leader="none" w:pos="328" w:val="left"/>
        </w:tabs>
        <w:numPr>
          <w:ilvl w:val="0"/>
          <w:numId w:val="6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Digital integrated circuits based on any compound semiconductor having an equivalent gate count of more than 300 (2 input gates).</w:t>
      </w:r>
    </w:p>
    <w:p>
      <w:pPr>
        <w:spacing w:after="0" w:line="206" w:lineRule="exact"/>
        <w:rPr>
          <w:rFonts w:ascii="Times New Roman" w:cs="Times New Roman" w:eastAsia="Times New Roman" w:hAnsi="Times New Roman"/>
          <w:sz w:val="22"/>
          <w:szCs w:val="22"/>
          <w:color w:val="auto"/>
        </w:rPr>
      </w:pPr>
    </w:p>
    <w:p>
      <w:pPr>
        <w:jc w:val="both"/>
        <w:ind w:right="120"/>
        <w:spacing w:after="0" w:line="250" w:lineRule="auto"/>
        <w:tabs>
          <w:tab w:leader="none" w:pos="225" w:val="left"/>
        </w:tabs>
        <w:numPr>
          <w:ilvl w:val="0"/>
          <w:numId w:val="6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Solar cells, cell-interconnect-coverglass (CIC) assemblies, solar panels, and solar arrays, which are “space qualified” and not controlled by 3A001.e.4.</w:t>
      </w:r>
    </w:p>
    <w:p>
      <w:pPr>
        <w:spacing w:after="0" w:line="200" w:lineRule="exact"/>
        <w:rPr>
          <w:sz w:val="20"/>
          <w:szCs w:val="20"/>
          <w:color w:val="auto"/>
        </w:rPr>
      </w:pPr>
    </w:p>
    <w:p>
      <w:pPr>
        <w:spacing w:after="0" w:line="260" w:lineRule="exact"/>
        <w:rPr>
          <w:sz w:val="20"/>
          <w:szCs w:val="20"/>
          <w:color w:val="auto"/>
        </w:rPr>
      </w:pPr>
    </w:p>
    <w:p>
      <w:pPr>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3A992 General purpose electronic equipment not controlled by 3A002.</w:t>
      </w:r>
    </w:p>
    <w:p>
      <w:pPr>
        <w:spacing w:after="0" w:line="18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sz w:val="20"/>
          <w:szCs w:val="20"/>
          <w:color w:val="auto"/>
        </w:rPr>
        <w:tab/>
      </w:r>
      <w:r>
        <w:rPr>
          <w:rFonts w:ascii="Times New Roman" w:cs="Times New Roman" w:eastAsia="Times New Roman" w:hAnsi="Times New Roman"/>
          <w:sz w:val="22"/>
          <w:szCs w:val="22"/>
          <w:color w:val="auto"/>
        </w:rPr>
        <w:t>AT</w:t>
      </w:r>
    </w:p>
    <w:p>
      <w:pPr>
        <w:spacing w:after="0" w:line="248" w:lineRule="exact"/>
        <w:rPr>
          <w:sz w:val="20"/>
          <w:szCs w:val="20"/>
          <w:color w:val="auto"/>
        </w:rPr>
      </w:pPr>
    </w:p>
    <w:tbl>
      <w:tblPr>
        <w:tblLayout w:type="fixed"/>
        <w:tblInd w:w="90" w:type="dxa"/>
        <w:tblCellMar>
          <w:top w:w="0" w:type="dxa"/>
          <w:left w:w="0" w:type="dxa"/>
          <w:bottom w:w="0" w:type="dxa"/>
          <w:right w:w="0" w:type="dxa"/>
        </w:tblCellMar>
      </w:tblPr>
      <w:tr>
        <w:trPr>
          <w:trHeight w:val="248"/>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820" w:type="dxa"/>
            <w:vAlign w:val="bottom"/>
            <w:tcBorders>
              <w:top w:val="single" w:sz="8" w:color="auto"/>
              <w:right w:val="single" w:sz="8" w:color="auto"/>
            </w:tcBorders>
          </w:tcPr>
          <w:p>
            <w:pPr>
              <w:jc w:val="center"/>
              <w:spacing w:after="0" w:line="248"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See Supp. No. 1</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4"/>
        </w:trPr>
        <w:tc>
          <w:tcPr>
            <w:tcW w:w="254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1820" w:type="dxa"/>
            <w:vAlign w:val="bottom"/>
            <w:tcBorders>
              <w:bottom w:val="single" w:sz="8" w:color="auto"/>
              <w:right w:val="single" w:sz="8" w:color="auto"/>
            </w:tcBorders>
          </w:tcPr>
          <w:p>
            <w:pPr>
              <w:ind w:left="10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2" w:lineRule="exact"/>
        <w:rPr>
          <w:sz w:val="20"/>
          <w:szCs w:val="20"/>
          <w:color w:val="auto"/>
        </w:rPr>
      </w:pPr>
    </w:p>
    <w:p>
      <w:pPr>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spacing w:after="0" w:line="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423" w:lineRule="exact"/>
        <w:rPr>
          <w:sz w:val="20"/>
          <w:szCs w:val="20"/>
          <w:color w:val="auto"/>
        </w:rPr>
      </w:pPr>
    </w:p>
    <w:p>
      <w:pPr>
        <w:sectPr>
          <w:pgSz w:w="12240" w:h="15840" w:orient="portrait"/>
          <w:cols w:equalWidth="0" w:num="2">
            <w:col w:w="4320" w:space="720"/>
            <w:col w:w="4440"/>
          </w:cols>
          <w:pgMar w:left="1440" w:top="1062" w:right="1320" w:bottom="892" w:gutter="0" w:footer="0" w:header="0"/>
          <w:type w:val="continuous"/>
        </w:sectPr>
      </w:pPr>
    </w:p>
    <w:p>
      <w:pPr>
        <w:spacing w:after="0" w:line="319"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062" w:right="1320" w:bottom="892" w:gutter="0" w:footer="0" w:header="0"/>
          <w:type w:val="continuous"/>
        </w:sectPr>
      </w:pPr>
    </w:p>
    <w:bookmarkStart w:id="35" w:name="page36"/>
    <w:bookmarkEnd w:id="35"/>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36</w:t>
      </w:r>
    </w:p>
    <w:p>
      <w:pPr>
        <w:sectPr>
          <w:pgSz w:w="12240" w:h="15840" w:orient="portrait"/>
          <w:cols w:equalWidth="0" w:num="1">
            <w:col w:w="9480"/>
          </w:cols>
          <w:pgMar w:left="1440" w:top="1062" w:right="1320" w:bottom="892" w:gutter="0" w:footer="0" w:header="0"/>
        </w:sectPr>
      </w:pPr>
    </w:p>
    <w:p>
      <w:pPr>
        <w:spacing w:after="0" w:line="24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a. Electronic test equipment, n.e.s.</w:t>
      </w:r>
    </w:p>
    <w:p>
      <w:pPr>
        <w:spacing w:after="0" w:line="252" w:lineRule="exact"/>
        <w:rPr>
          <w:sz w:val="20"/>
          <w:szCs w:val="20"/>
          <w:color w:val="auto"/>
        </w:rPr>
      </w:pPr>
    </w:p>
    <w:p>
      <w:pPr>
        <w:jc w:val="both"/>
        <w:spacing w:after="0" w:line="255" w:lineRule="auto"/>
        <w:rPr>
          <w:sz w:val="20"/>
          <w:szCs w:val="20"/>
          <w:color w:val="auto"/>
        </w:rPr>
      </w:pPr>
      <w:r>
        <w:rPr>
          <w:rFonts w:ascii="Times New Roman" w:cs="Times New Roman" w:eastAsia="Times New Roman" w:hAnsi="Times New Roman"/>
          <w:sz w:val="22"/>
          <w:szCs w:val="22"/>
          <w:color w:val="auto"/>
        </w:rPr>
        <w:t>b. Digital instrumentation magnetic tape data recorders having any of the following characteristics;</w:t>
      </w:r>
    </w:p>
    <w:p>
      <w:pPr>
        <w:spacing w:after="0" w:line="206"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b.1. A maximum digital interface transfer rate exceeding 60 Mbit/s and employing helical scan techniques;</w:t>
      </w:r>
    </w:p>
    <w:p>
      <w:pPr>
        <w:spacing w:after="0" w:line="205"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 xml:space="preserve">b.2. A maximum digital interface transfer rate exceeding 120 Mbit/s and employing fixed head techniques; </w:t>
      </w:r>
      <w:r>
        <w:rPr>
          <w:rFonts w:ascii="Times New Roman" w:cs="Times New Roman" w:eastAsia="Times New Roman" w:hAnsi="Times New Roman"/>
          <w:sz w:val="22"/>
          <w:szCs w:val="22"/>
          <w:i w:val="1"/>
          <w:iCs w:val="1"/>
          <w:color w:val="auto"/>
        </w:rPr>
        <w:t>or</w:t>
      </w:r>
    </w:p>
    <w:p>
      <w:pPr>
        <w:spacing w:after="0" w:line="205"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b.3. “Space qualified”;</w:t>
      </w:r>
    </w:p>
    <w:p>
      <w:pPr>
        <w:spacing w:after="0" w:line="253" w:lineRule="exact"/>
        <w:rPr>
          <w:sz w:val="20"/>
          <w:szCs w:val="20"/>
          <w:color w:val="auto"/>
        </w:rPr>
      </w:pPr>
    </w:p>
    <w:p>
      <w:pPr>
        <w:jc w:val="both"/>
        <w:spacing w:after="0" w:line="250" w:lineRule="auto"/>
        <w:rPr>
          <w:sz w:val="20"/>
          <w:szCs w:val="20"/>
          <w:color w:val="auto"/>
        </w:rPr>
      </w:pPr>
      <w:r>
        <w:rPr>
          <w:rFonts w:ascii="Times New Roman" w:cs="Times New Roman" w:eastAsia="Times New Roman" w:hAnsi="Times New Roman"/>
          <w:sz w:val="22"/>
          <w:szCs w:val="22"/>
          <w:color w:val="auto"/>
        </w:rPr>
        <w:t>c. Equipment, with a maximum digital interface transfer rate exceeding 60 Mbit/s, designed to convert digital video magnetic tape recorders for use as digital instrumentation data recorders;</w:t>
      </w:r>
    </w:p>
    <w:p>
      <w:pPr>
        <w:spacing w:after="0" w:line="211" w:lineRule="exact"/>
        <w:rPr>
          <w:sz w:val="20"/>
          <w:szCs w:val="20"/>
          <w:color w:val="auto"/>
        </w:rPr>
      </w:pPr>
    </w:p>
    <w:p>
      <w:pPr>
        <w:spacing w:after="0" w:line="271" w:lineRule="auto"/>
        <w:tabs>
          <w:tab w:leader="none" w:pos="268" w:val="left"/>
        </w:tabs>
        <w:numPr>
          <w:ilvl w:val="0"/>
          <w:numId w:val="6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Non-modular analog oscilloscopes having a bandwidth of 1 GHz or greater;</w:t>
      </w:r>
    </w:p>
    <w:p>
      <w:pPr>
        <w:spacing w:after="0" w:line="187" w:lineRule="exact"/>
        <w:rPr>
          <w:rFonts w:ascii="Times New Roman" w:cs="Times New Roman" w:eastAsia="Times New Roman" w:hAnsi="Times New Roman"/>
          <w:sz w:val="22"/>
          <w:szCs w:val="22"/>
          <w:color w:val="auto"/>
        </w:rPr>
      </w:pPr>
    </w:p>
    <w:p>
      <w:pPr>
        <w:spacing w:after="0" w:line="271" w:lineRule="auto"/>
        <w:tabs>
          <w:tab w:leader="none" w:pos="241" w:val="left"/>
        </w:tabs>
        <w:numPr>
          <w:ilvl w:val="0"/>
          <w:numId w:val="6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Modular analog oscilloscope systems having either of the following characteristics:</w:t>
      </w:r>
    </w:p>
    <w:p>
      <w:pPr>
        <w:spacing w:after="0" w:line="188"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 xml:space="preserve">e.1. A mainframe with a bandwidth of 1 GHz or greater;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e.2. Plug-in modules with an individual bandwidth of 4 GHz or greater;</w:t>
      </w:r>
    </w:p>
    <w:p>
      <w:pPr>
        <w:spacing w:after="0" w:line="188" w:lineRule="exact"/>
        <w:rPr>
          <w:sz w:val="20"/>
          <w:szCs w:val="20"/>
          <w:color w:val="auto"/>
        </w:rPr>
      </w:pPr>
    </w:p>
    <w:p>
      <w:pPr>
        <w:jc w:val="both"/>
        <w:spacing w:after="0" w:line="255" w:lineRule="auto"/>
        <w:rPr>
          <w:sz w:val="20"/>
          <w:szCs w:val="20"/>
          <w:color w:val="auto"/>
        </w:rPr>
      </w:pPr>
      <w:r>
        <w:rPr>
          <w:rFonts w:ascii="Times New Roman" w:cs="Times New Roman" w:eastAsia="Times New Roman" w:hAnsi="Times New Roman"/>
          <w:sz w:val="22"/>
          <w:szCs w:val="22"/>
          <w:color w:val="auto"/>
        </w:rPr>
        <w:t>f. Analog sampling oscilloscopes for the analysis of recurring phenomena with an effective bandwidth greater than 4 GHz;</w:t>
      </w:r>
    </w:p>
    <w:p>
      <w:pPr>
        <w:spacing w:after="0" w:line="205"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2"/>
          <w:szCs w:val="22"/>
          <w:color w:val="auto"/>
        </w:rPr>
        <w:t>g. Digital oscilloscopes and transient recorders, using analog-to-digital conversion techniques, capable of storing transients by sequentially sampling single-shot inputs at successive intervals of less than 1 ns (greater than 1 giga-</w:t>
      </w:r>
    </w:p>
    <w:p>
      <w:pPr>
        <w:spacing w:after="0" w:line="20" w:lineRule="exact"/>
        <w:rPr>
          <w:sz w:val="20"/>
          <w:szCs w:val="20"/>
          <w:color w:val="auto"/>
        </w:rPr>
      </w:pPr>
      <w:r>
        <w:rPr>
          <w:sz w:val="20"/>
          <w:szCs w:val="20"/>
          <w:color w:val="auto"/>
        </w:rPr>
        <w:br w:type="column"/>
      </w:r>
    </w:p>
    <w:p>
      <w:pPr>
        <w:spacing w:after="0" w:line="224" w:lineRule="exact"/>
        <w:rPr>
          <w:sz w:val="20"/>
          <w:szCs w:val="20"/>
          <w:color w:val="auto"/>
        </w:rPr>
      </w:pPr>
    </w:p>
    <w:p>
      <w:pPr>
        <w:ind w:right="120"/>
        <w:spacing w:after="0" w:line="295" w:lineRule="auto"/>
        <w:rPr>
          <w:sz w:val="20"/>
          <w:szCs w:val="20"/>
          <w:color w:val="auto"/>
        </w:rPr>
      </w:pPr>
      <w:r>
        <w:rPr>
          <w:rFonts w:ascii="Times New Roman" w:cs="Times New Roman" w:eastAsia="Times New Roman" w:hAnsi="Times New Roman"/>
          <w:sz w:val="21"/>
          <w:szCs w:val="21"/>
          <w:color w:val="auto"/>
        </w:rPr>
        <w:t>sample per second), digitizing to 8 bits or greater resolution and storing 256 or more samples.</w:t>
      </w:r>
    </w:p>
    <w:p>
      <w:pPr>
        <w:spacing w:after="0" w:line="162" w:lineRule="exact"/>
        <w:rPr>
          <w:sz w:val="20"/>
          <w:szCs w:val="20"/>
          <w:color w:val="auto"/>
        </w:rPr>
      </w:pPr>
    </w:p>
    <w:p>
      <w:pPr>
        <w:ind w:left="140"/>
        <w:spacing w:after="0"/>
        <w:tabs>
          <w:tab w:leader="none" w:pos="800" w:val="left"/>
          <w:tab w:leader="none" w:pos="1360" w:val="left"/>
          <w:tab w:leader="none" w:pos="2120" w:val="left"/>
          <w:tab w:leader="none" w:pos="3020" w:val="left"/>
          <w:tab w:leader="none" w:pos="3460" w:val="left"/>
        </w:tabs>
        <w:rPr>
          <w:sz w:val="20"/>
          <w:szCs w:val="20"/>
          <w:color w:val="auto"/>
        </w:rPr>
      </w:pPr>
      <w:r>
        <w:rPr>
          <w:rFonts w:ascii="Times New Roman" w:cs="Times New Roman" w:eastAsia="Times New Roman" w:hAnsi="Times New Roman"/>
          <w:sz w:val="22"/>
          <w:szCs w:val="22"/>
          <w:i w:val="1"/>
          <w:iCs w:val="1"/>
          <w:color w:val="auto"/>
        </w:rPr>
        <w:t>Note:</w:t>
        <w:tab/>
        <w:t>This</w:t>
        <w:tab/>
        <w:t>ECCN</w:t>
        <w:tab/>
        <w:t>controls</w:t>
        <w:tab/>
        <w:t>the</w:t>
        <w:tab/>
        <w:t>following</w:t>
      </w:r>
    </w:p>
    <w:p>
      <w:pPr>
        <w:spacing w:after="0" w:line="4" w:lineRule="exact"/>
        <w:rPr>
          <w:sz w:val="20"/>
          <w:szCs w:val="20"/>
          <w:color w:val="auto"/>
        </w:rPr>
      </w:pPr>
    </w:p>
    <w:p>
      <w:pPr>
        <w:ind w:right="120"/>
        <w:spacing w:after="0"/>
        <w:rPr>
          <w:sz w:val="20"/>
          <w:szCs w:val="20"/>
          <w:color w:val="auto"/>
        </w:rPr>
      </w:pPr>
      <w:r>
        <w:rPr>
          <w:rFonts w:ascii="Times New Roman" w:cs="Times New Roman" w:eastAsia="Times New Roman" w:hAnsi="Times New Roman"/>
          <w:sz w:val="22"/>
          <w:szCs w:val="22"/>
          <w:i w:val="1"/>
          <w:iCs w:val="1"/>
          <w:color w:val="auto"/>
        </w:rPr>
        <w:t>“specially designed” “parts” and “components” for analog oscilloscopes:</w:t>
      </w:r>
    </w:p>
    <w:p>
      <w:pPr>
        <w:ind w:left="500" w:hanging="212"/>
        <w:spacing w:after="0"/>
        <w:tabs>
          <w:tab w:leader="none" w:pos="500" w:val="left"/>
        </w:tabs>
        <w:numPr>
          <w:ilvl w:val="0"/>
          <w:numId w:val="6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Plug-in units;</w:t>
      </w:r>
    </w:p>
    <w:p>
      <w:pPr>
        <w:ind w:left="500" w:hanging="212"/>
        <w:spacing w:after="0"/>
        <w:tabs>
          <w:tab w:leader="none" w:pos="500" w:val="left"/>
        </w:tabs>
        <w:numPr>
          <w:ilvl w:val="0"/>
          <w:numId w:val="6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External amplifiers;</w:t>
      </w:r>
    </w:p>
    <w:p>
      <w:pPr>
        <w:ind w:left="500" w:hanging="212"/>
        <w:spacing w:after="0"/>
        <w:tabs>
          <w:tab w:leader="none" w:pos="500" w:val="left"/>
        </w:tabs>
        <w:numPr>
          <w:ilvl w:val="0"/>
          <w:numId w:val="6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Pre-amplifiers;</w:t>
      </w:r>
    </w:p>
    <w:p>
      <w:pPr>
        <w:ind w:left="500" w:hanging="212"/>
        <w:spacing w:after="0"/>
        <w:tabs>
          <w:tab w:leader="none" w:pos="500" w:val="left"/>
        </w:tabs>
        <w:numPr>
          <w:ilvl w:val="0"/>
          <w:numId w:val="6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Sampling devices;</w:t>
      </w:r>
    </w:p>
    <w:p>
      <w:pPr>
        <w:ind w:left="500" w:hanging="212"/>
        <w:spacing w:after="0"/>
        <w:tabs>
          <w:tab w:leader="none" w:pos="500" w:val="left"/>
        </w:tabs>
        <w:numPr>
          <w:ilvl w:val="0"/>
          <w:numId w:val="6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Cathode ray tubes</w:t>
      </w:r>
      <w:r>
        <w:rPr>
          <w:rFonts w:ascii="Times New Roman" w:cs="Times New Roman" w:eastAsia="Times New Roman" w:hAnsi="Times New Roman"/>
          <w:sz w:val="22"/>
          <w:szCs w:val="22"/>
          <w:color w:val="auto"/>
        </w:rPr>
        <w:t>.</w:t>
      </w:r>
    </w:p>
    <w:p>
      <w:pPr>
        <w:spacing w:after="0" w:line="200" w:lineRule="exact"/>
        <w:rPr>
          <w:sz w:val="20"/>
          <w:szCs w:val="20"/>
          <w:color w:val="auto"/>
        </w:rPr>
      </w:pPr>
    </w:p>
    <w:p>
      <w:pPr>
        <w:spacing w:after="0" w:line="303" w:lineRule="exact"/>
        <w:rPr>
          <w:sz w:val="20"/>
          <w:szCs w:val="20"/>
          <w:color w:val="auto"/>
        </w:rPr>
      </w:pPr>
    </w:p>
    <w:p>
      <w:pPr>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3A999 Specific processing equipment, n.e.s., as follows (see List of Items Controlled).</w:t>
      </w:r>
    </w:p>
    <w:p>
      <w:pPr>
        <w:spacing w:after="0" w:line="18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AT</w:t>
      </w:r>
    </w:p>
    <w:tbl>
      <w:tblPr>
        <w:tblLayout w:type="fixed"/>
        <w:tblInd w:w="10" w:type="dxa"/>
        <w:tblCellMar>
          <w:top w:w="0" w:type="dxa"/>
          <w:left w:w="0" w:type="dxa"/>
          <w:bottom w:w="0" w:type="dxa"/>
          <w:right w:w="0" w:type="dxa"/>
        </w:tblCellMar>
      </w:tblPr>
      <w:tr>
        <w:trPr>
          <w:trHeight w:val="244"/>
        </w:trPr>
        <w:tc>
          <w:tcPr>
            <w:tcW w:w="1820" w:type="dxa"/>
            <w:vAlign w:val="bottom"/>
            <w:tcBorders>
              <w:top w:val="single" w:sz="8" w:color="auto"/>
              <w:left w:val="single" w:sz="8" w:color="auto"/>
              <w:right w:val="single" w:sz="8" w:color="auto"/>
            </w:tcBorders>
            <w:vMerge w:val="restart"/>
          </w:tcPr>
          <w:p>
            <w:pPr>
              <w:ind w:left="4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620" w:type="dxa"/>
            <w:vAlign w:val="bottom"/>
            <w:tcBorders>
              <w:top w:val="single" w:sz="8" w:color="auto"/>
              <w:right w:val="single" w:sz="8" w:color="auto"/>
            </w:tcBorders>
            <w:gridSpan w:val="5"/>
          </w:tcPr>
          <w:p>
            <w:pPr>
              <w:ind w:left="200"/>
              <w:spacing w:after="0" w:line="244" w:lineRule="exact"/>
              <w:rPr>
                <w:sz w:val="20"/>
                <w:szCs w:val="20"/>
                <w:color w:val="auto"/>
              </w:rPr>
            </w:pPr>
            <w:r>
              <w:rPr>
                <w:rFonts w:ascii="Times New Roman" w:cs="Times New Roman" w:eastAsia="Times New Roman" w:hAnsi="Times New Roman"/>
                <w:sz w:val="22"/>
                <w:szCs w:val="22"/>
                <w:i w:val="1"/>
                <w:iCs w:val="1"/>
                <w:color w:val="auto"/>
              </w:rPr>
              <w:t>Country Chart See Supp.</w:t>
            </w:r>
          </w:p>
        </w:tc>
        <w:tc>
          <w:tcPr>
            <w:tcW w:w="0" w:type="dxa"/>
            <w:vAlign w:val="bottom"/>
          </w:tcPr>
          <w:p>
            <w:pPr>
              <w:spacing w:after="0"/>
              <w:rPr>
                <w:sz w:val="1"/>
                <w:szCs w:val="1"/>
                <w:color w:val="auto"/>
              </w:rPr>
            </w:pPr>
          </w:p>
        </w:tc>
      </w:tr>
      <w:tr>
        <w:trPr>
          <w:trHeight w:val="164"/>
        </w:trPr>
        <w:tc>
          <w:tcPr>
            <w:tcW w:w="1820" w:type="dxa"/>
            <w:vAlign w:val="bottom"/>
            <w:tcBorders>
              <w:left w:val="single" w:sz="8" w:color="auto"/>
              <w:right w:val="single" w:sz="8" w:color="auto"/>
            </w:tcBorders>
            <w:vMerge w:val="continue"/>
          </w:tcPr>
          <w:p>
            <w:pPr>
              <w:spacing w:after="0"/>
              <w:rPr>
                <w:sz w:val="14"/>
                <w:szCs w:val="14"/>
                <w:color w:val="auto"/>
              </w:rPr>
            </w:pPr>
          </w:p>
        </w:tc>
        <w:tc>
          <w:tcPr>
            <w:tcW w:w="2160" w:type="dxa"/>
            <w:vAlign w:val="bottom"/>
            <w:gridSpan w:val="4"/>
            <w:vMerge w:val="restart"/>
          </w:tcPr>
          <w:p>
            <w:pPr>
              <w:ind w:left="500"/>
              <w:spacing w:after="0"/>
              <w:rPr>
                <w:sz w:val="20"/>
                <w:szCs w:val="20"/>
                <w:color w:val="auto"/>
              </w:rPr>
            </w:pPr>
            <w:r>
              <w:rPr>
                <w:rFonts w:ascii="Times New Roman" w:cs="Times New Roman" w:eastAsia="Times New Roman" w:hAnsi="Times New Roman"/>
                <w:sz w:val="22"/>
                <w:szCs w:val="22"/>
                <w:i w:val="1"/>
                <w:iCs w:val="1"/>
                <w:color w:val="auto"/>
              </w:rPr>
              <w:t>No. 1 to part 738)</w:t>
            </w:r>
          </w:p>
        </w:tc>
        <w:tc>
          <w:tcPr>
            <w:tcW w:w="460" w:type="dxa"/>
            <w:vAlign w:val="bottom"/>
            <w:tcBorders>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r>
        <w:trPr>
          <w:trHeight w:val="108"/>
        </w:trPr>
        <w:tc>
          <w:tcPr>
            <w:tcW w:w="1820" w:type="dxa"/>
            <w:vAlign w:val="bottom"/>
            <w:tcBorders>
              <w:left w:val="single" w:sz="8" w:color="auto"/>
              <w:bottom w:val="single" w:sz="8" w:color="auto"/>
              <w:right w:val="single" w:sz="8" w:color="auto"/>
            </w:tcBorders>
          </w:tcPr>
          <w:p>
            <w:pPr>
              <w:spacing w:after="0"/>
              <w:rPr>
                <w:sz w:val="9"/>
                <w:szCs w:val="9"/>
                <w:color w:val="auto"/>
              </w:rPr>
            </w:pPr>
          </w:p>
        </w:tc>
        <w:tc>
          <w:tcPr>
            <w:tcW w:w="2160" w:type="dxa"/>
            <w:vAlign w:val="bottom"/>
            <w:tcBorders>
              <w:bottom w:val="single" w:sz="8" w:color="auto"/>
            </w:tcBorders>
            <w:gridSpan w:val="4"/>
            <w:vMerge w:val="continue"/>
          </w:tcPr>
          <w:p>
            <w:pPr>
              <w:spacing w:after="0"/>
              <w:rPr>
                <w:sz w:val="9"/>
                <w:szCs w:val="9"/>
                <w:color w:val="auto"/>
              </w:rPr>
            </w:pPr>
          </w:p>
        </w:tc>
        <w:tc>
          <w:tcPr>
            <w:tcW w:w="460" w:type="dxa"/>
            <w:vAlign w:val="bottom"/>
            <w:tcBorders>
              <w:bottom w:val="single" w:sz="8" w:color="auto"/>
              <w:right w:val="single" w:sz="8" w:color="auto"/>
            </w:tcBorders>
          </w:tcPr>
          <w:p>
            <w:pPr>
              <w:spacing w:after="0"/>
              <w:rPr>
                <w:sz w:val="9"/>
                <w:szCs w:val="9"/>
                <w:color w:val="auto"/>
              </w:rPr>
            </w:pPr>
          </w:p>
        </w:tc>
        <w:tc>
          <w:tcPr>
            <w:tcW w:w="0" w:type="dxa"/>
            <w:vAlign w:val="bottom"/>
          </w:tcPr>
          <w:p>
            <w:pPr>
              <w:spacing w:after="0"/>
              <w:rPr>
                <w:sz w:val="1"/>
                <w:szCs w:val="1"/>
                <w:color w:val="auto"/>
              </w:rPr>
            </w:pPr>
          </w:p>
        </w:tc>
      </w:tr>
      <w:tr>
        <w:trPr>
          <w:trHeight w:val="227"/>
        </w:trPr>
        <w:tc>
          <w:tcPr>
            <w:tcW w:w="1820" w:type="dxa"/>
            <w:vAlign w:val="bottom"/>
            <w:tcBorders>
              <w:left w:val="single" w:sz="8" w:color="auto"/>
              <w:right w:val="single" w:sz="8" w:color="auto"/>
            </w:tcBorders>
          </w:tcPr>
          <w:p>
            <w:pPr>
              <w:ind w:left="100"/>
              <w:spacing w:after="0" w:line="227" w:lineRule="exact"/>
              <w:rPr>
                <w:sz w:val="20"/>
                <w:szCs w:val="20"/>
                <w:color w:val="auto"/>
              </w:rPr>
            </w:pPr>
            <w:r>
              <w:rPr>
                <w:rFonts w:ascii="Times New Roman" w:cs="Times New Roman" w:eastAsia="Times New Roman" w:hAnsi="Times New Roman"/>
                <w:sz w:val="22"/>
                <w:szCs w:val="22"/>
                <w:color w:val="auto"/>
              </w:rPr>
              <w:t>AT  applies  to</w:t>
            </w:r>
          </w:p>
        </w:tc>
        <w:tc>
          <w:tcPr>
            <w:tcW w:w="1040" w:type="dxa"/>
            <w:vAlign w:val="bottom"/>
            <w:gridSpan w:val="2"/>
          </w:tcPr>
          <w:p>
            <w:pPr>
              <w:ind w:left="80"/>
              <w:spacing w:after="0" w:line="227" w:lineRule="exact"/>
              <w:rPr>
                <w:sz w:val="20"/>
                <w:szCs w:val="20"/>
                <w:color w:val="auto"/>
              </w:rPr>
            </w:pPr>
            <w:r>
              <w:rPr>
                <w:rFonts w:ascii="Times New Roman" w:cs="Times New Roman" w:eastAsia="Times New Roman" w:hAnsi="Times New Roman"/>
                <w:sz w:val="22"/>
                <w:szCs w:val="22"/>
                <w:color w:val="auto"/>
              </w:rPr>
              <w:t>A license</w:t>
            </w:r>
          </w:p>
        </w:tc>
        <w:tc>
          <w:tcPr>
            <w:tcW w:w="1120" w:type="dxa"/>
            <w:vAlign w:val="bottom"/>
            <w:gridSpan w:val="2"/>
          </w:tcPr>
          <w:p>
            <w:pPr>
              <w:ind w:left="80"/>
              <w:spacing w:after="0" w:line="227" w:lineRule="exact"/>
              <w:rPr>
                <w:sz w:val="20"/>
                <w:szCs w:val="20"/>
                <w:color w:val="auto"/>
              </w:rPr>
            </w:pPr>
            <w:r>
              <w:rPr>
                <w:rFonts w:ascii="Times New Roman" w:cs="Times New Roman" w:eastAsia="Times New Roman" w:hAnsi="Times New Roman"/>
                <w:sz w:val="22"/>
                <w:szCs w:val="22"/>
                <w:color w:val="auto"/>
              </w:rPr>
              <w:t>is required</w:t>
            </w:r>
          </w:p>
        </w:tc>
        <w:tc>
          <w:tcPr>
            <w:tcW w:w="460" w:type="dxa"/>
            <w:vAlign w:val="bottom"/>
            <w:tcBorders>
              <w:right w:val="single" w:sz="8" w:color="auto"/>
            </w:tcBorders>
          </w:tcPr>
          <w:p>
            <w:pPr>
              <w:jc w:val="right"/>
              <w:ind w:right="10"/>
              <w:spacing w:after="0" w:line="227" w:lineRule="exact"/>
              <w:rPr>
                <w:sz w:val="20"/>
                <w:szCs w:val="20"/>
                <w:color w:val="auto"/>
              </w:rPr>
            </w:pPr>
            <w:r>
              <w:rPr>
                <w:rFonts w:ascii="Times New Roman" w:cs="Times New Roman" w:eastAsia="Times New Roman" w:hAnsi="Times New Roman"/>
                <w:sz w:val="22"/>
                <w:szCs w:val="22"/>
                <w:color w:val="auto"/>
              </w:rPr>
              <w:t>for</w:t>
            </w:r>
          </w:p>
        </w:tc>
        <w:tc>
          <w:tcPr>
            <w:tcW w:w="0" w:type="dxa"/>
            <w:vAlign w:val="bottom"/>
          </w:tcPr>
          <w:p>
            <w:pPr>
              <w:spacing w:after="0"/>
              <w:rPr>
                <w:sz w:val="1"/>
                <w:szCs w:val="1"/>
                <w:color w:val="auto"/>
              </w:rPr>
            </w:pPr>
          </w:p>
        </w:tc>
      </w:tr>
      <w:tr>
        <w:trPr>
          <w:trHeight w:val="253"/>
        </w:trPr>
        <w:tc>
          <w:tcPr>
            <w:tcW w:w="182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entire entry</w:t>
            </w:r>
          </w:p>
        </w:tc>
        <w:tc>
          <w:tcPr>
            <w:tcW w:w="600" w:type="dxa"/>
            <w:vAlign w:val="bottom"/>
          </w:tcPr>
          <w:p>
            <w:pPr>
              <w:ind w:left="80"/>
              <w:spacing w:after="0"/>
              <w:rPr>
                <w:sz w:val="20"/>
                <w:szCs w:val="20"/>
                <w:color w:val="auto"/>
              </w:rPr>
            </w:pPr>
            <w:r>
              <w:rPr>
                <w:rFonts w:ascii="Times New Roman" w:cs="Times New Roman" w:eastAsia="Times New Roman" w:hAnsi="Times New Roman"/>
                <w:sz w:val="22"/>
                <w:szCs w:val="22"/>
                <w:color w:val="auto"/>
              </w:rPr>
              <w:t>items</w:t>
            </w:r>
          </w:p>
        </w:tc>
        <w:tc>
          <w:tcPr>
            <w:tcW w:w="1060" w:type="dxa"/>
            <w:vAlign w:val="bottom"/>
            <w:gridSpan w:val="2"/>
          </w:tcPr>
          <w:p>
            <w:pPr>
              <w:ind w:left="140"/>
              <w:spacing w:after="0"/>
              <w:rPr>
                <w:sz w:val="20"/>
                <w:szCs w:val="20"/>
                <w:color w:val="auto"/>
              </w:rPr>
            </w:pPr>
            <w:r>
              <w:rPr>
                <w:rFonts w:ascii="Times New Roman" w:cs="Times New Roman" w:eastAsia="Times New Roman" w:hAnsi="Times New Roman"/>
                <w:sz w:val="22"/>
                <w:szCs w:val="22"/>
                <w:color w:val="auto"/>
              </w:rPr>
              <w:t>controlled</w:t>
            </w:r>
          </w:p>
        </w:tc>
        <w:tc>
          <w:tcPr>
            <w:tcW w:w="500" w:type="dxa"/>
            <w:vAlign w:val="bottom"/>
          </w:tcPr>
          <w:p>
            <w:pPr>
              <w:ind w:left="140"/>
              <w:spacing w:after="0"/>
              <w:rPr>
                <w:sz w:val="20"/>
                <w:szCs w:val="20"/>
                <w:color w:val="auto"/>
              </w:rPr>
            </w:pPr>
            <w:r>
              <w:rPr>
                <w:rFonts w:ascii="Times New Roman" w:cs="Times New Roman" w:eastAsia="Times New Roman" w:hAnsi="Times New Roman"/>
                <w:sz w:val="22"/>
                <w:szCs w:val="22"/>
                <w:color w:val="auto"/>
              </w:rPr>
              <w:t>by</w:t>
            </w:r>
          </w:p>
        </w:tc>
        <w:tc>
          <w:tcPr>
            <w:tcW w:w="46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this</w:t>
            </w:r>
          </w:p>
        </w:tc>
        <w:tc>
          <w:tcPr>
            <w:tcW w:w="0" w:type="dxa"/>
            <w:vAlign w:val="bottom"/>
          </w:tcPr>
          <w:p>
            <w:pPr>
              <w:spacing w:after="0"/>
              <w:rPr>
                <w:sz w:val="1"/>
                <w:szCs w:val="1"/>
                <w:color w:val="auto"/>
              </w:rPr>
            </w:pPr>
          </w:p>
        </w:tc>
      </w:tr>
      <w:tr>
        <w:trPr>
          <w:trHeight w:val="253"/>
        </w:trPr>
        <w:tc>
          <w:tcPr>
            <w:tcW w:w="1820" w:type="dxa"/>
            <w:vAlign w:val="bottom"/>
            <w:tcBorders>
              <w:left w:val="single" w:sz="8" w:color="auto"/>
              <w:right w:val="single" w:sz="8" w:color="auto"/>
            </w:tcBorders>
          </w:tcPr>
          <w:p>
            <w:pPr>
              <w:spacing w:after="0"/>
              <w:rPr>
                <w:sz w:val="22"/>
                <w:szCs w:val="22"/>
                <w:color w:val="auto"/>
              </w:rPr>
            </w:pPr>
          </w:p>
        </w:tc>
        <w:tc>
          <w:tcPr>
            <w:tcW w:w="2620" w:type="dxa"/>
            <w:vAlign w:val="bottom"/>
            <w:tcBorders>
              <w:right w:val="single" w:sz="8" w:color="auto"/>
            </w:tcBorders>
            <w:gridSpan w:val="5"/>
          </w:tcPr>
          <w:p>
            <w:pPr>
              <w:ind w:left="80"/>
              <w:spacing w:after="0"/>
              <w:rPr>
                <w:sz w:val="20"/>
                <w:szCs w:val="20"/>
                <w:color w:val="auto"/>
              </w:rPr>
            </w:pPr>
            <w:r>
              <w:rPr>
                <w:rFonts w:ascii="Times New Roman" w:cs="Times New Roman" w:eastAsia="Times New Roman" w:hAnsi="Times New Roman"/>
                <w:sz w:val="22"/>
                <w:szCs w:val="22"/>
                <w:color w:val="auto"/>
              </w:rPr>
              <w:t>entry to North Korea for</w:t>
            </w:r>
          </w:p>
        </w:tc>
        <w:tc>
          <w:tcPr>
            <w:tcW w:w="0" w:type="dxa"/>
            <w:vAlign w:val="bottom"/>
          </w:tcPr>
          <w:p>
            <w:pPr>
              <w:spacing w:after="0"/>
              <w:rPr>
                <w:sz w:val="1"/>
                <w:szCs w:val="1"/>
                <w:color w:val="auto"/>
              </w:rPr>
            </w:pPr>
          </w:p>
        </w:tc>
      </w:tr>
      <w:tr>
        <w:trPr>
          <w:trHeight w:val="253"/>
        </w:trPr>
        <w:tc>
          <w:tcPr>
            <w:tcW w:w="1820" w:type="dxa"/>
            <w:vAlign w:val="bottom"/>
            <w:tcBorders>
              <w:left w:val="single" w:sz="8" w:color="auto"/>
              <w:right w:val="single" w:sz="8" w:color="auto"/>
            </w:tcBorders>
          </w:tcPr>
          <w:p>
            <w:pPr>
              <w:spacing w:after="0"/>
              <w:rPr>
                <w:sz w:val="22"/>
                <w:szCs w:val="22"/>
                <w:color w:val="auto"/>
              </w:rPr>
            </w:pPr>
          </w:p>
        </w:tc>
        <w:tc>
          <w:tcPr>
            <w:tcW w:w="1660" w:type="dxa"/>
            <w:vAlign w:val="bottom"/>
            <w:gridSpan w:val="3"/>
          </w:tcPr>
          <w:p>
            <w:pPr>
              <w:ind w:left="80"/>
              <w:spacing w:after="0"/>
              <w:rPr>
                <w:sz w:val="20"/>
                <w:szCs w:val="20"/>
                <w:color w:val="auto"/>
              </w:rPr>
            </w:pPr>
            <w:r>
              <w:rPr>
                <w:rFonts w:ascii="Times New Roman" w:cs="Times New Roman" w:eastAsia="Times New Roman" w:hAnsi="Times New Roman"/>
                <w:sz w:val="22"/>
                <w:szCs w:val="22"/>
                <w:color w:val="auto"/>
              </w:rPr>
              <w:t>anti-terrorism</w:t>
            </w:r>
          </w:p>
        </w:tc>
        <w:tc>
          <w:tcPr>
            <w:tcW w:w="960" w:type="dxa"/>
            <w:vAlign w:val="bottom"/>
            <w:tcBorders>
              <w:right w:val="single" w:sz="8" w:color="auto"/>
            </w:tcBorders>
            <w:gridSpan w:val="2"/>
          </w:tcPr>
          <w:p>
            <w:pPr>
              <w:jc w:val="right"/>
              <w:ind w:right="10"/>
              <w:spacing w:after="0"/>
              <w:rPr>
                <w:sz w:val="20"/>
                <w:szCs w:val="20"/>
                <w:color w:val="auto"/>
              </w:rPr>
            </w:pPr>
            <w:r>
              <w:rPr>
                <w:rFonts w:ascii="Times New Roman" w:cs="Times New Roman" w:eastAsia="Times New Roman" w:hAnsi="Times New Roman"/>
                <w:sz w:val="22"/>
                <w:szCs w:val="22"/>
                <w:color w:val="auto"/>
              </w:rPr>
              <w:t>reasons.</w:t>
            </w:r>
          </w:p>
        </w:tc>
        <w:tc>
          <w:tcPr>
            <w:tcW w:w="0" w:type="dxa"/>
            <w:vAlign w:val="bottom"/>
          </w:tcPr>
          <w:p>
            <w:pPr>
              <w:spacing w:after="0"/>
              <w:rPr>
                <w:sz w:val="1"/>
                <w:szCs w:val="1"/>
                <w:color w:val="auto"/>
              </w:rPr>
            </w:pPr>
          </w:p>
        </w:tc>
      </w:tr>
      <w:tr>
        <w:trPr>
          <w:trHeight w:val="253"/>
        </w:trPr>
        <w:tc>
          <w:tcPr>
            <w:tcW w:w="1820" w:type="dxa"/>
            <w:vAlign w:val="bottom"/>
            <w:tcBorders>
              <w:left w:val="single" w:sz="8" w:color="auto"/>
              <w:right w:val="single" w:sz="8" w:color="auto"/>
            </w:tcBorders>
          </w:tcPr>
          <w:p>
            <w:pPr>
              <w:spacing w:after="0"/>
              <w:rPr>
                <w:sz w:val="22"/>
                <w:szCs w:val="22"/>
                <w:color w:val="auto"/>
              </w:rPr>
            </w:pPr>
          </w:p>
        </w:tc>
        <w:tc>
          <w:tcPr>
            <w:tcW w:w="600" w:type="dxa"/>
            <w:vAlign w:val="bottom"/>
          </w:tcPr>
          <w:p>
            <w:pPr>
              <w:ind w:left="80"/>
              <w:spacing w:after="0"/>
              <w:rPr>
                <w:sz w:val="20"/>
                <w:szCs w:val="20"/>
                <w:color w:val="auto"/>
              </w:rPr>
            </w:pPr>
            <w:r>
              <w:rPr>
                <w:rFonts w:ascii="Times New Roman" w:cs="Times New Roman" w:eastAsia="Times New Roman" w:hAnsi="Times New Roman"/>
                <w:sz w:val="22"/>
                <w:szCs w:val="22"/>
                <w:color w:val="auto"/>
              </w:rPr>
              <w:t>The</w:t>
            </w:r>
          </w:p>
        </w:tc>
        <w:tc>
          <w:tcPr>
            <w:tcW w:w="1060" w:type="dxa"/>
            <w:vAlign w:val="bottom"/>
            <w:gridSpan w:val="2"/>
          </w:tcPr>
          <w:p>
            <w:pPr>
              <w:ind w:left="20"/>
              <w:spacing w:after="0"/>
              <w:rPr>
                <w:sz w:val="20"/>
                <w:szCs w:val="20"/>
                <w:color w:val="auto"/>
              </w:rPr>
            </w:pPr>
            <w:r>
              <w:rPr>
                <w:rFonts w:ascii="Times New Roman" w:cs="Times New Roman" w:eastAsia="Times New Roman" w:hAnsi="Times New Roman"/>
                <w:sz w:val="22"/>
                <w:szCs w:val="22"/>
                <w:color w:val="auto"/>
              </w:rPr>
              <w:t>Commerce</w:t>
            </w:r>
          </w:p>
        </w:tc>
        <w:tc>
          <w:tcPr>
            <w:tcW w:w="960" w:type="dxa"/>
            <w:vAlign w:val="bottom"/>
            <w:tcBorders>
              <w:right w:val="single" w:sz="8" w:color="auto"/>
            </w:tcBorders>
            <w:gridSpan w:val="2"/>
          </w:tcPr>
          <w:p>
            <w:pPr>
              <w:jc w:val="right"/>
              <w:ind w:right="10"/>
              <w:spacing w:after="0"/>
              <w:rPr>
                <w:sz w:val="20"/>
                <w:szCs w:val="20"/>
                <w:color w:val="auto"/>
              </w:rPr>
            </w:pPr>
            <w:r>
              <w:rPr>
                <w:rFonts w:ascii="Times New Roman" w:cs="Times New Roman" w:eastAsia="Times New Roman" w:hAnsi="Times New Roman"/>
                <w:sz w:val="22"/>
                <w:szCs w:val="22"/>
                <w:color w:val="auto"/>
              </w:rPr>
              <w:t>Country</w:t>
            </w:r>
          </w:p>
        </w:tc>
        <w:tc>
          <w:tcPr>
            <w:tcW w:w="0" w:type="dxa"/>
            <w:vAlign w:val="bottom"/>
          </w:tcPr>
          <w:p>
            <w:pPr>
              <w:spacing w:after="0"/>
              <w:rPr>
                <w:sz w:val="1"/>
                <w:szCs w:val="1"/>
                <w:color w:val="auto"/>
              </w:rPr>
            </w:pPr>
          </w:p>
        </w:tc>
      </w:tr>
      <w:tr>
        <w:trPr>
          <w:trHeight w:val="252"/>
        </w:trPr>
        <w:tc>
          <w:tcPr>
            <w:tcW w:w="1820" w:type="dxa"/>
            <w:vAlign w:val="bottom"/>
            <w:tcBorders>
              <w:left w:val="single" w:sz="8" w:color="auto"/>
              <w:right w:val="single" w:sz="8" w:color="auto"/>
            </w:tcBorders>
          </w:tcPr>
          <w:p>
            <w:pPr>
              <w:spacing w:after="0"/>
              <w:rPr>
                <w:sz w:val="21"/>
                <w:szCs w:val="21"/>
                <w:color w:val="auto"/>
              </w:rPr>
            </w:pPr>
          </w:p>
        </w:tc>
        <w:tc>
          <w:tcPr>
            <w:tcW w:w="2620" w:type="dxa"/>
            <w:vAlign w:val="bottom"/>
            <w:tcBorders>
              <w:right w:val="single" w:sz="8" w:color="auto"/>
            </w:tcBorders>
            <w:gridSpan w:val="5"/>
          </w:tcPr>
          <w:p>
            <w:pPr>
              <w:ind w:left="80"/>
              <w:spacing w:after="0"/>
              <w:rPr>
                <w:sz w:val="20"/>
                <w:szCs w:val="20"/>
                <w:color w:val="auto"/>
              </w:rPr>
            </w:pPr>
            <w:r>
              <w:rPr>
                <w:rFonts w:ascii="Times New Roman" w:cs="Times New Roman" w:eastAsia="Times New Roman" w:hAnsi="Times New Roman"/>
                <w:sz w:val="22"/>
                <w:szCs w:val="22"/>
                <w:color w:val="auto"/>
              </w:rPr>
              <w:t>Chart is not designed to</w:t>
            </w:r>
          </w:p>
        </w:tc>
        <w:tc>
          <w:tcPr>
            <w:tcW w:w="0" w:type="dxa"/>
            <w:vAlign w:val="bottom"/>
          </w:tcPr>
          <w:p>
            <w:pPr>
              <w:spacing w:after="0"/>
              <w:rPr>
                <w:sz w:val="1"/>
                <w:szCs w:val="1"/>
                <w:color w:val="auto"/>
              </w:rPr>
            </w:pPr>
          </w:p>
        </w:tc>
      </w:tr>
      <w:tr>
        <w:trPr>
          <w:trHeight w:val="253"/>
        </w:trPr>
        <w:tc>
          <w:tcPr>
            <w:tcW w:w="1820" w:type="dxa"/>
            <w:vAlign w:val="bottom"/>
            <w:tcBorders>
              <w:left w:val="single" w:sz="8" w:color="auto"/>
              <w:right w:val="single" w:sz="8" w:color="auto"/>
            </w:tcBorders>
          </w:tcPr>
          <w:p>
            <w:pPr>
              <w:spacing w:after="0"/>
              <w:rPr>
                <w:sz w:val="22"/>
                <w:szCs w:val="22"/>
                <w:color w:val="auto"/>
              </w:rPr>
            </w:pPr>
          </w:p>
        </w:tc>
        <w:tc>
          <w:tcPr>
            <w:tcW w:w="1040" w:type="dxa"/>
            <w:vAlign w:val="bottom"/>
            <w:gridSpan w:val="2"/>
          </w:tcPr>
          <w:p>
            <w:pPr>
              <w:ind w:left="80"/>
              <w:spacing w:after="0"/>
              <w:rPr>
                <w:sz w:val="20"/>
                <w:szCs w:val="20"/>
                <w:color w:val="auto"/>
              </w:rPr>
            </w:pPr>
            <w:r>
              <w:rPr>
                <w:rFonts w:ascii="Times New Roman" w:cs="Times New Roman" w:eastAsia="Times New Roman" w:hAnsi="Times New Roman"/>
                <w:sz w:val="22"/>
                <w:szCs w:val="22"/>
                <w:color w:val="auto"/>
              </w:rPr>
              <w:t>determine</w:t>
            </w:r>
          </w:p>
        </w:tc>
        <w:tc>
          <w:tcPr>
            <w:tcW w:w="620" w:type="dxa"/>
            <w:vAlign w:val="bottom"/>
          </w:tcPr>
          <w:p>
            <w:pPr>
              <w:ind w:left="160"/>
              <w:spacing w:after="0"/>
              <w:rPr>
                <w:sz w:val="20"/>
                <w:szCs w:val="20"/>
                <w:color w:val="auto"/>
              </w:rPr>
            </w:pPr>
            <w:r>
              <w:rPr>
                <w:rFonts w:ascii="Times New Roman" w:cs="Times New Roman" w:eastAsia="Times New Roman" w:hAnsi="Times New Roman"/>
                <w:sz w:val="22"/>
                <w:szCs w:val="22"/>
                <w:color w:val="auto"/>
              </w:rPr>
              <w:t>AT</w:t>
            </w:r>
          </w:p>
        </w:tc>
        <w:tc>
          <w:tcPr>
            <w:tcW w:w="960" w:type="dxa"/>
            <w:vAlign w:val="bottom"/>
            <w:tcBorders>
              <w:right w:val="single" w:sz="8" w:color="auto"/>
            </w:tcBorders>
            <w:gridSpan w:val="2"/>
          </w:tcPr>
          <w:p>
            <w:pPr>
              <w:jc w:val="right"/>
              <w:ind w:right="10"/>
              <w:spacing w:after="0"/>
              <w:rPr>
                <w:sz w:val="20"/>
                <w:szCs w:val="20"/>
                <w:color w:val="auto"/>
              </w:rPr>
            </w:pPr>
            <w:r>
              <w:rPr>
                <w:rFonts w:ascii="Times New Roman" w:cs="Times New Roman" w:eastAsia="Times New Roman" w:hAnsi="Times New Roman"/>
                <w:sz w:val="22"/>
                <w:szCs w:val="22"/>
                <w:color w:val="auto"/>
              </w:rPr>
              <w:t>licensing</w:t>
            </w:r>
          </w:p>
        </w:tc>
        <w:tc>
          <w:tcPr>
            <w:tcW w:w="0" w:type="dxa"/>
            <w:vAlign w:val="bottom"/>
          </w:tcPr>
          <w:p>
            <w:pPr>
              <w:spacing w:after="0"/>
              <w:rPr>
                <w:sz w:val="1"/>
                <w:szCs w:val="1"/>
                <w:color w:val="auto"/>
              </w:rPr>
            </w:pPr>
          </w:p>
        </w:tc>
      </w:tr>
      <w:tr>
        <w:trPr>
          <w:trHeight w:val="253"/>
        </w:trPr>
        <w:tc>
          <w:tcPr>
            <w:tcW w:w="1820" w:type="dxa"/>
            <w:vAlign w:val="bottom"/>
            <w:tcBorders>
              <w:left w:val="single" w:sz="8" w:color="auto"/>
              <w:right w:val="single" w:sz="8" w:color="auto"/>
            </w:tcBorders>
          </w:tcPr>
          <w:p>
            <w:pPr>
              <w:spacing w:after="0"/>
              <w:rPr>
                <w:sz w:val="22"/>
                <w:szCs w:val="22"/>
                <w:color w:val="auto"/>
              </w:rPr>
            </w:pPr>
          </w:p>
        </w:tc>
        <w:tc>
          <w:tcPr>
            <w:tcW w:w="2620" w:type="dxa"/>
            <w:vAlign w:val="bottom"/>
            <w:tcBorders>
              <w:right w:val="single" w:sz="8" w:color="auto"/>
            </w:tcBorders>
            <w:gridSpan w:val="5"/>
          </w:tcPr>
          <w:p>
            <w:pPr>
              <w:ind w:left="80"/>
              <w:spacing w:after="0"/>
              <w:rPr>
                <w:sz w:val="20"/>
                <w:szCs w:val="20"/>
                <w:color w:val="auto"/>
              </w:rPr>
            </w:pPr>
            <w:r>
              <w:rPr>
                <w:rFonts w:ascii="Times New Roman" w:cs="Times New Roman" w:eastAsia="Times New Roman" w:hAnsi="Times New Roman"/>
                <w:sz w:val="22"/>
                <w:szCs w:val="22"/>
                <w:color w:val="auto"/>
              </w:rPr>
              <w:t>requirements for this entry.</w:t>
            </w:r>
          </w:p>
        </w:tc>
        <w:tc>
          <w:tcPr>
            <w:tcW w:w="0" w:type="dxa"/>
            <w:vAlign w:val="bottom"/>
          </w:tcPr>
          <w:p>
            <w:pPr>
              <w:spacing w:after="0"/>
              <w:rPr>
                <w:sz w:val="1"/>
                <w:szCs w:val="1"/>
                <w:color w:val="auto"/>
              </w:rPr>
            </w:pPr>
          </w:p>
        </w:tc>
      </w:tr>
      <w:tr>
        <w:trPr>
          <w:trHeight w:val="253"/>
        </w:trPr>
        <w:tc>
          <w:tcPr>
            <w:tcW w:w="1820" w:type="dxa"/>
            <w:vAlign w:val="bottom"/>
            <w:tcBorders>
              <w:left w:val="single" w:sz="8" w:color="auto"/>
              <w:right w:val="single" w:sz="8" w:color="auto"/>
            </w:tcBorders>
          </w:tcPr>
          <w:p>
            <w:pPr>
              <w:spacing w:after="0"/>
              <w:rPr>
                <w:sz w:val="22"/>
                <w:szCs w:val="22"/>
                <w:color w:val="auto"/>
              </w:rPr>
            </w:pPr>
          </w:p>
        </w:tc>
        <w:tc>
          <w:tcPr>
            <w:tcW w:w="2620" w:type="dxa"/>
            <w:vAlign w:val="bottom"/>
            <w:tcBorders>
              <w:right w:val="single" w:sz="8" w:color="auto"/>
            </w:tcBorders>
            <w:gridSpan w:val="5"/>
          </w:tcPr>
          <w:p>
            <w:pPr>
              <w:ind w:left="80"/>
              <w:spacing w:after="0"/>
              <w:rPr>
                <w:sz w:val="20"/>
                <w:szCs w:val="20"/>
                <w:color w:val="auto"/>
              </w:rPr>
            </w:pPr>
            <w:r>
              <w:rPr>
                <w:rFonts w:ascii="Times New Roman" w:cs="Times New Roman" w:eastAsia="Times New Roman" w:hAnsi="Times New Roman"/>
                <w:sz w:val="22"/>
                <w:szCs w:val="22"/>
                <w:color w:val="auto"/>
              </w:rPr>
              <w:t>See §742.19 of the EAR</w:t>
            </w:r>
          </w:p>
        </w:tc>
        <w:tc>
          <w:tcPr>
            <w:tcW w:w="0" w:type="dxa"/>
            <w:vAlign w:val="bottom"/>
          </w:tcPr>
          <w:p>
            <w:pPr>
              <w:spacing w:after="0"/>
              <w:rPr>
                <w:sz w:val="1"/>
                <w:szCs w:val="1"/>
                <w:color w:val="auto"/>
              </w:rPr>
            </w:pPr>
          </w:p>
        </w:tc>
      </w:tr>
      <w:tr>
        <w:trPr>
          <w:trHeight w:val="269"/>
        </w:trPr>
        <w:tc>
          <w:tcPr>
            <w:tcW w:w="1820" w:type="dxa"/>
            <w:vAlign w:val="bottom"/>
            <w:tcBorders>
              <w:left w:val="single" w:sz="8" w:color="auto"/>
              <w:bottom w:val="single" w:sz="8" w:color="auto"/>
              <w:right w:val="single" w:sz="8" w:color="auto"/>
            </w:tcBorders>
          </w:tcPr>
          <w:p>
            <w:pPr>
              <w:spacing w:after="0"/>
              <w:rPr>
                <w:sz w:val="23"/>
                <w:szCs w:val="23"/>
                <w:color w:val="auto"/>
              </w:rPr>
            </w:pPr>
          </w:p>
        </w:tc>
        <w:tc>
          <w:tcPr>
            <w:tcW w:w="2620" w:type="dxa"/>
            <w:vAlign w:val="bottom"/>
            <w:tcBorders>
              <w:bottom w:val="single" w:sz="8" w:color="auto"/>
              <w:right w:val="single" w:sz="8" w:color="auto"/>
            </w:tcBorders>
            <w:gridSpan w:val="5"/>
          </w:tcPr>
          <w:p>
            <w:pPr>
              <w:ind w:left="80"/>
              <w:spacing w:after="0"/>
              <w:rPr>
                <w:sz w:val="20"/>
                <w:szCs w:val="20"/>
                <w:color w:val="auto"/>
              </w:rPr>
            </w:pPr>
            <w:r>
              <w:rPr>
                <w:rFonts w:ascii="Times New Roman" w:cs="Times New Roman" w:eastAsia="Times New Roman" w:hAnsi="Times New Roman"/>
                <w:sz w:val="22"/>
                <w:szCs w:val="22"/>
                <w:color w:val="auto"/>
              </w:rPr>
              <w:t>for additional information.</w:t>
            </w:r>
          </w:p>
        </w:tc>
        <w:tc>
          <w:tcPr>
            <w:tcW w:w="0" w:type="dxa"/>
            <w:vAlign w:val="bottom"/>
          </w:tcPr>
          <w:p>
            <w:pPr>
              <w:spacing w:after="0"/>
              <w:rPr>
                <w:sz w:val="1"/>
                <w:szCs w:val="1"/>
                <w:color w:val="auto"/>
              </w:rPr>
            </w:pPr>
          </w:p>
        </w:tc>
      </w:tr>
    </w:tbl>
    <w:p>
      <w:pPr>
        <w:spacing w:after="0" w:line="234" w:lineRule="exact"/>
        <w:rPr>
          <w:sz w:val="20"/>
          <w:szCs w:val="20"/>
          <w:color w:val="auto"/>
        </w:rPr>
      </w:pPr>
    </w:p>
    <w:p>
      <w:pPr>
        <w:jc w:val="both"/>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1"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jc w:val="both"/>
        <w:ind w:left="180" w:right="120"/>
        <w:spacing w:after="0" w:line="245"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3A225</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frequency changes capable of operating in the frequency range of 600 Hz and above), and </w:t>
      </w:r>
      <w:r>
        <w:rPr>
          <w:rFonts w:ascii="Times New Roman" w:cs="Times New Roman" w:eastAsia="Times New Roman" w:hAnsi="Times New Roman"/>
          <w:sz w:val="22"/>
          <w:szCs w:val="22"/>
          <w:u w:val="single" w:color="auto"/>
          <w:color w:val="0000FF"/>
        </w:rPr>
        <w:t>3A233</w:t>
      </w:r>
      <w:r>
        <w:rPr>
          <w:rFonts w:ascii="Times New Roman" w:cs="Times New Roman" w:eastAsia="Times New Roman" w:hAnsi="Times New Roman"/>
          <w:sz w:val="22"/>
          <w:szCs w:val="22"/>
          <w:color w:val="000000"/>
        </w:rPr>
        <w:t>. (2) Certain auxiliary systems,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equipment, “parts” and “components” for isotope separation plants, made of or protected by UF</w:t>
      </w:r>
      <w:r>
        <w:rPr>
          <w:rFonts w:ascii="Times New Roman" w:cs="Times New Roman" w:eastAsia="Times New Roman" w:hAnsi="Times New Roman"/>
          <w:sz w:val="14"/>
          <w:szCs w:val="14"/>
          <w:color w:val="000000"/>
        </w:rPr>
        <w:t>6</w:t>
      </w:r>
      <w:r>
        <w:rPr>
          <w:rFonts w:ascii="Times New Roman" w:cs="Times New Roman" w:eastAsia="Times New Roman" w:hAnsi="Times New Roman"/>
          <w:sz w:val="22"/>
          <w:szCs w:val="22"/>
          <w:color w:val="000000"/>
        </w:rPr>
        <w:t xml:space="preserve"> resistant materials are subject to the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1871980</wp:posOffset>
                </wp:positionH>
                <wp:positionV relativeFrom="paragraph">
                  <wp:posOffset>-22860</wp:posOffset>
                </wp:positionV>
                <wp:extent cx="65405" cy="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5405" cy="4763"/>
                        </a:xfrm>
                        <a:prstGeom prst="line">
                          <a:avLst/>
                        </a:prstGeom>
                        <a:solidFill>
                          <a:srgbClr val="FFFFFF"/>
                        </a:solidFill>
                        <a:ln w="6858">
                          <a:solidFill>
                            <a:srgbClr val="000000"/>
                          </a:solidFill>
                          <a:miter lim="800000"/>
                          <a:headEnd/>
                          <a:tailEnd/>
                        </a:ln>
                      </wps:spPr>
                      <wps:bodyPr/>
                    </wps:wsp>
                  </a:graphicData>
                </a:graphic>
              </wp:anchor>
            </w:drawing>
          </mc:Choice>
          <mc:Fallback>
            <w:pict>
              <v:line id="Shape 15" o:spid="_x0000_s10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7.4pt,-1.7999pt" to="152.55pt,-1.7999pt" o:allowincell="f" strokecolor="#000000" strokeweight="0.54pt"/>
            </w:pict>
          </mc:Fallback>
        </mc:AlternateContent>
      </w:r>
    </w:p>
    <w:p>
      <w:pPr>
        <w:spacing w:after="0" w:line="200" w:lineRule="exact"/>
        <w:rPr>
          <w:sz w:val="20"/>
          <w:szCs w:val="20"/>
          <w:color w:val="auto"/>
        </w:rPr>
      </w:pPr>
    </w:p>
    <w:p>
      <w:pPr>
        <w:sectPr>
          <w:pgSz w:w="12240" w:h="15840" w:orient="portrait"/>
          <w:cols w:equalWidth="0" w:num="2">
            <w:col w:w="4320" w:space="720"/>
            <w:col w:w="4440"/>
          </w:cols>
          <w:pgMar w:left="1440" w:top="1062" w:right="1320" w:bottom="892" w:gutter="0" w:footer="0" w:header="0"/>
          <w:type w:val="continuous"/>
        </w:sectPr>
      </w:pPr>
    </w:p>
    <w:p>
      <w:pPr>
        <w:spacing w:after="0" w:line="257"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062" w:right="1320" w:bottom="892" w:gutter="0" w:footer="0" w:header="0"/>
          <w:type w:val="continuous"/>
        </w:sectPr>
      </w:pPr>
    </w:p>
    <w:bookmarkStart w:id="36" w:name="page37"/>
    <w:bookmarkEnd w:id="36"/>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37</w:t>
      </w:r>
    </w:p>
    <w:p>
      <w:pPr>
        <w:sectPr>
          <w:pgSz w:w="12240" w:h="15840" w:orient="portrait"/>
          <w:cols w:equalWidth="0" w:num="1">
            <w:col w:w="9480"/>
          </w:cols>
          <w:pgMar w:left="1440" w:top="1062" w:right="1320" w:bottom="892" w:gutter="0" w:footer="0" w:header="0"/>
        </w:sectPr>
      </w:pPr>
    </w:p>
    <w:p>
      <w:pPr>
        <w:spacing w:after="0" w:line="245" w:lineRule="exact"/>
        <w:rPr>
          <w:sz w:val="20"/>
          <w:szCs w:val="20"/>
          <w:color w:val="auto"/>
        </w:rPr>
      </w:pPr>
    </w:p>
    <w:p>
      <w:pPr>
        <w:jc w:val="both"/>
        <w:ind w:left="180"/>
        <w:spacing w:after="0" w:line="239" w:lineRule="auto"/>
        <w:rPr>
          <w:sz w:val="20"/>
          <w:szCs w:val="20"/>
          <w:color w:val="auto"/>
        </w:rPr>
      </w:pPr>
      <w:r>
        <w:rPr>
          <w:rFonts w:ascii="Times New Roman" w:cs="Times New Roman" w:eastAsia="Times New Roman" w:hAnsi="Times New Roman"/>
          <w:sz w:val="22"/>
          <w:szCs w:val="22"/>
          <w:color w:val="auto"/>
        </w:rPr>
        <w:t>export licensing authority of the Nuclear Regulatory Commission (see 10 CFR part 110).</w:t>
      </w:r>
    </w:p>
    <w:p>
      <w:pPr>
        <w:spacing w:after="0" w:line="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spacing w:after="0" w:line="255" w:lineRule="auto"/>
        <w:rPr>
          <w:sz w:val="20"/>
          <w:szCs w:val="20"/>
          <w:color w:val="auto"/>
        </w:rPr>
      </w:pPr>
      <w:r>
        <w:rPr>
          <w:rFonts w:ascii="Times New Roman" w:cs="Times New Roman" w:eastAsia="Times New Roman" w:hAnsi="Times New Roman"/>
          <w:sz w:val="22"/>
          <w:szCs w:val="22"/>
          <w:color w:val="auto"/>
        </w:rPr>
        <w:t>a. Frequency changers capable of operating in the frequency range from 300 up to 600 Hz, n.e.s;</w:t>
      </w:r>
    </w:p>
    <w:p>
      <w:pPr>
        <w:spacing w:after="0" w:line="20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 Mass spectrometers n.e.s;</w:t>
      </w:r>
    </w:p>
    <w:p>
      <w:pPr>
        <w:spacing w:after="0" w:line="253" w:lineRule="exact"/>
        <w:rPr>
          <w:sz w:val="20"/>
          <w:szCs w:val="20"/>
          <w:color w:val="auto"/>
        </w:rPr>
      </w:pPr>
    </w:p>
    <w:p>
      <w:pPr>
        <w:jc w:val="both"/>
        <w:spacing w:after="0" w:line="247" w:lineRule="auto"/>
        <w:tabs>
          <w:tab w:leader="none" w:pos="293" w:val="left"/>
        </w:tabs>
        <w:numPr>
          <w:ilvl w:val="0"/>
          <w:numId w:val="6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All flash x-ray machines, and “parts” or “components” of pulsed power systems designed thereof, including Marx generators, high power pulse shaping networks, high voltage capacitors, and triggers;</w:t>
      </w:r>
    </w:p>
    <w:p>
      <w:pPr>
        <w:spacing w:after="0" w:line="214" w:lineRule="exact"/>
        <w:rPr>
          <w:rFonts w:ascii="Times New Roman" w:cs="Times New Roman" w:eastAsia="Times New Roman" w:hAnsi="Times New Roman"/>
          <w:sz w:val="22"/>
          <w:szCs w:val="22"/>
          <w:color w:val="auto"/>
        </w:rPr>
      </w:pPr>
    </w:p>
    <w:p>
      <w:pPr>
        <w:ind w:left="220" w:hanging="220"/>
        <w:spacing w:after="0"/>
        <w:tabs>
          <w:tab w:leader="none" w:pos="220" w:val="left"/>
        </w:tabs>
        <w:numPr>
          <w:ilvl w:val="0"/>
          <w:numId w:val="6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Pulse amplifiers, n.e.s.;</w:t>
      </w:r>
    </w:p>
    <w:p>
      <w:pPr>
        <w:spacing w:after="0" w:line="253" w:lineRule="exact"/>
        <w:rPr>
          <w:rFonts w:ascii="Times New Roman" w:cs="Times New Roman" w:eastAsia="Times New Roman" w:hAnsi="Times New Roman"/>
          <w:sz w:val="22"/>
          <w:szCs w:val="22"/>
          <w:color w:val="auto"/>
        </w:rPr>
      </w:pPr>
    </w:p>
    <w:p>
      <w:pPr>
        <w:jc w:val="both"/>
        <w:spacing w:after="0" w:line="255" w:lineRule="auto"/>
        <w:tabs>
          <w:tab w:leader="none" w:pos="395" w:val="left"/>
        </w:tabs>
        <w:numPr>
          <w:ilvl w:val="0"/>
          <w:numId w:val="6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Electronic equipment for time delay generation or time interval measurement, as follows:</w:t>
      </w:r>
    </w:p>
    <w:p>
      <w:pPr>
        <w:spacing w:after="0" w:line="205"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 xml:space="preserve">e.1. Digital time delay generators with a resolution of 50 nanoseconds or less over time intervals of 1 microsecond or greater; </w:t>
      </w:r>
      <w:r>
        <w:rPr>
          <w:rFonts w:ascii="Times New Roman" w:cs="Times New Roman" w:eastAsia="Times New Roman" w:hAnsi="Times New Roman"/>
          <w:sz w:val="22"/>
          <w:szCs w:val="22"/>
          <w:i w:val="1"/>
          <w:iCs w:val="1"/>
          <w:color w:val="auto"/>
        </w:rPr>
        <w:t>or</w:t>
      </w:r>
    </w:p>
    <w:p>
      <w:pPr>
        <w:spacing w:after="0" w:line="206" w:lineRule="exact"/>
        <w:rPr>
          <w:sz w:val="20"/>
          <w:szCs w:val="20"/>
          <w:color w:val="auto"/>
        </w:rPr>
      </w:pPr>
    </w:p>
    <w:p>
      <w:pPr>
        <w:jc w:val="both"/>
        <w:ind w:firstLine="144"/>
        <w:spacing w:after="0" w:line="250" w:lineRule="auto"/>
        <w:rPr>
          <w:sz w:val="20"/>
          <w:szCs w:val="20"/>
          <w:color w:val="auto"/>
        </w:rPr>
      </w:pPr>
      <w:r>
        <w:rPr>
          <w:rFonts w:ascii="Times New Roman" w:cs="Times New Roman" w:eastAsia="Times New Roman" w:hAnsi="Times New Roman"/>
          <w:sz w:val="22"/>
          <w:szCs w:val="22"/>
          <w:color w:val="auto"/>
        </w:rPr>
        <w:t>e.2. Multi- channel (three or more) or modular time interval meter and chronometry equipment with resolution of 50 nanoseconds or less over time intervals of 1 microsecond or greater;</w:t>
      </w:r>
    </w:p>
    <w:p>
      <w:pPr>
        <w:spacing w:after="0" w:line="211"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f. Chromatography and spectrometry analytical instruments.</w:t>
      </w:r>
    </w:p>
    <w:p>
      <w:pPr>
        <w:spacing w:after="0" w:line="184" w:lineRule="exact"/>
        <w:rPr>
          <w:sz w:val="20"/>
          <w:szCs w:val="20"/>
          <w:color w:val="auto"/>
        </w:rPr>
      </w:pPr>
    </w:p>
    <w:p>
      <w:pPr>
        <w:ind w:left="600" w:right="600" w:firstLine="118"/>
        <w:spacing w:after="0" w:line="299" w:lineRule="auto"/>
        <w:tabs>
          <w:tab w:leader="none" w:pos="1038" w:val="left"/>
        </w:tabs>
        <w:numPr>
          <w:ilvl w:val="0"/>
          <w:numId w:val="64"/>
        </w:numPr>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1"/>
          <w:szCs w:val="21"/>
          <w:b w:val="1"/>
          <w:bCs w:val="1"/>
          <w:color w:val="auto"/>
        </w:rPr>
        <w:t>TEST, INSPECTION AND “PRODUCTION EQUIPMENT”</w:t>
      </w:r>
    </w:p>
    <w:p>
      <w:pPr>
        <w:spacing w:after="0" w:line="200" w:lineRule="exact"/>
        <w:rPr>
          <w:sz w:val="20"/>
          <w:szCs w:val="20"/>
          <w:color w:val="auto"/>
        </w:rPr>
      </w:pPr>
    </w:p>
    <w:p>
      <w:pPr>
        <w:spacing w:after="0" w:line="210" w:lineRule="exact"/>
        <w:rPr>
          <w:sz w:val="20"/>
          <w:szCs w:val="20"/>
          <w:color w:val="auto"/>
        </w:rPr>
      </w:pPr>
    </w:p>
    <w:p>
      <w:pPr>
        <w:jc w:val="both"/>
        <w:spacing w:after="0" w:line="248" w:lineRule="auto"/>
        <w:rPr>
          <w:sz w:val="20"/>
          <w:szCs w:val="20"/>
          <w:color w:val="auto"/>
        </w:rPr>
      </w:pPr>
      <w:r>
        <w:rPr>
          <w:rFonts w:ascii="Times New Roman" w:cs="Times New Roman" w:eastAsia="Times New Roman" w:hAnsi="Times New Roman"/>
          <w:sz w:val="22"/>
          <w:szCs w:val="22"/>
          <w:b w:val="1"/>
          <w:bCs w:val="1"/>
          <w:color w:val="auto"/>
        </w:rPr>
        <w:t>3B001 Equipment for the manufacturing of semiconductor devices or materials, as follows (see List of Items Controlled) and “specially designed” “components” and “accessories” therefor.</w:t>
      </w:r>
    </w:p>
    <w:p>
      <w:pPr>
        <w:spacing w:after="0" w:line="21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0" w:lineRule="exact"/>
        <w:rPr>
          <w:sz w:val="20"/>
          <w:szCs w:val="20"/>
          <w:color w:val="auto"/>
        </w:rPr>
      </w:pPr>
      <w:r>
        <w:rPr>
          <w:sz w:val="20"/>
          <w:szCs w:val="20"/>
          <w:color w:val="auto"/>
        </w:rPr>
        <w:br w:type="column"/>
      </w:r>
    </w:p>
    <w:p>
      <w:pPr>
        <w:spacing w:after="0" w:line="220"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48" w:lineRule="exact"/>
        <w:rPr>
          <w:sz w:val="20"/>
          <w:szCs w:val="20"/>
          <w:color w:val="auto"/>
        </w:rPr>
      </w:pPr>
    </w:p>
    <w:tbl>
      <w:tblPr>
        <w:tblLayout w:type="fixed"/>
        <w:tblInd w:w="9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82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2"/>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See Supp. No. 1</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4"/>
        </w:trPr>
        <w:tc>
          <w:tcPr>
            <w:tcW w:w="254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w w:val="99"/>
              </w:rPr>
              <w:t>NS applies to entire entry</w:t>
            </w:r>
          </w:p>
        </w:tc>
        <w:tc>
          <w:tcPr>
            <w:tcW w:w="1820" w:type="dxa"/>
            <w:vAlign w:val="bottom"/>
            <w:tcBorders>
              <w:bottom w:val="single" w:sz="8" w:color="auto"/>
              <w:right w:val="single" w:sz="8" w:color="auto"/>
            </w:tcBorders>
          </w:tcPr>
          <w:p>
            <w:pPr>
              <w:ind w:left="100"/>
              <w:spacing w:after="0" w:line="244" w:lineRule="exact"/>
              <w:rPr>
                <w:sz w:val="20"/>
                <w:szCs w:val="20"/>
                <w:color w:val="auto"/>
              </w:rPr>
            </w:pPr>
            <w:r>
              <w:rPr>
                <w:rFonts w:ascii="Times New Roman" w:cs="Times New Roman" w:eastAsia="Times New Roman" w:hAnsi="Times New Roman"/>
                <w:sz w:val="22"/>
                <w:szCs w:val="22"/>
                <w:color w:val="auto"/>
              </w:rPr>
              <w:t>NS Column 2</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182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ind w:right="120"/>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3"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$500</w:t>
      </w:r>
    </w:p>
    <w:p>
      <w:pPr>
        <w:spacing w:after="0" w:line="4" w:lineRule="exact"/>
        <w:rPr>
          <w:sz w:val="20"/>
          <w:szCs w:val="20"/>
          <w:color w:val="auto"/>
        </w:rPr>
      </w:pPr>
    </w:p>
    <w:p>
      <w:pPr>
        <w:jc w:val="both"/>
        <w:ind w:left="720" w:right="120" w:hanging="539"/>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Yes,</w:t>
      </w:r>
      <w:r>
        <w:rPr>
          <w:sz w:val="20"/>
          <w:szCs w:val="20"/>
          <w:color w:val="auto"/>
        </w:rPr>
        <w:t xml:space="preserve"> </w:t>
      </w:r>
      <w:r>
        <w:rPr>
          <w:rFonts w:ascii="Times New Roman" w:cs="Times New Roman" w:eastAsia="Times New Roman" w:hAnsi="Times New Roman"/>
          <w:sz w:val="22"/>
          <w:szCs w:val="22"/>
          <w:color w:val="auto"/>
        </w:rPr>
        <w:t xml:space="preserve">except a.3 (molecular beam epitaxial growth equipment using gas sources), .e (automatic loading multi-chamber central wafer handling systems </w:t>
      </w:r>
      <w:r>
        <w:rPr>
          <w:rFonts w:ascii="Times New Roman" w:cs="Times New Roman" w:eastAsia="Times New Roman" w:hAnsi="Times New Roman"/>
          <w:sz w:val="22"/>
          <w:szCs w:val="22"/>
          <w:i w:val="1"/>
          <w:iCs w:val="1"/>
          <w:color w:val="auto"/>
        </w:rPr>
        <w:t xml:space="preserve">only </w:t>
      </w:r>
      <w:r>
        <w:rPr>
          <w:rFonts w:ascii="Times New Roman" w:cs="Times New Roman" w:eastAsia="Times New Roman" w:hAnsi="Times New Roman"/>
          <w:sz w:val="22"/>
          <w:szCs w:val="22"/>
          <w:color w:val="auto"/>
        </w:rPr>
        <w:t>if connected to equipment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controlled by 3B001. a.3, or .f), and .f (lithography equipment).</w:t>
      </w:r>
    </w:p>
    <w:p>
      <w:pPr>
        <w:jc w:val="both"/>
        <w:ind w:left="720" w:right="120" w:hanging="539"/>
        <w:spacing w:after="0" w:line="270" w:lineRule="auto"/>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Yes</w:t>
      </w:r>
      <w:r>
        <w:rPr>
          <w:sz w:val="20"/>
          <w:szCs w:val="20"/>
          <w:color w:val="auto"/>
        </w:rPr>
        <w:t xml:space="preserve"> </w:t>
      </w:r>
      <w:r>
        <w:rPr>
          <w:rFonts w:ascii="Times New Roman" w:cs="Times New Roman" w:eastAsia="Times New Roman" w:hAnsi="Times New Roman"/>
          <w:sz w:val="22"/>
          <w:szCs w:val="22"/>
          <w:color w:val="auto"/>
        </w:rPr>
        <w:t>for equipment controlled by 3B001.a.1 and a.2.</w:t>
      </w:r>
    </w:p>
    <w:p>
      <w:pPr>
        <w:spacing w:after="0" w:line="18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3B991</w:t>
      </w:r>
    </w:p>
    <w:p>
      <w:pPr>
        <w:spacing w:after="0" w:line="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ind w:right="120"/>
        <w:spacing w:after="0" w:line="271" w:lineRule="auto"/>
        <w:rPr>
          <w:sz w:val="20"/>
          <w:szCs w:val="20"/>
          <w:color w:val="auto"/>
        </w:rPr>
      </w:pPr>
      <w:r>
        <w:rPr>
          <w:rFonts w:ascii="Times New Roman" w:cs="Times New Roman" w:eastAsia="Times New Roman" w:hAnsi="Times New Roman"/>
          <w:sz w:val="22"/>
          <w:szCs w:val="22"/>
          <w:color w:val="auto"/>
        </w:rPr>
        <w:t>a. Equipment designed for epitaxial growth as follows:</w:t>
      </w:r>
    </w:p>
    <w:p>
      <w:pPr>
        <w:spacing w:after="0" w:line="187" w:lineRule="exact"/>
        <w:rPr>
          <w:sz w:val="20"/>
          <w:szCs w:val="20"/>
          <w:color w:val="auto"/>
        </w:rPr>
      </w:pPr>
    </w:p>
    <w:p>
      <w:pPr>
        <w:jc w:val="both"/>
        <w:ind w:right="120"/>
        <w:spacing w:after="0" w:line="250" w:lineRule="auto"/>
        <w:rPr>
          <w:sz w:val="20"/>
          <w:szCs w:val="20"/>
          <w:color w:val="auto"/>
        </w:rPr>
      </w:pPr>
      <w:r>
        <w:rPr>
          <w:rFonts w:ascii="Times New Roman" w:cs="Times New Roman" w:eastAsia="Times New Roman" w:hAnsi="Times New Roman"/>
          <w:sz w:val="22"/>
          <w:szCs w:val="22"/>
          <w:color w:val="auto"/>
        </w:rPr>
        <w:t>a.1. Equipment designed or modified to produce a layer of any material other than silicon with a thickness uniform to less than ± 2.5% across a distance of 75 mm or more;</w:t>
      </w:r>
    </w:p>
    <w:p>
      <w:pPr>
        <w:spacing w:after="0" w:line="207" w:lineRule="exact"/>
        <w:rPr>
          <w:sz w:val="20"/>
          <w:szCs w:val="20"/>
          <w:color w:val="auto"/>
        </w:rPr>
      </w:pPr>
    </w:p>
    <w:p>
      <w:pPr>
        <w:jc w:val="both"/>
        <w:ind w:right="120" w:firstLine="144"/>
        <w:spacing w:after="0" w:line="275"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3B001.a.1 includes atomic layer epitaxy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(ALE) equipment.</w:t>
      </w:r>
    </w:p>
    <w:p>
      <w:pPr>
        <w:spacing w:after="0" w:line="200" w:lineRule="exact"/>
        <w:rPr>
          <w:sz w:val="20"/>
          <w:szCs w:val="20"/>
          <w:color w:val="auto"/>
        </w:rPr>
      </w:pPr>
    </w:p>
    <w:p>
      <w:pPr>
        <w:spacing w:after="0" w:line="237" w:lineRule="exact"/>
        <w:rPr>
          <w:sz w:val="20"/>
          <w:szCs w:val="20"/>
          <w:color w:val="auto"/>
        </w:rPr>
      </w:pPr>
    </w:p>
    <w:p>
      <w:pPr>
        <w:jc w:val="both"/>
        <w:ind w:right="120" w:firstLine="144"/>
        <w:spacing w:after="0" w:line="246" w:lineRule="auto"/>
        <w:rPr>
          <w:sz w:val="20"/>
          <w:szCs w:val="20"/>
          <w:color w:val="auto"/>
        </w:rPr>
      </w:pPr>
      <w:r>
        <w:rPr>
          <w:rFonts w:ascii="Times New Roman" w:cs="Times New Roman" w:eastAsia="Times New Roman" w:hAnsi="Times New Roman"/>
          <w:sz w:val="22"/>
          <w:szCs w:val="22"/>
          <w:color w:val="auto"/>
        </w:rPr>
        <w:t>a.2. Metal Organic Chemical Vapor Deposition (MOCVD) reactors designed for compound semiconductor epitaxial growth of material having two or more of the following elements: aluminum, gallium, indium, arsenic, phosphorus, antimony, or nitrogen;</w:t>
      </w:r>
    </w:p>
    <w:p>
      <w:pPr>
        <w:spacing w:after="0" w:line="371" w:lineRule="exact"/>
        <w:rPr>
          <w:sz w:val="20"/>
          <w:szCs w:val="20"/>
          <w:color w:val="auto"/>
        </w:rPr>
      </w:pPr>
    </w:p>
    <w:p>
      <w:pPr>
        <w:sectPr>
          <w:pgSz w:w="12240" w:h="15840" w:orient="portrait"/>
          <w:cols w:equalWidth="0" w:num="2">
            <w:col w:w="4320" w:space="720"/>
            <w:col w:w="4440"/>
          </w:cols>
          <w:pgMar w:left="1440" w:top="1062" w:right="1320" w:bottom="892" w:gutter="0" w:footer="0" w:header="0"/>
          <w:type w:val="continuous"/>
        </w:sectPr>
      </w:pPr>
    </w:p>
    <w:p>
      <w:pPr>
        <w:spacing w:after="0" w:line="200" w:lineRule="exact"/>
        <w:rPr>
          <w:sz w:val="20"/>
          <w:szCs w:val="20"/>
          <w:color w:val="auto"/>
        </w:rPr>
      </w:pPr>
    </w:p>
    <w:p>
      <w:pPr>
        <w:spacing w:after="0" w:line="376"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062" w:right="1320" w:bottom="892" w:gutter="0" w:footer="0" w:header="0"/>
          <w:type w:val="continuous"/>
        </w:sectPr>
      </w:pPr>
    </w:p>
    <w:bookmarkStart w:id="37" w:name="page38"/>
    <w:bookmarkEnd w:id="37"/>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38</w:t>
      </w:r>
    </w:p>
    <w:p>
      <w:pPr>
        <w:sectPr>
          <w:pgSz w:w="12240" w:h="15840" w:orient="portrait"/>
          <w:cols w:equalWidth="0" w:num="1">
            <w:col w:w="9400"/>
          </w:cols>
          <w:pgMar w:left="1440" w:top="1062" w:right="1400" w:bottom="892" w:gutter="0" w:footer="0" w:header="0"/>
        </w:sectPr>
      </w:pPr>
    </w:p>
    <w:p>
      <w:pPr>
        <w:spacing w:after="0" w:line="245"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a.3. Molecular beam epitaxial growth equipment using gas or solid sources;</w:t>
      </w:r>
    </w:p>
    <w:p>
      <w:pPr>
        <w:spacing w:after="0" w:line="187"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b. Equipment designed for ion implantation and having any of the following:</w:t>
      </w:r>
    </w:p>
    <w:p>
      <w:pPr>
        <w:spacing w:after="0" w:line="188"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b.1. [Reserved];</w:t>
      </w:r>
    </w:p>
    <w:p>
      <w:pPr>
        <w:spacing w:after="0" w:line="252" w:lineRule="exact"/>
        <w:rPr>
          <w:sz w:val="20"/>
          <w:szCs w:val="20"/>
          <w:color w:val="auto"/>
        </w:rPr>
      </w:pPr>
    </w:p>
    <w:p>
      <w:pPr>
        <w:jc w:val="both"/>
        <w:ind w:firstLine="144"/>
        <w:spacing w:after="0" w:line="250" w:lineRule="auto"/>
        <w:rPr>
          <w:sz w:val="20"/>
          <w:szCs w:val="20"/>
          <w:color w:val="auto"/>
        </w:rPr>
      </w:pPr>
      <w:r>
        <w:rPr>
          <w:rFonts w:ascii="Times New Roman" w:cs="Times New Roman" w:eastAsia="Times New Roman" w:hAnsi="Times New Roman"/>
          <w:sz w:val="22"/>
          <w:szCs w:val="22"/>
          <w:color w:val="auto"/>
        </w:rPr>
        <w:t>b.2. Being designed and optimized to operate at a beam energy of 20 keV or more and a beam current of 10 mA or more for hydrogen, deuterium, or helium implant;</w:t>
      </w:r>
    </w:p>
    <w:p>
      <w:pPr>
        <w:spacing w:after="0" w:line="211"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b.3. Direct write capability;</w:t>
      </w:r>
    </w:p>
    <w:p>
      <w:pPr>
        <w:spacing w:after="0" w:line="253" w:lineRule="exact"/>
        <w:rPr>
          <w:sz w:val="20"/>
          <w:szCs w:val="20"/>
          <w:color w:val="auto"/>
        </w:rPr>
      </w:pPr>
    </w:p>
    <w:p>
      <w:pPr>
        <w:jc w:val="both"/>
        <w:ind w:firstLine="144"/>
        <w:spacing w:after="0" w:line="250" w:lineRule="auto"/>
        <w:rPr>
          <w:sz w:val="20"/>
          <w:szCs w:val="20"/>
          <w:color w:val="auto"/>
        </w:rPr>
      </w:pPr>
      <w:r>
        <w:rPr>
          <w:rFonts w:ascii="Times New Roman" w:cs="Times New Roman" w:eastAsia="Times New Roman" w:hAnsi="Times New Roman"/>
          <w:sz w:val="22"/>
          <w:szCs w:val="22"/>
          <w:color w:val="auto"/>
        </w:rPr>
        <w:t xml:space="preserve">b.4. A beam energy of 65 keV or more and a beam current of 45 mA or more for high energy oxygen implant into a heated semiconductor material “substrate”;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jc w:val="both"/>
        <w:ind w:firstLine="144"/>
        <w:spacing w:after="0" w:line="247" w:lineRule="auto"/>
        <w:rPr>
          <w:sz w:val="20"/>
          <w:szCs w:val="20"/>
          <w:color w:val="auto"/>
        </w:rPr>
      </w:pPr>
      <w:r>
        <w:rPr>
          <w:rFonts w:ascii="Times New Roman" w:cs="Times New Roman" w:eastAsia="Times New Roman" w:hAnsi="Times New Roman"/>
          <w:sz w:val="22"/>
          <w:szCs w:val="22"/>
          <w:color w:val="auto"/>
        </w:rPr>
        <w:t>b.5. Being designed and optimized to operate at beam energy of 20keV or more and a beam current of 10mA or more for silicon implant into a semiconductor material “substrate” heated to 600 ˚C or greater;</w:t>
      </w:r>
    </w:p>
    <w:p>
      <w:pPr>
        <w:spacing w:after="0" w:line="216" w:lineRule="exact"/>
        <w:rPr>
          <w:sz w:val="20"/>
          <w:szCs w:val="20"/>
          <w:color w:val="auto"/>
        </w:rPr>
      </w:pPr>
    </w:p>
    <w:p>
      <w:pPr>
        <w:ind w:left="200" w:hanging="200"/>
        <w:spacing w:after="0"/>
        <w:tabs>
          <w:tab w:leader="none" w:pos="200" w:val="left"/>
        </w:tabs>
        <w:numPr>
          <w:ilvl w:val="0"/>
          <w:numId w:val="6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3" w:lineRule="exact"/>
        <w:rPr>
          <w:rFonts w:ascii="Times New Roman" w:cs="Times New Roman" w:eastAsia="Times New Roman" w:hAnsi="Times New Roman"/>
          <w:sz w:val="22"/>
          <w:szCs w:val="22"/>
          <w:color w:val="auto"/>
        </w:rPr>
      </w:pPr>
    </w:p>
    <w:p>
      <w:pPr>
        <w:ind w:left="220" w:hanging="220"/>
        <w:spacing w:after="0"/>
        <w:tabs>
          <w:tab w:leader="none" w:pos="220" w:val="left"/>
        </w:tabs>
        <w:numPr>
          <w:ilvl w:val="0"/>
          <w:numId w:val="6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2" w:lineRule="exact"/>
        <w:rPr>
          <w:rFonts w:ascii="Times New Roman" w:cs="Times New Roman" w:eastAsia="Times New Roman" w:hAnsi="Times New Roman"/>
          <w:sz w:val="22"/>
          <w:szCs w:val="22"/>
          <w:color w:val="auto"/>
        </w:rPr>
      </w:pPr>
    </w:p>
    <w:p>
      <w:pPr>
        <w:jc w:val="both"/>
        <w:spacing w:after="0" w:line="255" w:lineRule="auto"/>
        <w:tabs>
          <w:tab w:leader="none" w:pos="324" w:val="left"/>
        </w:tabs>
        <w:numPr>
          <w:ilvl w:val="0"/>
          <w:numId w:val="6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Automatic loading multi-chamber central wafer handling systems having all of the following:</w:t>
      </w:r>
    </w:p>
    <w:p>
      <w:pPr>
        <w:spacing w:after="0" w:line="206" w:lineRule="exact"/>
        <w:rPr>
          <w:sz w:val="20"/>
          <w:szCs w:val="20"/>
          <w:color w:val="auto"/>
        </w:rPr>
      </w:pPr>
    </w:p>
    <w:p>
      <w:pPr>
        <w:jc w:val="both"/>
        <w:ind w:firstLine="144"/>
        <w:spacing w:after="0" w:line="247" w:lineRule="auto"/>
        <w:rPr>
          <w:sz w:val="20"/>
          <w:szCs w:val="20"/>
          <w:color w:val="auto"/>
        </w:rPr>
      </w:pPr>
      <w:r>
        <w:rPr>
          <w:rFonts w:ascii="Times New Roman" w:cs="Times New Roman" w:eastAsia="Times New Roman" w:hAnsi="Times New Roman"/>
          <w:sz w:val="22"/>
          <w:szCs w:val="22"/>
          <w:color w:val="auto"/>
        </w:rPr>
        <w:t xml:space="preserve">e.1. Interfaces for wafer input and output, to which more than two functionally different ‘semiconductor process tools’ controlled by 3B001.a.1, 3B001.a.2, 3B001.a.3 or 3B001.b are designed to be connected; </w:t>
      </w:r>
      <w:r>
        <w:rPr>
          <w:rFonts w:ascii="Times New Roman" w:cs="Times New Roman" w:eastAsia="Times New Roman" w:hAnsi="Times New Roman"/>
          <w:sz w:val="22"/>
          <w:szCs w:val="22"/>
          <w:i w:val="1"/>
          <w:iCs w:val="1"/>
          <w:color w:val="auto"/>
        </w:rPr>
        <w:t>and</w:t>
      </w:r>
    </w:p>
    <w:p>
      <w:pPr>
        <w:spacing w:after="0" w:line="215"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e.2. Designed to form an integrated system in a vacuum environment for ‘sequential multiple wafer processing’;</w:t>
      </w:r>
    </w:p>
    <w:p>
      <w:pPr>
        <w:spacing w:after="0" w:line="202" w:lineRule="exact"/>
        <w:rPr>
          <w:sz w:val="20"/>
          <w:szCs w:val="20"/>
          <w:color w:val="auto"/>
        </w:rPr>
      </w:pPr>
    </w:p>
    <w:p>
      <w:pPr>
        <w:jc w:val="both"/>
        <w:ind w:firstLine="144"/>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3B001.e does not control automatic</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robotic wafer handling systems “specially designed” for parallel wafer processing.</w:t>
      </w:r>
    </w:p>
    <w:p>
      <w:pPr>
        <w:spacing w:after="0" w:line="20" w:lineRule="exact"/>
        <w:rPr>
          <w:sz w:val="20"/>
          <w:szCs w:val="20"/>
          <w:color w:val="auto"/>
        </w:rPr>
      </w:pPr>
      <w:r>
        <w:rPr>
          <w:sz w:val="20"/>
          <w:szCs w:val="20"/>
          <w:color w:val="auto"/>
        </w:rPr>
        <w:br w:type="column"/>
      </w:r>
    </w:p>
    <w:p>
      <w:pPr>
        <w:spacing w:after="0" w:line="220"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r>
        <w:rPr>
          <w:rFonts w:ascii="Times New Roman" w:cs="Times New Roman" w:eastAsia="Times New Roman" w:hAnsi="Times New Roman"/>
          <w:sz w:val="22"/>
          <w:szCs w:val="22"/>
          <w:i w:val="1"/>
          <w:iCs w:val="1"/>
          <w:color w:val="auto"/>
        </w:rPr>
        <w:t>:</w:t>
      </w:r>
    </w:p>
    <w:p>
      <w:pPr>
        <w:spacing w:after="0" w:line="254" w:lineRule="exact"/>
        <w:rPr>
          <w:sz w:val="20"/>
          <w:szCs w:val="20"/>
          <w:color w:val="auto"/>
        </w:rPr>
      </w:pPr>
    </w:p>
    <w:p>
      <w:pPr>
        <w:jc w:val="both"/>
        <w:ind w:right="40" w:firstLine="144"/>
        <w:spacing w:after="0" w:line="247" w:lineRule="auto"/>
        <w:rPr>
          <w:sz w:val="20"/>
          <w:szCs w:val="20"/>
          <w:color w:val="auto"/>
        </w:rPr>
      </w:pPr>
      <w:r>
        <w:rPr>
          <w:rFonts w:ascii="Times New Roman" w:cs="Times New Roman" w:eastAsia="Times New Roman" w:hAnsi="Times New Roman"/>
          <w:sz w:val="22"/>
          <w:szCs w:val="22"/>
          <w:i w:val="1"/>
          <w:iCs w:val="1"/>
          <w:color w:val="auto"/>
        </w:rPr>
        <w:t>1. For the purpose of 3B001.e, ‘semiconductor process tools’ refers to modular tools that provide physical processes for semiconductor production that are functionally different, such as deposition, implant or thermal processing.</w:t>
      </w:r>
    </w:p>
    <w:p>
      <w:pPr>
        <w:spacing w:after="0" w:line="200" w:lineRule="exact"/>
        <w:rPr>
          <w:sz w:val="20"/>
          <w:szCs w:val="20"/>
          <w:color w:val="auto"/>
        </w:rPr>
      </w:pPr>
    </w:p>
    <w:p>
      <w:pPr>
        <w:spacing w:after="0" w:line="269" w:lineRule="exact"/>
        <w:rPr>
          <w:sz w:val="20"/>
          <w:szCs w:val="20"/>
          <w:color w:val="auto"/>
        </w:rPr>
      </w:pPr>
    </w:p>
    <w:p>
      <w:pPr>
        <w:jc w:val="both"/>
        <w:ind w:right="40" w:firstLine="144"/>
        <w:spacing w:after="0" w:line="241" w:lineRule="auto"/>
        <w:tabs>
          <w:tab w:leader="none" w:pos="432" w:val="left"/>
        </w:tabs>
        <w:numPr>
          <w:ilvl w:val="0"/>
          <w:numId w:val="6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the purpose of 3B001.e, ‘sequential multiple wafer processing’ means the capability to process each wafer in different</w:t>
      </w:r>
    </w:p>
    <w:p>
      <w:pPr>
        <w:spacing w:after="0" w:line="2" w:lineRule="exact"/>
        <w:rPr>
          <w:sz w:val="20"/>
          <w:szCs w:val="20"/>
          <w:color w:val="auto"/>
        </w:rPr>
      </w:pPr>
    </w:p>
    <w:p>
      <w:pPr>
        <w:jc w:val="both"/>
        <w:ind w:right="40"/>
        <w:spacing w:after="0" w:line="247" w:lineRule="auto"/>
        <w:rPr>
          <w:sz w:val="20"/>
          <w:szCs w:val="20"/>
          <w:color w:val="auto"/>
        </w:rPr>
      </w:pPr>
      <w:r>
        <w:rPr>
          <w:rFonts w:ascii="Times New Roman" w:cs="Times New Roman" w:eastAsia="Times New Roman" w:hAnsi="Times New Roman"/>
          <w:sz w:val="22"/>
          <w:szCs w:val="22"/>
          <w:i w:val="1"/>
          <w:iCs w:val="1"/>
          <w:color w:val="auto"/>
        </w:rPr>
        <w:t>‘semiconductor process tools’, such as by transferring each wafer from one tool to a second tool and on to a third tool with the automatic loading multi-chamber central wafer handling systems.</w:t>
      </w:r>
    </w:p>
    <w:p>
      <w:pPr>
        <w:spacing w:after="0" w:line="21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f. Lithography equipment as follows:</w:t>
      </w:r>
    </w:p>
    <w:p>
      <w:pPr>
        <w:spacing w:after="0" w:line="253" w:lineRule="exact"/>
        <w:rPr>
          <w:sz w:val="20"/>
          <w:szCs w:val="20"/>
          <w:color w:val="auto"/>
        </w:rPr>
      </w:pPr>
    </w:p>
    <w:p>
      <w:pPr>
        <w:jc w:val="both"/>
        <w:ind w:right="40" w:firstLine="144"/>
        <w:spacing w:after="0" w:line="247" w:lineRule="auto"/>
        <w:rPr>
          <w:sz w:val="20"/>
          <w:szCs w:val="20"/>
          <w:color w:val="auto"/>
        </w:rPr>
      </w:pPr>
      <w:r>
        <w:rPr>
          <w:rFonts w:ascii="Times New Roman" w:cs="Times New Roman" w:eastAsia="Times New Roman" w:hAnsi="Times New Roman"/>
          <w:sz w:val="22"/>
          <w:szCs w:val="22"/>
          <w:color w:val="auto"/>
        </w:rPr>
        <w:t>f.1. Align and expose step and repeat (direct step on wafer) or step and scan (scanner) equipment for wafer processing using photo-optical or X-ray methods and having any of the following:</w:t>
      </w:r>
    </w:p>
    <w:p>
      <w:pPr>
        <w:spacing w:after="0" w:line="216" w:lineRule="exact"/>
        <w:rPr>
          <w:sz w:val="20"/>
          <w:szCs w:val="20"/>
          <w:color w:val="auto"/>
        </w:rPr>
      </w:pPr>
    </w:p>
    <w:p>
      <w:pPr>
        <w:jc w:val="both"/>
        <w:ind w:right="40" w:firstLine="288"/>
        <w:spacing w:after="0" w:line="271" w:lineRule="auto"/>
        <w:rPr>
          <w:sz w:val="20"/>
          <w:szCs w:val="20"/>
          <w:color w:val="auto"/>
        </w:rPr>
      </w:pPr>
      <w:r>
        <w:rPr>
          <w:rFonts w:ascii="Times New Roman" w:cs="Times New Roman" w:eastAsia="Times New Roman" w:hAnsi="Times New Roman"/>
          <w:sz w:val="22"/>
          <w:szCs w:val="22"/>
          <w:color w:val="auto"/>
        </w:rPr>
        <w:t xml:space="preserve">f.1.a. A light source wavelength shorter than 193 nm;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right="40" w:firstLine="288"/>
        <w:spacing w:after="0" w:line="255" w:lineRule="auto"/>
        <w:rPr>
          <w:sz w:val="20"/>
          <w:szCs w:val="20"/>
          <w:color w:val="auto"/>
        </w:rPr>
      </w:pPr>
      <w:r>
        <w:rPr>
          <w:rFonts w:ascii="Times New Roman" w:cs="Times New Roman" w:eastAsia="Times New Roman" w:hAnsi="Times New Roman"/>
          <w:sz w:val="22"/>
          <w:szCs w:val="22"/>
          <w:color w:val="auto"/>
        </w:rPr>
        <w:t>f.1.b. Capable of producing a pattern with a “Minimum Resolvable Feature size” (MRF) of 45 nm or less;</w:t>
      </w:r>
    </w:p>
    <w:p>
      <w:pPr>
        <w:spacing w:after="0" w:line="202" w:lineRule="exact"/>
        <w:rPr>
          <w:sz w:val="20"/>
          <w:szCs w:val="20"/>
          <w:color w:val="auto"/>
        </w:rPr>
      </w:pPr>
    </w:p>
    <w:p>
      <w:pPr>
        <w:jc w:val="both"/>
        <w:ind w:right="4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The ‘Minimum Resolvable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Feature size’ (MRF) is calculated by the following formula:</w:t>
      </w:r>
    </w:p>
    <w:p>
      <w:pPr>
        <w:spacing w:after="0" w:line="201" w:lineRule="exact"/>
        <w:rPr>
          <w:sz w:val="20"/>
          <w:szCs w:val="20"/>
          <w:color w:val="auto"/>
        </w:rPr>
      </w:pPr>
    </w:p>
    <w:p>
      <w:pPr>
        <w:jc w:val="both"/>
        <w:ind w:left="1080"/>
        <w:spacing w:after="0"/>
        <w:tabs>
          <w:tab w:leader="none" w:pos="1760" w:val="left"/>
          <w:tab w:leader="none" w:pos="2940" w:val="left"/>
          <w:tab w:leader="none" w:pos="3760" w:val="left"/>
        </w:tabs>
        <w:rPr>
          <w:sz w:val="20"/>
          <w:szCs w:val="20"/>
          <w:color w:val="auto"/>
        </w:rPr>
      </w:pPr>
      <w:r>
        <w:rPr>
          <w:rFonts w:ascii="Times New Roman" w:cs="Times New Roman" w:eastAsia="Times New Roman" w:hAnsi="Times New Roman"/>
          <w:sz w:val="22"/>
          <w:szCs w:val="22"/>
          <w:i w:val="1"/>
          <w:iCs w:val="1"/>
          <w:color w:val="auto"/>
        </w:rPr>
        <w:t>(an</w:t>
      </w:r>
      <w:r>
        <w:rPr>
          <w:sz w:val="20"/>
          <w:szCs w:val="20"/>
          <w:color w:val="auto"/>
        </w:rPr>
        <w:tab/>
      </w:r>
      <w:r>
        <w:rPr>
          <w:rFonts w:ascii="Times New Roman" w:cs="Times New Roman" w:eastAsia="Times New Roman" w:hAnsi="Times New Roman"/>
          <w:sz w:val="22"/>
          <w:szCs w:val="22"/>
          <w:i w:val="1"/>
          <w:iCs w:val="1"/>
          <w:color w:val="auto"/>
        </w:rPr>
        <w:t>exposure</w:t>
      </w:r>
      <w:r>
        <w:rPr>
          <w:sz w:val="20"/>
          <w:szCs w:val="20"/>
          <w:color w:val="auto"/>
        </w:rPr>
        <w:tab/>
      </w:r>
      <w:r>
        <w:rPr>
          <w:rFonts w:ascii="Times New Roman" w:cs="Times New Roman" w:eastAsia="Times New Roman" w:hAnsi="Times New Roman"/>
          <w:sz w:val="22"/>
          <w:szCs w:val="22"/>
          <w:i w:val="1"/>
          <w:iCs w:val="1"/>
          <w:color w:val="auto"/>
        </w:rPr>
        <w:t>light</w:t>
      </w:r>
      <w:r>
        <w:rPr>
          <w:sz w:val="20"/>
          <w:szCs w:val="20"/>
          <w:color w:val="auto"/>
        </w:rPr>
        <w:tab/>
      </w:r>
      <w:r>
        <w:rPr>
          <w:rFonts w:ascii="Times New Roman" w:cs="Times New Roman" w:eastAsia="Times New Roman" w:hAnsi="Times New Roman"/>
          <w:sz w:val="21"/>
          <w:szCs w:val="21"/>
          <w:i w:val="1"/>
          <w:iCs w:val="1"/>
          <w:color w:val="auto"/>
        </w:rPr>
        <w:t>source</w:t>
      </w:r>
    </w:p>
    <w:tbl>
      <w:tblPr>
        <w:tblLayout w:type="fixed"/>
        <w:tblInd w:w="0" w:type="dxa"/>
        <w:tblCellMar>
          <w:top w:w="0" w:type="dxa"/>
          <w:left w:w="0" w:type="dxa"/>
          <w:bottom w:w="0" w:type="dxa"/>
          <w:right w:w="0" w:type="dxa"/>
        </w:tblCellMar>
      </w:tblPr>
      <w:tr>
        <w:trPr>
          <w:trHeight w:val="253"/>
        </w:trPr>
        <w:tc>
          <w:tcPr>
            <w:tcW w:w="880" w:type="dxa"/>
            <w:vAlign w:val="bottom"/>
            <w:vMerge w:val="restart"/>
          </w:tcPr>
          <w:p>
            <w:pPr>
              <w:spacing w:after="0"/>
              <w:rPr>
                <w:sz w:val="20"/>
                <w:szCs w:val="20"/>
                <w:color w:val="auto"/>
              </w:rPr>
            </w:pPr>
            <w:r>
              <w:rPr>
                <w:rFonts w:ascii="Times New Roman" w:cs="Times New Roman" w:eastAsia="Times New Roman" w:hAnsi="Times New Roman"/>
                <w:sz w:val="22"/>
                <w:szCs w:val="22"/>
                <w:i w:val="1"/>
                <w:iCs w:val="1"/>
                <w:color w:val="auto"/>
              </w:rPr>
              <w:t>MRF =</w:t>
            </w:r>
          </w:p>
        </w:tc>
        <w:tc>
          <w:tcPr>
            <w:tcW w:w="3280" w:type="dxa"/>
            <w:vAlign w:val="bottom"/>
          </w:tcPr>
          <w:p>
            <w:pPr>
              <w:ind w:left="200"/>
              <w:spacing w:after="0"/>
              <w:rPr>
                <w:sz w:val="20"/>
                <w:szCs w:val="20"/>
                <w:color w:val="auto"/>
              </w:rPr>
            </w:pPr>
            <w:r>
              <w:rPr>
                <w:rFonts w:ascii="Times New Roman" w:cs="Times New Roman" w:eastAsia="Times New Roman" w:hAnsi="Times New Roman"/>
                <w:sz w:val="22"/>
                <w:szCs w:val="22"/>
                <w:i w:val="1"/>
                <w:iCs w:val="1"/>
                <w:color w:val="auto"/>
              </w:rPr>
              <w:t>wavelength in nm) x (K factor)</w:t>
            </w:r>
          </w:p>
        </w:tc>
        <w:tc>
          <w:tcPr>
            <w:tcW w:w="0" w:type="dxa"/>
            <w:vAlign w:val="bottom"/>
          </w:tcPr>
          <w:p>
            <w:pPr>
              <w:spacing w:after="0"/>
              <w:rPr>
                <w:sz w:val="1"/>
                <w:szCs w:val="1"/>
                <w:color w:val="auto"/>
              </w:rPr>
            </w:pPr>
          </w:p>
        </w:tc>
      </w:tr>
      <w:tr>
        <w:trPr>
          <w:trHeight w:val="162"/>
        </w:trPr>
        <w:tc>
          <w:tcPr>
            <w:tcW w:w="880" w:type="dxa"/>
            <w:vAlign w:val="bottom"/>
            <w:vMerge w:val="continue"/>
          </w:tcPr>
          <w:p>
            <w:pPr>
              <w:spacing w:after="0"/>
              <w:rPr>
                <w:sz w:val="14"/>
                <w:szCs w:val="14"/>
                <w:color w:val="auto"/>
              </w:rPr>
            </w:pPr>
          </w:p>
        </w:tc>
        <w:tc>
          <w:tcPr>
            <w:tcW w:w="3280" w:type="dxa"/>
            <w:vAlign w:val="bottom"/>
            <w:vMerge w:val="restart"/>
          </w:tcPr>
          <w:p>
            <w:pPr>
              <w:ind w:left="200"/>
              <w:spacing w:after="0"/>
              <w:rPr>
                <w:sz w:val="20"/>
                <w:szCs w:val="20"/>
                <w:color w:val="auto"/>
              </w:rPr>
            </w:pPr>
            <w:r>
              <w:rPr>
                <w:rFonts w:ascii="Times New Roman" w:cs="Times New Roman" w:eastAsia="Times New Roman" w:hAnsi="Times New Roman"/>
                <w:sz w:val="22"/>
                <w:szCs w:val="22"/>
                <w:i w:val="1"/>
                <w:iCs w:val="1"/>
                <w:color w:val="auto"/>
                <w:w w:val="99"/>
              </w:rPr>
              <w:t>------------------------------------------</w:t>
            </w:r>
          </w:p>
        </w:tc>
        <w:tc>
          <w:tcPr>
            <w:tcW w:w="0" w:type="dxa"/>
            <w:vAlign w:val="bottom"/>
          </w:tcPr>
          <w:p>
            <w:pPr>
              <w:spacing w:after="0"/>
              <w:rPr>
                <w:sz w:val="1"/>
                <w:szCs w:val="1"/>
                <w:color w:val="auto"/>
              </w:rPr>
            </w:pPr>
          </w:p>
        </w:tc>
      </w:tr>
      <w:tr>
        <w:trPr>
          <w:trHeight w:val="90"/>
        </w:trPr>
        <w:tc>
          <w:tcPr>
            <w:tcW w:w="880" w:type="dxa"/>
            <w:vAlign w:val="bottom"/>
          </w:tcPr>
          <w:p>
            <w:pPr>
              <w:spacing w:after="0"/>
              <w:rPr>
                <w:sz w:val="7"/>
                <w:szCs w:val="7"/>
                <w:color w:val="auto"/>
              </w:rPr>
            </w:pPr>
          </w:p>
        </w:tc>
        <w:tc>
          <w:tcPr>
            <w:tcW w:w="3280" w:type="dxa"/>
            <w:vAlign w:val="bottom"/>
            <w:vMerge w:val="continue"/>
          </w:tcPr>
          <w:p>
            <w:pPr>
              <w:spacing w:after="0"/>
              <w:rPr>
                <w:sz w:val="7"/>
                <w:szCs w:val="7"/>
                <w:color w:val="auto"/>
              </w:rPr>
            </w:pPr>
          </w:p>
        </w:tc>
        <w:tc>
          <w:tcPr>
            <w:tcW w:w="0" w:type="dxa"/>
            <w:vAlign w:val="bottom"/>
          </w:tcPr>
          <w:p>
            <w:pPr>
              <w:spacing w:after="0"/>
              <w:rPr>
                <w:sz w:val="1"/>
                <w:szCs w:val="1"/>
                <w:color w:val="auto"/>
              </w:rPr>
            </w:pPr>
          </w:p>
        </w:tc>
      </w:tr>
      <w:tr>
        <w:trPr>
          <w:trHeight w:val="290"/>
        </w:trPr>
        <w:tc>
          <w:tcPr>
            <w:tcW w:w="880" w:type="dxa"/>
            <w:vAlign w:val="bottom"/>
          </w:tcPr>
          <w:p>
            <w:pPr>
              <w:spacing w:after="0"/>
              <w:rPr>
                <w:sz w:val="24"/>
                <w:szCs w:val="24"/>
                <w:color w:val="auto"/>
              </w:rPr>
            </w:pPr>
          </w:p>
        </w:tc>
        <w:tc>
          <w:tcPr>
            <w:tcW w:w="3280" w:type="dxa"/>
            <w:vAlign w:val="bottom"/>
          </w:tcPr>
          <w:p>
            <w:pPr>
              <w:ind w:left="200"/>
              <w:spacing w:after="0"/>
              <w:rPr>
                <w:sz w:val="20"/>
                <w:szCs w:val="20"/>
                <w:color w:val="auto"/>
              </w:rPr>
            </w:pPr>
            <w:r>
              <w:rPr>
                <w:rFonts w:ascii="Times New Roman" w:cs="Times New Roman" w:eastAsia="Times New Roman" w:hAnsi="Times New Roman"/>
                <w:sz w:val="22"/>
                <w:szCs w:val="22"/>
                <w:i w:val="1"/>
                <w:iCs w:val="1"/>
                <w:color w:val="auto"/>
              </w:rPr>
              <w:t>numerical aperture</w:t>
            </w:r>
          </w:p>
        </w:tc>
        <w:tc>
          <w:tcPr>
            <w:tcW w:w="0" w:type="dxa"/>
            <w:vAlign w:val="bottom"/>
          </w:tcPr>
          <w:p>
            <w:pPr>
              <w:spacing w:after="0"/>
              <w:rPr>
                <w:sz w:val="1"/>
                <w:szCs w:val="1"/>
                <w:color w:val="auto"/>
              </w:rPr>
            </w:pPr>
          </w:p>
        </w:tc>
      </w:tr>
    </w:tbl>
    <w:p>
      <w:pPr>
        <w:spacing w:after="0" w:line="217" w:lineRule="exact"/>
        <w:rPr>
          <w:sz w:val="20"/>
          <w:szCs w:val="20"/>
          <w:color w:val="auto"/>
        </w:rPr>
      </w:pPr>
    </w:p>
    <w:p>
      <w:pPr>
        <w:jc w:val="center"/>
        <w:ind w:right="640"/>
        <w:spacing w:after="0"/>
        <w:rPr>
          <w:sz w:val="20"/>
          <w:szCs w:val="20"/>
          <w:color w:val="auto"/>
        </w:rPr>
      </w:pPr>
      <w:r>
        <w:rPr>
          <w:rFonts w:ascii="Times New Roman" w:cs="Times New Roman" w:eastAsia="Times New Roman" w:hAnsi="Times New Roman"/>
          <w:sz w:val="22"/>
          <w:szCs w:val="22"/>
          <w:i w:val="1"/>
          <w:iCs w:val="1"/>
          <w:color w:val="auto"/>
        </w:rPr>
        <w:t>where the K factor = 0.35</w:t>
      </w:r>
    </w:p>
    <w:p>
      <w:pPr>
        <w:spacing w:after="0" w:line="256" w:lineRule="exact"/>
        <w:rPr>
          <w:sz w:val="20"/>
          <w:szCs w:val="20"/>
          <w:color w:val="auto"/>
        </w:rPr>
      </w:pPr>
    </w:p>
    <w:p>
      <w:pPr>
        <w:ind w:right="40" w:firstLine="144"/>
        <w:spacing w:after="0" w:line="271" w:lineRule="auto"/>
        <w:rPr>
          <w:sz w:val="20"/>
          <w:szCs w:val="20"/>
          <w:color w:val="auto"/>
        </w:rPr>
      </w:pPr>
      <w:r>
        <w:rPr>
          <w:rFonts w:ascii="Times New Roman" w:cs="Times New Roman" w:eastAsia="Times New Roman" w:hAnsi="Times New Roman"/>
          <w:sz w:val="22"/>
          <w:szCs w:val="22"/>
          <w:color w:val="auto"/>
        </w:rPr>
        <w:t>f.2 Imprint lithography equipment capable of production features of 45 nm or less;</w:t>
      </w:r>
    </w:p>
    <w:p>
      <w:pPr>
        <w:spacing w:after="0" w:line="436" w:lineRule="exact"/>
        <w:rPr>
          <w:sz w:val="20"/>
          <w:szCs w:val="20"/>
          <w:color w:val="auto"/>
        </w:rPr>
      </w:pPr>
    </w:p>
    <w:p>
      <w:pPr>
        <w:sectPr>
          <w:pgSz w:w="12240" w:h="15840" w:orient="portrait"/>
          <w:cols w:equalWidth="0" w:num="2">
            <w:col w:w="4320" w:space="720"/>
            <w:col w:w="4360"/>
          </w:cols>
          <w:pgMar w:left="1440" w:top="1062" w:right="1400" w:bottom="892" w:gutter="0" w:footer="0" w:header="0"/>
          <w:type w:val="continuous"/>
        </w:sectPr>
      </w:pPr>
    </w:p>
    <w:p>
      <w:pPr>
        <w:spacing w:after="0" w:line="200" w:lineRule="exact"/>
        <w:rPr>
          <w:sz w:val="20"/>
          <w:szCs w:val="20"/>
          <w:color w:val="auto"/>
        </w:rPr>
      </w:pPr>
    </w:p>
    <w:p>
      <w:pPr>
        <w:spacing w:after="0" w:line="323"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00"/>
          </w:cols>
          <w:pgMar w:left="1440" w:top="1062" w:right="1400" w:bottom="892" w:gutter="0" w:footer="0" w:header="0"/>
          <w:type w:val="continuous"/>
        </w:sectPr>
      </w:pPr>
    </w:p>
    <w:bookmarkStart w:id="38" w:name="page39"/>
    <w:bookmarkEnd w:id="38"/>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39</w:t>
      </w:r>
    </w:p>
    <w:p>
      <w:pPr>
        <w:sectPr>
          <w:pgSz w:w="12240" w:h="15840" w:orient="portrait"/>
          <w:cols w:equalWidth="0" w:num="1">
            <w:col w:w="9480"/>
          </w:cols>
          <w:pgMar w:left="1440" w:top="1062" w:right="1320" w:bottom="892" w:gutter="0" w:footer="0" w:header="0"/>
        </w:sectPr>
      </w:pPr>
    </w:p>
    <w:p>
      <w:pPr>
        <w:spacing w:after="0" w:line="240"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3B001.f.2 includes:</w:t>
      </w:r>
    </w:p>
    <w:p>
      <w:pPr>
        <w:spacing w:after="0" w:line="254" w:lineRule="exact"/>
        <w:rPr>
          <w:sz w:val="20"/>
          <w:szCs w:val="20"/>
          <w:color w:val="auto"/>
        </w:rPr>
      </w:pPr>
    </w:p>
    <w:p>
      <w:pPr>
        <w:ind w:left="440" w:hanging="152"/>
        <w:spacing w:after="0"/>
        <w:tabs>
          <w:tab w:leader="none" w:pos="440" w:val="left"/>
        </w:tabs>
        <w:numPr>
          <w:ilvl w:val="0"/>
          <w:numId w:val="6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Micro contact printing tools</w:t>
      </w:r>
    </w:p>
    <w:p>
      <w:pPr>
        <w:spacing w:after="0" w:line="253" w:lineRule="exact"/>
        <w:rPr>
          <w:rFonts w:ascii="Times New Roman" w:cs="Times New Roman" w:eastAsia="Times New Roman" w:hAnsi="Times New Roman"/>
          <w:sz w:val="22"/>
          <w:szCs w:val="22"/>
          <w:i w:val="1"/>
          <w:iCs w:val="1"/>
          <w:color w:val="auto"/>
        </w:rPr>
      </w:pPr>
    </w:p>
    <w:p>
      <w:pPr>
        <w:ind w:left="440" w:hanging="152"/>
        <w:spacing w:after="0"/>
        <w:tabs>
          <w:tab w:leader="none" w:pos="440" w:val="left"/>
        </w:tabs>
        <w:numPr>
          <w:ilvl w:val="0"/>
          <w:numId w:val="6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Hot embossing tools</w:t>
      </w:r>
    </w:p>
    <w:p>
      <w:pPr>
        <w:spacing w:after="0" w:line="253" w:lineRule="exact"/>
        <w:rPr>
          <w:rFonts w:ascii="Times New Roman" w:cs="Times New Roman" w:eastAsia="Times New Roman" w:hAnsi="Times New Roman"/>
          <w:sz w:val="22"/>
          <w:szCs w:val="22"/>
          <w:i w:val="1"/>
          <w:iCs w:val="1"/>
          <w:color w:val="auto"/>
        </w:rPr>
      </w:pPr>
    </w:p>
    <w:p>
      <w:pPr>
        <w:ind w:left="440" w:hanging="152"/>
        <w:spacing w:after="0"/>
        <w:tabs>
          <w:tab w:leader="none" w:pos="440" w:val="left"/>
        </w:tabs>
        <w:numPr>
          <w:ilvl w:val="0"/>
          <w:numId w:val="6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Nano-imprint lithography tools</w:t>
      </w:r>
    </w:p>
    <w:p>
      <w:pPr>
        <w:spacing w:after="0" w:line="252" w:lineRule="exact"/>
        <w:rPr>
          <w:rFonts w:ascii="Times New Roman" w:cs="Times New Roman" w:eastAsia="Times New Roman" w:hAnsi="Times New Roman"/>
          <w:sz w:val="22"/>
          <w:szCs w:val="22"/>
          <w:i w:val="1"/>
          <w:iCs w:val="1"/>
          <w:color w:val="auto"/>
        </w:rPr>
      </w:pPr>
    </w:p>
    <w:p>
      <w:pPr>
        <w:ind w:left="440" w:hanging="152"/>
        <w:spacing w:after="0"/>
        <w:tabs>
          <w:tab w:leader="none" w:pos="440" w:val="left"/>
        </w:tabs>
        <w:numPr>
          <w:ilvl w:val="0"/>
          <w:numId w:val="6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Step and flash imprint lithography (S-FIL)</w:t>
      </w:r>
    </w:p>
    <w:p>
      <w:pPr>
        <w:spacing w:after="0" w:line="4" w:lineRule="exact"/>
        <w:rPr>
          <w:rFonts w:ascii="Times New Roman" w:cs="Times New Roman" w:eastAsia="Times New Roman" w:hAnsi="Times New Roman"/>
          <w:sz w:val="22"/>
          <w:szCs w:val="22"/>
          <w:i w:val="1"/>
          <w:iCs w:val="1"/>
          <w:color w:val="auto"/>
        </w:rPr>
      </w:pPr>
    </w:p>
    <w:p>
      <w:pPr>
        <w:spacing w:after="0"/>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tools</w:t>
      </w:r>
    </w:p>
    <w:p>
      <w:pPr>
        <w:spacing w:after="0" w:line="252"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f.3. Equipment “specially designed” for mask making having all of the following:</w:t>
      </w:r>
    </w:p>
    <w:p>
      <w:pPr>
        <w:spacing w:after="0" w:line="187"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 xml:space="preserve">f.3.a. A deflected focused electron beam, ion beam or “laser” beam; </w:t>
      </w:r>
      <w:r>
        <w:rPr>
          <w:rFonts w:ascii="Times New Roman" w:cs="Times New Roman" w:eastAsia="Times New Roman" w:hAnsi="Times New Roman"/>
          <w:sz w:val="22"/>
          <w:szCs w:val="22"/>
          <w:i w:val="1"/>
          <w:iCs w:val="1"/>
          <w:color w:val="auto"/>
        </w:rPr>
        <w:t>and</w:t>
      </w:r>
    </w:p>
    <w:p>
      <w:pPr>
        <w:spacing w:after="0" w:line="188"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color w:val="auto"/>
        </w:rPr>
        <w:t>f.3.b. Having any of the following:</w:t>
      </w:r>
    </w:p>
    <w:p>
      <w:pPr>
        <w:spacing w:after="0" w:line="252" w:lineRule="exact"/>
        <w:rPr>
          <w:sz w:val="20"/>
          <w:szCs w:val="20"/>
          <w:color w:val="auto"/>
        </w:rPr>
      </w:pPr>
    </w:p>
    <w:p>
      <w:pPr>
        <w:jc w:val="both"/>
        <w:ind w:firstLine="432"/>
        <w:spacing w:after="0" w:line="250" w:lineRule="auto"/>
        <w:rPr>
          <w:sz w:val="20"/>
          <w:szCs w:val="20"/>
          <w:color w:val="auto"/>
        </w:rPr>
      </w:pPr>
      <w:r>
        <w:rPr>
          <w:rFonts w:ascii="Times New Roman" w:cs="Times New Roman" w:eastAsia="Times New Roman" w:hAnsi="Times New Roman"/>
          <w:sz w:val="22"/>
          <w:szCs w:val="22"/>
          <w:color w:val="auto"/>
        </w:rPr>
        <w:t xml:space="preserve">f.3.b.1. A Full-Width Half-Maximum (FWHM) spot size smaller than 65 nm and an image placement less than 17 nm (mean + 3 sigma); </w:t>
      </w:r>
      <w:r>
        <w:rPr>
          <w:rFonts w:ascii="Times New Roman" w:cs="Times New Roman" w:eastAsia="Times New Roman" w:hAnsi="Times New Roman"/>
          <w:sz w:val="22"/>
          <w:szCs w:val="22"/>
          <w:i w:val="1"/>
          <w:iCs w:val="1"/>
          <w:u w:val="single" w:color="auto"/>
          <w:color w:val="auto"/>
        </w:rPr>
        <w:t>or</w:t>
      </w:r>
    </w:p>
    <w:p>
      <w:pPr>
        <w:spacing w:after="0" w:line="20" w:lineRule="exact"/>
        <w:rPr>
          <w:sz w:val="20"/>
          <w:szCs w:val="20"/>
          <w:color w:val="auto"/>
        </w:rPr>
      </w:pPr>
      <w:r>
        <w:rPr>
          <w:sz w:val="20"/>
          <w:szCs w:val="20"/>
          <w:color w:val="auto"/>
        </w:rPr>
        <w:br w:type="column"/>
      </w:r>
    </w:p>
    <w:p>
      <w:pPr>
        <w:spacing w:after="0" w:line="225" w:lineRule="exact"/>
        <w:rPr>
          <w:sz w:val="20"/>
          <w:szCs w:val="20"/>
          <w:color w:val="auto"/>
        </w:rPr>
      </w:pPr>
    </w:p>
    <w:p>
      <w:pPr>
        <w:jc w:val="both"/>
        <w:ind w:right="120"/>
        <w:spacing w:after="0" w:line="255" w:lineRule="auto"/>
        <w:rPr>
          <w:sz w:val="20"/>
          <w:szCs w:val="20"/>
          <w:color w:val="auto"/>
        </w:rPr>
      </w:pPr>
      <w:r>
        <w:rPr>
          <w:rFonts w:ascii="Times New Roman" w:cs="Times New Roman" w:eastAsia="Times New Roman" w:hAnsi="Times New Roman"/>
          <w:sz w:val="22"/>
          <w:szCs w:val="22"/>
          <w:color w:val="auto"/>
        </w:rPr>
        <w:t>h. Multi-layer masks with a phase shift layer not specified by 3B001.g and having any of the following:</w:t>
      </w:r>
    </w:p>
    <w:p>
      <w:pPr>
        <w:spacing w:after="0" w:line="205" w:lineRule="exact"/>
        <w:rPr>
          <w:sz w:val="20"/>
          <w:szCs w:val="20"/>
          <w:color w:val="auto"/>
        </w:rPr>
      </w:pPr>
    </w:p>
    <w:p>
      <w:pPr>
        <w:jc w:val="both"/>
        <w:ind w:right="120" w:firstLine="144"/>
        <w:spacing w:after="0" w:line="255" w:lineRule="auto"/>
        <w:rPr>
          <w:sz w:val="20"/>
          <w:szCs w:val="20"/>
          <w:color w:val="auto"/>
        </w:rPr>
      </w:pPr>
      <w:r>
        <w:rPr>
          <w:rFonts w:ascii="Times New Roman" w:cs="Times New Roman" w:eastAsia="Times New Roman" w:hAnsi="Times New Roman"/>
          <w:sz w:val="22"/>
          <w:szCs w:val="22"/>
          <w:color w:val="auto"/>
        </w:rPr>
        <w:t xml:space="preserve">h.1. Made on a mask “substrate blank” from glass specified as having less than 7 nm/cm birefringence; </w:t>
      </w:r>
      <w:r>
        <w:rPr>
          <w:rFonts w:ascii="Times New Roman" w:cs="Times New Roman" w:eastAsia="Times New Roman" w:hAnsi="Times New Roman"/>
          <w:sz w:val="22"/>
          <w:szCs w:val="22"/>
          <w:i w:val="1"/>
          <w:iCs w:val="1"/>
          <w:color w:val="auto"/>
        </w:rPr>
        <w:t>or</w:t>
      </w:r>
    </w:p>
    <w:p>
      <w:pPr>
        <w:spacing w:after="0" w:line="205" w:lineRule="exact"/>
        <w:rPr>
          <w:sz w:val="20"/>
          <w:szCs w:val="20"/>
          <w:color w:val="auto"/>
        </w:rPr>
      </w:pPr>
    </w:p>
    <w:p>
      <w:pPr>
        <w:jc w:val="both"/>
        <w:ind w:right="120" w:firstLine="144"/>
        <w:spacing w:after="0" w:line="255" w:lineRule="auto"/>
        <w:rPr>
          <w:sz w:val="20"/>
          <w:szCs w:val="20"/>
          <w:color w:val="auto"/>
        </w:rPr>
      </w:pPr>
      <w:r>
        <w:rPr>
          <w:rFonts w:ascii="Times New Roman" w:cs="Times New Roman" w:eastAsia="Times New Roman" w:hAnsi="Times New Roman"/>
          <w:sz w:val="22"/>
          <w:szCs w:val="22"/>
          <w:color w:val="auto"/>
        </w:rPr>
        <w:t>h.2. Designed to be used by lithography equipment having a light source wavelength less than 245 nm;</w:t>
      </w:r>
    </w:p>
    <w:p>
      <w:pPr>
        <w:spacing w:after="0" w:line="202" w:lineRule="exact"/>
        <w:rPr>
          <w:sz w:val="20"/>
          <w:szCs w:val="20"/>
          <w:color w:val="auto"/>
        </w:rPr>
      </w:pPr>
    </w:p>
    <w:p>
      <w:pPr>
        <w:jc w:val="both"/>
        <w:ind w:right="120" w:firstLine="144"/>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3B001.h. does not control multi-layer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masks with a phase shift layer designed for the fabrication of memory devices not controlled by 3A001.</w:t>
      </w:r>
    </w:p>
    <w:p>
      <w:pPr>
        <w:spacing w:after="0" w:line="207" w:lineRule="exact"/>
        <w:rPr>
          <w:sz w:val="20"/>
          <w:szCs w:val="20"/>
          <w:color w:val="auto"/>
        </w:rPr>
      </w:pPr>
    </w:p>
    <w:p>
      <w:pPr>
        <w:jc w:val="both"/>
        <w:ind w:right="120"/>
        <w:spacing w:after="0" w:line="270" w:lineRule="auto"/>
        <w:rPr>
          <w:sz w:val="20"/>
          <w:szCs w:val="20"/>
          <w:color w:val="auto"/>
        </w:rPr>
      </w:pPr>
      <w:r>
        <w:rPr>
          <w:rFonts w:ascii="Times New Roman" w:cs="Times New Roman" w:eastAsia="Times New Roman" w:hAnsi="Times New Roman"/>
          <w:sz w:val="22"/>
          <w:szCs w:val="22"/>
          <w:color w:val="auto"/>
        </w:rPr>
        <w:t>i. Imprint lithography templates designed for integrated circuits by 3A001;</w:t>
      </w:r>
    </w:p>
    <w:p>
      <w:pPr>
        <w:spacing w:after="0" w:line="189" w:lineRule="exact"/>
        <w:rPr>
          <w:sz w:val="20"/>
          <w:szCs w:val="20"/>
          <w:color w:val="auto"/>
        </w:rPr>
      </w:pPr>
    </w:p>
    <w:p>
      <w:pPr>
        <w:jc w:val="both"/>
        <w:ind w:right="120"/>
        <w:spacing w:after="0" w:line="255" w:lineRule="auto"/>
        <w:rPr>
          <w:sz w:val="20"/>
          <w:szCs w:val="20"/>
          <w:color w:val="auto"/>
        </w:rPr>
      </w:pPr>
      <w:r>
        <w:rPr>
          <w:rFonts w:ascii="Times New Roman" w:cs="Times New Roman" w:eastAsia="Times New Roman" w:hAnsi="Times New Roman"/>
          <w:sz w:val="22"/>
          <w:szCs w:val="22"/>
          <w:color w:val="auto"/>
        </w:rPr>
        <w:t>j. Mask “substrate blanks” with multilayer reflector structure consisting of molybdenum and silicon, and having all of the following:</w:t>
      </w:r>
    </w:p>
    <w:p>
      <w:pPr>
        <w:spacing w:after="0" w:line="200" w:lineRule="exact"/>
        <w:rPr>
          <w:sz w:val="20"/>
          <w:szCs w:val="20"/>
          <w:color w:val="auto"/>
        </w:rPr>
      </w:pPr>
    </w:p>
    <w:p>
      <w:pPr>
        <w:sectPr>
          <w:pgSz w:w="12240" w:h="15840" w:orient="portrait"/>
          <w:cols w:equalWidth="0" w:num="2">
            <w:col w:w="4320" w:space="720"/>
            <w:col w:w="4440"/>
          </w:cols>
          <w:pgMar w:left="1440" w:top="1062" w:right="1320" w:bottom="892" w:gutter="0" w:footer="0" w:header="0"/>
          <w:type w:val="continuous"/>
        </w:sectPr>
      </w:pPr>
    </w:p>
    <w:p>
      <w:pPr>
        <w:spacing w:after="0" w:line="5" w:lineRule="exact"/>
        <w:rPr>
          <w:sz w:val="20"/>
          <w:szCs w:val="20"/>
          <w:color w:val="auto"/>
        </w:rPr>
      </w:pPr>
    </w:p>
    <w:p>
      <w:pPr>
        <w:ind w:left="440"/>
        <w:spacing w:after="0"/>
        <w:tabs>
          <w:tab w:leader="none" w:pos="1420" w:val="left"/>
        </w:tabs>
        <w:rPr>
          <w:sz w:val="20"/>
          <w:szCs w:val="20"/>
          <w:color w:val="auto"/>
        </w:rPr>
      </w:pPr>
      <w:r>
        <w:rPr>
          <w:rFonts w:ascii="Times New Roman" w:cs="Times New Roman" w:eastAsia="Times New Roman" w:hAnsi="Times New Roman"/>
          <w:sz w:val="22"/>
          <w:szCs w:val="22"/>
          <w:color w:val="auto"/>
        </w:rPr>
        <w:t>f.3.b.2.</w:t>
      </w:r>
      <w:r>
        <w:rPr>
          <w:sz w:val="20"/>
          <w:szCs w:val="20"/>
          <w:color w:val="auto"/>
        </w:rPr>
        <w:tab/>
      </w:r>
      <w:r>
        <w:rPr>
          <w:rFonts w:ascii="Times New Roman" w:cs="Times New Roman" w:eastAsia="Times New Roman" w:hAnsi="Times New Roman"/>
          <w:sz w:val="22"/>
          <w:szCs w:val="22"/>
          <w:color w:val="auto"/>
        </w:rPr>
        <w:t>[Reserved]</w:t>
      </w:r>
    </w:p>
    <w:p>
      <w:pPr>
        <w:spacing w:after="0" w:line="253"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f.3.b.3. A second-layer overlay error of less than 23 nm (mean + 3 sigma) on the mask;</w:t>
      </w:r>
    </w:p>
    <w:p>
      <w:pPr>
        <w:spacing w:after="0" w:line="187"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f.4. Equipment designed for device processing using direct writing methods, having all of the following:</w:t>
      </w:r>
    </w:p>
    <w:p>
      <w:pPr>
        <w:spacing w:after="0" w:line="206"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 xml:space="preserve">f.4.a. A deflected focused electron beam; </w:t>
      </w:r>
      <w:r>
        <w:rPr>
          <w:rFonts w:ascii="Times New Roman" w:cs="Times New Roman" w:eastAsia="Times New Roman" w:hAnsi="Times New Roman"/>
          <w:sz w:val="22"/>
          <w:szCs w:val="22"/>
          <w:i w:val="1"/>
          <w:iCs w:val="1"/>
          <w:color w:val="auto"/>
        </w:rPr>
        <w:t>and</w:t>
      </w:r>
    </w:p>
    <w:p>
      <w:pPr>
        <w:spacing w:after="0" w:line="187" w:lineRule="exact"/>
        <w:rPr>
          <w:sz w:val="20"/>
          <w:szCs w:val="20"/>
          <w:color w:val="auto"/>
        </w:rPr>
      </w:pPr>
    </w:p>
    <w:p>
      <w:pPr>
        <w:ind w:left="440"/>
        <w:spacing w:after="0"/>
        <w:tabs>
          <w:tab w:leader="none" w:pos="1420" w:val="left"/>
        </w:tabs>
        <w:rPr>
          <w:sz w:val="20"/>
          <w:szCs w:val="20"/>
          <w:color w:val="auto"/>
        </w:rPr>
      </w:pPr>
      <w:r>
        <w:rPr>
          <w:rFonts w:ascii="Times New Roman" w:cs="Times New Roman" w:eastAsia="Times New Roman" w:hAnsi="Times New Roman"/>
          <w:sz w:val="22"/>
          <w:szCs w:val="22"/>
          <w:color w:val="auto"/>
        </w:rPr>
        <w:t>f.4.b.</w:t>
      </w:r>
      <w:r>
        <w:rPr>
          <w:sz w:val="20"/>
          <w:szCs w:val="20"/>
          <w:color w:val="auto"/>
        </w:rPr>
        <w:tab/>
      </w:r>
      <w:r>
        <w:rPr>
          <w:rFonts w:ascii="Times New Roman" w:cs="Times New Roman" w:eastAsia="Times New Roman" w:hAnsi="Times New Roman"/>
          <w:sz w:val="22"/>
          <w:szCs w:val="22"/>
          <w:color w:val="auto"/>
        </w:rPr>
        <w:t>Having any of the following:</w:t>
      </w:r>
    </w:p>
    <w:p>
      <w:pPr>
        <w:spacing w:after="0" w:line="253"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 xml:space="preserve">f.4.b.1. A minimum beam size equal to or smaller than 15 nm;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f.4.b.2. An overlay error less than 27 nm (mean + 3 sigma);</w:t>
      </w:r>
    </w:p>
    <w:p>
      <w:pPr>
        <w:spacing w:after="0" w:line="188"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g. Masks and reticles, designed for integrated circuits controlled by 3A001;</w:t>
      </w:r>
    </w:p>
    <w:p>
      <w:pPr>
        <w:spacing w:after="0" w:line="20" w:lineRule="exact"/>
        <w:rPr>
          <w:sz w:val="20"/>
          <w:szCs w:val="20"/>
          <w:color w:val="auto"/>
        </w:rPr>
      </w:pPr>
      <w:r>
        <w:rPr>
          <w:sz w:val="20"/>
          <w:szCs w:val="20"/>
          <w:color w:val="auto"/>
        </w:rPr>
        <w:br w:type="column"/>
      </w:r>
    </w:p>
    <w:p>
      <w:pPr>
        <w:jc w:val="both"/>
        <w:ind w:right="120" w:firstLine="432"/>
        <w:spacing w:after="0" w:line="271" w:lineRule="auto"/>
        <w:rPr>
          <w:sz w:val="20"/>
          <w:szCs w:val="20"/>
          <w:color w:val="auto"/>
        </w:rPr>
      </w:pPr>
      <w:r>
        <w:rPr>
          <w:rFonts w:ascii="Times New Roman" w:cs="Times New Roman" w:eastAsia="Times New Roman" w:hAnsi="Times New Roman"/>
          <w:sz w:val="22"/>
          <w:szCs w:val="22"/>
          <w:color w:val="auto"/>
        </w:rPr>
        <w:t xml:space="preserve">j.1. “Specially designed” for ‘Extreme Ultraviolet (EUV)’ lithography; </w:t>
      </w:r>
      <w:r>
        <w:rPr>
          <w:rFonts w:ascii="Times New Roman" w:cs="Times New Roman" w:eastAsia="Times New Roman" w:hAnsi="Times New Roman"/>
          <w:sz w:val="22"/>
          <w:szCs w:val="22"/>
          <w:i w:val="1"/>
          <w:iCs w:val="1"/>
          <w:color w:val="auto"/>
        </w:rPr>
        <w:t>and</w:t>
      </w:r>
    </w:p>
    <w:p>
      <w:pPr>
        <w:spacing w:after="0" w:line="188" w:lineRule="exact"/>
        <w:rPr>
          <w:sz w:val="20"/>
          <w:szCs w:val="20"/>
          <w:color w:val="auto"/>
        </w:rPr>
      </w:pPr>
    </w:p>
    <w:p>
      <w:pPr>
        <w:jc w:val="center"/>
        <w:ind w:right="-19"/>
        <w:spacing w:after="0"/>
        <w:rPr>
          <w:sz w:val="20"/>
          <w:szCs w:val="20"/>
          <w:color w:val="auto"/>
        </w:rPr>
      </w:pPr>
      <w:r>
        <w:rPr>
          <w:rFonts w:ascii="Times New Roman" w:cs="Times New Roman" w:eastAsia="Times New Roman" w:hAnsi="Times New Roman"/>
          <w:sz w:val="22"/>
          <w:szCs w:val="22"/>
          <w:color w:val="auto"/>
        </w:rPr>
        <w:t>j.2. Compliant with SEMI Standard P37.</w:t>
      </w:r>
    </w:p>
    <w:p>
      <w:pPr>
        <w:spacing w:after="0" w:line="247" w:lineRule="exact"/>
        <w:rPr>
          <w:sz w:val="20"/>
          <w:szCs w:val="20"/>
          <w:color w:val="auto"/>
        </w:rPr>
      </w:pPr>
    </w:p>
    <w:p>
      <w:pPr>
        <w:jc w:val="both"/>
        <w:ind w:right="120" w:firstLine="144"/>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‘Extreme Ultraviolet (EUV)’</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refers to electromagnetic spectrum wavelengths greater than 5 nm and less than 124 nm.</w:t>
      </w:r>
    </w:p>
    <w:p>
      <w:pPr>
        <w:spacing w:after="0" w:line="200" w:lineRule="exact"/>
        <w:rPr>
          <w:sz w:val="20"/>
          <w:szCs w:val="20"/>
          <w:color w:val="auto"/>
        </w:rPr>
      </w:pPr>
    </w:p>
    <w:p>
      <w:pPr>
        <w:spacing w:after="0" w:line="252" w:lineRule="exact"/>
        <w:rPr>
          <w:sz w:val="20"/>
          <w:szCs w:val="20"/>
          <w:color w:val="auto"/>
        </w:rPr>
      </w:pPr>
    </w:p>
    <w:p>
      <w:pPr>
        <w:jc w:val="both"/>
        <w:ind w:right="120"/>
        <w:spacing w:after="0" w:line="248" w:lineRule="auto"/>
        <w:rPr>
          <w:sz w:val="20"/>
          <w:szCs w:val="20"/>
          <w:color w:val="auto"/>
        </w:rPr>
      </w:pPr>
      <w:r>
        <w:rPr>
          <w:rFonts w:ascii="Times New Roman" w:cs="Times New Roman" w:eastAsia="Times New Roman" w:hAnsi="Times New Roman"/>
          <w:sz w:val="22"/>
          <w:szCs w:val="22"/>
          <w:b w:val="1"/>
          <w:bCs w:val="1"/>
          <w:color w:val="auto"/>
        </w:rPr>
        <w:t>3B002 Test equipment “specially designed” for testing finished or unfinished semiconductor devices as follows (see List of Items Controlled) and “specially designed” “components” and “accessories” therefor.</w:t>
      </w:r>
    </w:p>
    <w:p>
      <w:pPr>
        <w:spacing w:after="0" w:line="21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48" w:lineRule="exact"/>
        <w:rPr>
          <w:sz w:val="20"/>
          <w:szCs w:val="20"/>
          <w:color w:val="auto"/>
        </w:rPr>
      </w:pPr>
    </w:p>
    <w:tbl>
      <w:tblPr>
        <w:tblLayout w:type="fixed"/>
        <w:tblInd w:w="9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160" w:type="dxa"/>
            <w:vAlign w:val="bottom"/>
            <w:tcBorders>
              <w:top w:val="single" w:sz="8" w:color="auto"/>
            </w:tcBorders>
          </w:tcPr>
          <w:p>
            <w:pPr>
              <w:ind w:left="100"/>
              <w:spacing w:after="0" w:line="249" w:lineRule="exact"/>
              <w:rPr>
                <w:sz w:val="20"/>
                <w:szCs w:val="20"/>
                <w:color w:val="auto"/>
              </w:rPr>
            </w:pPr>
            <w:r>
              <w:rPr>
                <w:rFonts w:ascii="Times New Roman" w:cs="Times New Roman" w:eastAsia="Times New Roman" w:hAnsi="Times New Roman"/>
                <w:sz w:val="22"/>
                <w:szCs w:val="22"/>
                <w:i w:val="1"/>
                <w:iCs w:val="1"/>
                <w:color w:val="auto"/>
              </w:rPr>
              <w:t>Country</w:t>
            </w:r>
          </w:p>
        </w:tc>
        <w:tc>
          <w:tcPr>
            <w:tcW w:w="660" w:type="dxa"/>
            <w:vAlign w:val="bottom"/>
            <w:tcBorders>
              <w:top w:val="single" w:sz="8" w:color="auto"/>
              <w:right w:val="single" w:sz="8" w:color="auto"/>
            </w:tcBorders>
          </w:tcPr>
          <w:p>
            <w:pPr>
              <w:ind w:left="20"/>
              <w:spacing w:after="0" w:line="249" w:lineRule="exact"/>
              <w:rPr>
                <w:sz w:val="20"/>
                <w:szCs w:val="20"/>
                <w:color w:val="auto"/>
              </w:rPr>
            </w:pPr>
            <w:r>
              <w:rPr>
                <w:rFonts w:ascii="Times New Roman" w:cs="Times New Roman" w:eastAsia="Times New Roman" w:hAnsi="Times New Roman"/>
                <w:sz w:val="22"/>
                <w:szCs w:val="22"/>
                <w:i w:val="1"/>
                <w:iCs w:val="1"/>
                <w:color w:val="auto"/>
              </w:rPr>
              <w:t>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Control(s)</w:t>
            </w:r>
          </w:p>
        </w:tc>
        <w:tc>
          <w:tcPr>
            <w:tcW w:w="1820" w:type="dxa"/>
            <w:vAlign w:val="bottom"/>
            <w:tcBorders>
              <w:right w:val="single" w:sz="8" w:color="auto"/>
            </w:tcBorders>
            <w:gridSpan w:val="2"/>
          </w:tcPr>
          <w:p>
            <w:pPr>
              <w:ind w:left="100"/>
              <w:spacing w:after="0"/>
              <w:rPr>
                <w:sz w:val="20"/>
                <w:szCs w:val="20"/>
                <w:color w:val="auto"/>
              </w:rPr>
            </w:pPr>
            <w:r>
              <w:rPr>
                <w:rFonts w:ascii="Times New Roman" w:cs="Times New Roman" w:eastAsia="Times New Roman" w:hAnsi="Times New Roman"/>
                <w:sz w:val="22"/>
                <w:szCs w:val="22"/>
                <w:i w:val="1"/>
                <w:iCs w:val="1"/>
                <w:color w:val="auto"/>
              </w:rPr>
              <w:t>See Supp. No. 1</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160" w:type="dxa"/>
            <w:vAlign w:val="bottom"/>
            <w:tcBorders>
              <w:bottom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c>
          <w:tcPr>
            <w:tcW w:w="660" w:type="dxa"/>
            <w:vAlign w:val="bottom"/>
            <w:tcBorders>
              <w:bottom w:val="single" w:sz="8" w:color="auto"/>
              <w:right w:val="single" w:sz="8" w:color="auto"/>
            </w:tcBorders>
          </w:tcPr>
          <w:p>
            <w:pPr>
              <w:spacing w:after="0"/>
              <w:rPr>
                <w:sz w:val="23"/>
                <w:szCs w:val="23"/>
                <w:color w:val="auto"/>
              </w:rPr>
            </w:pP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NS applies to entire entry</w:t>
            </w:r>
          </w:p>
        </w:tc>
        <w:tc>
          <w:tcPr>
            <w:tcW w:w="1820" w:type="dxa"/>
            <w:vAlign w:val="bottom"/>
            <w:tcBorders>
              <w:bottom w:val="single" w:sz="8" w:color="auto"/>
              <w:right w:val="single" w:sz="8" w:color="auto"/>
            </w:tcBorders>
            <w:gridSpan w:val="2"/>
          </w:tcPr>
          <w:p>
            <w:pPr>
              <w:ind w:left="100"/>
              <w:spacing w:after="0" w:line="243" w:lineRule="exact"/>
              <w:rPr>
                <w:sz w:val="20"/>
                <w:szCs w:val="20"/>
                <w:color w:val="auto"/>
              </w:rPr>
            </w:pPr>
            <w:r>
              <w:rPr>
                <w:rFonts w:ascii="Times New Roman" w:cs="Times New Roman" w:eastAsia="Times New Roman" w:hAnsi="Times New Roman"/>
                <w:sz w:val="22"/>
                <w:szCs w:val="22"/>
                <w:color w:val="auto"/>
              </w:rPr>
              <w:t>NS Column 2</w:t>
            </w:r>
          </w:p>
        </w:tc>
      </w:tr>
    </w:tbl>
    <w:p>
      <w:pPr>
        <w:spacing w:after="0" w:line="200" w:lineRule="exact"/>
        <w:rPr>
          <w:sz w:val="20"/>
          <w:szCs w:val="20"/>
          <w:color w:val="auto"/>
        </w:rPr>
      </w:pPr>
    </w:p>
    <w:p>
      <w:pPr>
        <w:sectPr>
          <w:pgSz w:w="12240" w:h="15840" w:orient="portrait"/>
          <w:cols w:equalWidth="0" w:num="2">
            <w:col w:w="4320" w:space="720"/>
            <w:col w:w="4440"/>
          </w:cols>
          <w:pgMar w:left="1440" w:top="1062" w:right="1320" w:bottom="892" w:gutter="0" w:footer="0" w:header="0"/>
          <w:type w:val="continuous"/>
        </w:sectPr>
      </w:pPr>
    </w:p>
    <w:p>
      <w:pPr>
        <w:spacing w:after="0" w:line="274"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062" w:right="1320" w:bottom="892" w:gutter="0" w:footer="0" w:header="0"/>
          <w:type w:val="continuous"/>
        </w:sectPr>
      </w:pPr>
    </w:p>
    <w:bookmarkStart w:id="39" w:name="page40"/>
    <w:bookmarkEnd w:id="39"/>
    <w:tbl>
      <w:tblPr>
        <w:tblLayout w:type="fixed"/>
        <w:tblInd w:w="0" w:type="dxa"/>
        <w:tblCellMar>
          <w:top w:w="0" w:type="dxa"/>
          <w:left w:w="0" w:type="dxa"/>
          <w:bottom w:w="0" w:type="dxa"/>
          <w:right w:w="0" w:type="dxa"/>
        </w:tblCellMar>
      </w:tblPr>
      <w:tr>
        <w:trPr>
          <w:trHeight w:val="238"/>
        </w:trPr>
        <w:tc>
          <w:tcPr>
            <w:tcW w:w="2620" w:type="dxa"/>
            <w:vAlign w:val="bottom"/>
            <w:gridSpan w:val="2"/>
          </w:tcPr>
          <w:p>
            <w:pPr>
              <w:spacing w:after="0"/>
              <w:rPr>
                <w:sz w:val="20"/>
                <w:szCs w:val="20"/>
                <w:color w:val="auto"/>
              </w:rPr>
            </w:pPr>
            <w:r>
              <w:rPr>
                <w:rFonts w:ascii="Times New Roman" w:cs="Times New Roman" w:eastAsia="Times New Roman" w:hAnsi="Times New Roman"/>
                <w:sz w:val="18"/>
                <w:szCs w:val="18"/>
                <w:b w:val="1"/>
                <w:bCs w:val="1"/>
                <w:color w:val="auto"/>
              </w:rPr>
              <w:t>Commerce Control List</w:t>
            </w:r>
          </w:p>
        </w:tc>
        <w:tc>
          <w:tcPr>
            <w:tcW w:w="4420" w:type="dxa"/>
            <w:vAlign w:val="bottom"/>
            <w:gridSpan w:val="2"/>
          </w:tcPr>
          <w:p>
            <w:pPr>
              <w:ind w:left="940"/>
              <w:spacing w:after="0"/>
              <w:rPr>
                <w:sz w:val="20"/>
                <w:szCs w:val="20"/>
                <w:color w:val="auto"/>
              </w:rPr>
            </w:pPr>
            <w:r>
              <w:rPr>
                <w:rFonts w:ascii="Times New Roman" w:cs="Times New Roman" w:eastAsia="Times New Roman" w:hAnsi="Times New Roman"/>
                <w:sz w:val="18"/>
                <w:szCs w:val="18"/>
                <w:b w:val="1"/>
                <w:bCs w:val="1"/>
                <w:color w:val="auto"/>
              </w:rPr>
              <w:t>Supplement No. 1 to Part 774</w:t>
            </w:r>
          </w:p>
        </w:tc>
        <w:tc>
          <w:tcPr>
            <w:tcW w:w="2320" w:type="dxa"/>
            <w:vAlign w:val="bottom"/>
          </w:tcPr>
          <w:p>
            <w:pPr>
              <w:ind w:left="720"/>
              <w:spacing w:after="0"/>
              <w:rPr>
                <w:sz w:val="20"/>
                <w:szCs w:val="20"/>
                <w:color w:val="auto"/>
              </w:rPr>
            </w:pPr>
            <w:r>
              <w:rPr>
                <w:rFonts w:ascii="Times New Roman" w:cs="Times New Roman" w:eastAsia="Times New Roman" w:hAnsi="Times New Roman"/>
                <w:sz w:val="18"/>
                <w:szCs w:val="18"/>
                <w:b w:val="1"/>
                <w:bCs w:val="1"/>
                <w:color w:val="auto"/>
                <w:w w:val="98"/>
              </w:rPr>
              <w:t>Category 3—page 40</w:t>
            </w:r>
          </w:p>
        </w:tc>
        <w:tc>
          <w:tcPr>
            <w:tcW w:w="0" w:type="dxa"/>
            <w:vAlign w:val="bottom"/>
          </w:tcPr>
          <w:p>
            <w:pPr>
              <w:spacing w:after="0"/>
              <w:rPr>
                <w:sz w:val="1"/>
                <w:szCs w:val="1"/>
                <w:color w:val="auto"/>
              </w:rPr>
            </w:pPr>
          </w:p>
        </w:tc>
      </w:tr>
      <w:tr>
        <w:trPr>
          <w:trHeight w:val="229"/>
        </w:trPr>
        <w:tc>
          <w:tcPr>
            <w:tcW w:w="100" w:type="dxa"/>
            <w:vAlign w:val="bottom"/>
          </w:tcPr>
          <w:p>
            <w:pPr>
              <w:spacing w:after="0"/>
              <w:rPr>
                <w:sz w:val="19"/>
                <w:szCs w:val="19"/>
                <w:color w:val="auto"/>
              </w:rPr>
            </w:pPr>
          </w:p>
        </w:tc>
        <w:tc>
          <w:tcPr>
            <w:tcW w:w="2520" w:type="dxa"/>
            <w:vAlign w:val="bottom"/>
            <w:tcBorders>
              <w:bottom w:val="single" w:sz="8" w:color="auto"/>
            </w:tcBorders>
          </w:tcPr>
          <w:p>
            <w:pPr>
              <w:spacing w:after="0"/>
              <w:rPr>
                <w:sz w:val="19"/>
                <w:szCs w:val="19"/>
                <w:color w:val="auto"/>
              </w:rPr>
            </w:pPr>
          </w:p>
        </w:tc>
        <w:tc>
          <w:tcPr>
            <w:tcW w:w="1820" w:type="dxa"/>
            <w:vAlign w:val="bottom"/>
            <w:tcBorders>
              <w:bottom w:val="single" w:sz="8" w:color="auto"/>
            </w:tcBorders>
          </w:tcPr>
          <w:p>
            <w:pPr>
              <w:spacing w:after="0"/>
              <w:rPr>
                <w:sz w:val="19"/>
                <w:szCs w:val="19"/>
                <w:color w:val="auto"/>
              </w:rPr>
            </w:pPr>
          </w:p>
        </w:tc>
        <w:tc>
          <w:tcPr>
            <w:tcW w:w="2600" w:type="dxa"/>
            <w:vAlign w:val="bottom"/>
            <w:vMerge w:val="restart"/>
          </w:tcPr>
          <w:p>
            <w:pPr>
              <w:ind w:left="96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tc>
        <w:tc>
          <w:tcPr>
            <w:tcW w:w="23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43"/>
        </w:trPr>
        <w:tc>
          <w:tcPr>
            <w:tcW w:w="100" w:type="dxa"/>
            <w:vAlign w:val="bottom"/>
            <w:tcBorders>
              <w:right w:val="single" w:sz="8" w:color="auto"/>
            </w:tcBorders>
          </w:tcPr>
          <w:p>
            <w:pPr>
              <w:spacing w:after="0"/>
              <w:rPr>
                <w:sz w:val="21"/>
                <w:szCs w:val="21"/>
                <w:color w:val="auto"/>
              </w:rPr>
            </w:pPr>
          </w:p>
        </w:tc>
        <w:tc>
          <w:tcPr>
            <w:tcW w:w="252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2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AT Column 1</w:t>
            </w:r>
          </w:p>
        </w:tc>
        <w:tc>
          <w:tcPr>
            <w:tcW w:w="2600" w:type="dxa"/>
            <w:vAlign w:val="bottom"/>
            <w:vMerge w:val="continue"/>
          </w:tcPr>
          <w:p>
            <w:pPr>
              <w:spacing w:after="0"/>
              <w:rPr>
                <w:sz w:val="21"/>
                <w:szCs w:val="21"/>
                <w:color w:val="auto"/>
              </w:rPr>
            </w:pPr>
          </w:p>
        </w:tc>
        <w:tc>
          <w:tcPr>
            <w:tcW w:w="2320" w:type="dxa"/>
            <w:vAlign w:val="bottom"/>
          </w:tcPr>
          <w:p>
            <w:pPr>
              <w:spacing w:after="0"/>
              <w:rPr>
                <w:sz w:val="21"/>
                <w:szCs w:val="21"/>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2240" w:h="15840" w:orient="portrait"/>
          <w:cols w:equalWidth="0" w:num="1">
            <w:col w:w="9480"/>
          </w:cols>
          <w:pgMar w:left="1440" w:top="1062" w:right="1320" w:bottom="892" w:gutter="0" w:footer="0" w:header="0"/>
        </w:sectPr>
      </w:pPr>
    </w:p>
    <w:p>
      <w:pPr>
        <w:spacing w:after="0" w:line="34" w:lineRule="exact"/>
        <w:rPr>
          <w:sz w:val="20"/>
          <w:szCs w:val="20"/>
          <w:color w:val="auto"/>
        </w:rPr>
      </w:pPr>
    </w:p>
    <w:p>
      <w:pPr>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$500</w:t>
      </w:r>
    </w:p>
    <w:p>
      <w:pPr>
        <w:spacing w:after="0" w:line="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Yes</w:t>
      </w: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00" w:lineRule="exact"/>
        <w:rPr>
          <w:sz w:val="20"/>
          <w:szCs w:val="20"/>
          <w:color w:val="auto"/>
        </w:rPr>
      </w:pPr>
    </w:p>
    <w:p>
      <w:pPr>
        <w:spacing w:after="0" w:line="304" w:lineRule="exact"/>
        <w:rPr>
          <w:sz w:val="20"/>
          <w:szCs w:val="20"/>
          <w:color w:val="auto"/>
        </w:rPr>
      </w:pPr>
    </w:p>
    <w:p>
      <w:pPr>
        <w:ind w:left="180"/>
        <w:spacing w:after="0" w:line="242"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3A999.a</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and</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3B992</w:t>
      </w:r>
    </w:p>
    <w:p>
      <w:pPr>
        <w:ind w:left="14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spacing w:after="0" w:line="271" w:lineRule="auto"/>
        <w:tabs>
          <w:tab w:leader="none" w:pos="263" w:val="left"/>
        </w:tabs>
        <w:numPr>
          <w:ilvl w:val="0"/>
          <w:numId w:val="6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For testing S-parameters of items specified by 3A001.b.3;</w:t>
      </w:r>
    </w:p>
    <w:p>
      <w:pPr>
        <w:spacing w:after="0" w:line="188" w:lineRule="exact"/>
        <w:rPr>
          <w:rFonts w:ascii="Times New Roman" w:cs="Times New Roman" w:eastAsia="Times New Roman" w:hAnsi="Times New Roman"/>
          <w:sz w:val="22"/>
          <w:szCs w:val="22"/>
          <w:color w:val="auto"/>
        </w:rPr>
      </w:pPr>
    </w:p>
    <w:p>
      <w:pPr>
        <w:ind w:left="220" w:hanging="220"/>
        <w:spacing w:after="0"/>
        <w:tabs>
          <w:tab w:leader="none" w:pos="220" w:val="left"/>
        </w:tabs>
        <w:numPr>
          <w:ilvl w:val="0"/>
          <w:numId w:val="6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2" w:lineRule="exact"/>
        <w:rPr>
          <w:rFonts w:ascii="Times New Roman" w:cs="Times New Roman" w:eastAsia="Times New Roman" w:hAnsi="Times New Roman"/>
          <w:sz w:val="22"/>
          <w:szCs w:val="22"/>
          <w:color w:val="auto"/>
        </w:rPr>
      </w:pPr>
    </w:p>
    <w:p>
      <w:pPr>
        <w:spacing w:after="0" w:line="271" w:lineRule="auto"/>
        <w:tabs>
          <w:tab w:leader="none" w:pos="409" w:val="left"/>
        </w:tabs>
        <w:numPr>
          <w:ilvl w:val="0"/>
          <w:numId w:val="6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For testing microwave integrated circuits controlled by 3A001.b.2.</w:t>
      </w:r>
    </w:p>
    <w:p>
      <w:pPr>
        <w:spacing w:after="0" w:line="200" w:lineRule="exact"/>
        <w:rPr>
          <w:sz w:val="20"/>
          <w:szCs w:val="20"/>
          <w:color w:val="auto"/>
        </w:rPr>
      </w:pPr>
    </w:p>
    <w:p>
      <w:pPr>
        <w:spacing w:after="0" w:line="239" w:lineRule="exact"/>
        <w:rPr>
          <w:sz w:val="20"/>
          <w:szCs w:val="20"/>
          <w:color w:val="auto"/>
        </w:rPr>
      </w:pPr>
    </w:p>
    <w:p>
      <w:pPr>
        <w:jc w:val="both"/>
        <w:spacing w:after="0" w:line="257" w:lineRule="auto"/>
        <w:rPr>
          <w:sz w:val="20"/>
          <w:szCs w:val="20"/>
          <w:color w:val="auto"/>
        </w:rPr>
      </w:pPr>
      <w:r>
        <w:rPr>
          <w:rFonts w:ascii="Times New Roman" w:cs="Times New Roman" w:eastAsia="Times New Roman" w:hAnsi="Times New Roman"/>
          <w:sz w:val="22"/>
          <w:szCs w:val="22"/>
          <w:b w:val="1"/>
          <w:bCs w:val="1"/>
          <w:color w:val="auto"/>
        </w:rPr>
        <w:t>3B611 Test, inspection, and production commodities for military electronics, as follows (see List of Items Controlled).</w:t>
      </w:r>
    </w:p>
    <w:p>
      <w:pPr>
        <w:spacing w:after="0" w:line="19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 xml:space="preserve">Reason for Control: </w:t>
      </w:r>
      <w:r>
        <w:rPr>
          <w:rFonts w:ascii="Times New Roman" w:cs="Times New Roman" w:eastAsia="Times New Roman" w:hAnsi="Times New Roman"/>
          <w:sz w:val="22"/>
          <w:szCs w:val="22"/>
          <w:color w:val="auto"/>
        </w:rPr>
        <w:t>NS, RS, AT, UN</w:t>
      </w:r>
    </w:p>
    <w:p>
      <w:pPr>
        <w:spacing w:after="0" w:line="266" w:lineRule="exact"/>
        <w:rPr>
          <w:sz w:val="20"/>
          <w:szCs w:val="20"/>
          <w:color w:val="auto"/>
        </w:rPr>
      </w:pPr>
    </w:p>
    <w:p>
      <w:pPr>
        <w:ind w:left="248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-152400</wp:posOffset>
                </wp:positionV>
                <wp:extent cx="2749550" cy="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6" o:spid="_x0000_s10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12pt" to="216.65pt,-12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1905</wp:posOffset>
                </wp:positionH>
                <wp:positionV relativeFrom="paragraph">
                  <wp:posOffset>335280</wp:posOffset>
                </wp:positionV>
                <wp:extent cx="2749550" cy="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7" o:spid="_x0000_s10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26.4pt" to="216.65pt,26.4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1905</wp:posOffset>
                </wp:positionH>
                <wp:positionV relativeFrom="paragraph">
                  <wp:posOffset>502285</wp:posOffset>
                </wp:positionV>
                <wp:extent cx="2749550" cy="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8" o:spid="_x0000_s10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39.55pt" to="216.65pt,39.5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1905</wp:posOffset>
                </wp:positionH>
                <wp:positionV relativeFrom="paragraph">
                  <wp:posOffset>669290</wp:posOffset>
                </wp:positionV>
                <wp:extent cx="2749550" cy="0"/>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9" o:spid="_x0000_s10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52.7pt" to="216.65pt,52.7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1905</wp:posOffset>
                </wp:positionH>
                <wp:positionV relativeFrom="paragraph">
                  <wp:posOffset>836930</wp:posOffset>
                </wp:positionV>
                <wp:extent cx="2749550" cy="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0" o:spid="_x0000_s10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65.9pt" to="216.65pt,65.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-155575</wp:posOffset>
                </wp:positionV>
                <wp:extent cx="0" cy="132334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32334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1" o:spid="_x0000_s10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pt,-12.2499pt" to="0.4pt,91.9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1485900</wp:posOffset>
                </wp:positionH>
                <wp:positionV relativeFrom="paragraph">
                  <wp:posOffset>-155575</wp:posOffset>
                </wp:positionV>
                <wp:extent cx="0" cy="1323340"/>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32334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2" o:spid="_x0000_s10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7pt,-12.2499pt" to="117pt,91.9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2748280</wp:posOffset>
                </wp:positionH>
                <wp:positionV relativeFrom="paragraph">
                  <wp:posOffset>-155575</wp:posOffset>
                </wp:positionV>
                <wp:extent cx="0" cy="1323340"/>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32334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3" o:spid="_x0000_s10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6.4pt,-12.2499pt" to="216.4pt,91.95pt" o:allowincell="f" strokecolor="#000000" strokeweight="0.48pt"/>
            </w:pict>
          </mc:Fallback>
        </mc:AlternateContent>
      </w:r>
    </w:p>
    <w:p>
      <w:pPr>
        <w:ind w:left="2500" w:right="140" w:hanging="2417"/>
        <w:spacing w:after="0" w:line="244" w:lineRule="auto"/>
        <w:tabs>
          <w:tab w:leader="none" w:pos="248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ind w:left="20" w:right="360"/>
        <w:spacing w:after="0" w:line="209" w:lineRule="auto"/>
        <w:rPr>
          <w:sz w:val="20"/>
          <w:szCs w:val="20"/>
          <w:color w:val="auto"/>
        </w:rPr>
      </w:pPr>
      <w:r>
        <w:rPr>
          <w:rFonts w:ascii="Times New Roman" w:cs="Times New Roman" w:eastAsia="Times New Roman" w:hAnsi="Times New Roman"/>
          <w:sz w:val="21"/>
          <w:szCs w:val="21"/>
          <w:color w:val="auto"/>
        </w:rPr>
        <w:t xml:space="preserve">NS applies to entire entry NS Column 1 RS applies to entire entry RS Column 1 AT applies to entire entry AT Column 1 UN applies to entire entry </w:t>
      </w:r>
      <w:r>
        <w:rPr>
          <w:rFonts w:ascii="Times New Roman" w:cs="Times New Roman" w:eastAsia="Times New Roman" w:hAnsi="Times New Roman"/>
          <w:sz w:val="41"/>
          <w:szCs w:val="41"/>
          <w:color w:val="auto"/>
          <w:vertAlign w:val="superscript"/>
        </w:rPr>
        <w:t>See § 746.1(b) for</w:t>
      </w:r>
    </w:p>
    <w:p>
      <w:pPr>
        <w:spacing w:after="0" w:line="1" w:lineRule="exact"/>
        <w:rPr>
          <w:sz w:val="20"/>
          <w:szCs w:val="20"/>
          <w:color w:val="auto"/>
        </w:rPr>
      </w:pPr>
    </w:p>
    <w:p>
      <w:pPr>
        <w:ind w:left="2360"/>
        <w:spacing w:after="0"/>
        <w:rPr>
          <w:sz w:val="20"/>
          <w:szCs w:val="20"/>
          <w:color w:val="auto"/>
        </w:rPr>
      </w:pPr>
      <w:r>
        <w:rPr>
          <w:rFonts w:ascii="Times New Roman" w:cs="Times New Roman" w:eastAsia="Times New Roman" w:hAnsi="Times New Roman"/>
          <w:sz w:val="22"/>
          <w:szCs w:val="22"/>
          <w:color w:val="auto"/>
        </w:rPr>
        <w:t>UN controls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12700</wp:posOffset>
                </wp:positionV>
                <wp:extent cx="2749550" cy="0"/>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4" o:spid="_x0000_s10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1pt" to="216.65pt,1pt" o:allowincell="f" strokecolor="#000000" strokeweight="0.4799pt"/>
            </w:pict>
          </mc:Fallback>
        </mc:AlternateContent>
      </w:r>
    </w:p>
    <w:p>
      <w:pPr>
        <w:spacing w:after="0" w:line="237" w:lineRule="exact"/>
        <w:rPr>
          <w:sz w:val="20"/>
          <w:szCs w:val="20"/>
          <w:color w:val="auto"/>
        </w:rPr>
      </w:pPr>
    </w:p>
    <w:p>
      <w:pPr>
        <w:spacing w:after="0" w:line="275" w:lineRule="auto"/>
        <w:rPr>
          <w:sz w:val="20"/>
          <w:szCs w:val="20"/>
          <w:color w:val="auto"/>
        </w:rPr>
      </w:pPr>
      <w:r>
        <w:rPr>
          <w:rFonts w:ascii="Times New Roman" w:cs="Times New Roman" w:eastAsia="Times New Roman" w:hAnsi="Times New Roman"/>
          <w:sz w:val="22"/>
          <w:szCs w:val="22"/>
          <w:b w:val="1"/>
          <w:bCs w:val="1"/>
          <w:i w:val="1"/>
          <w:i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$1500</w:t>
      </w:r>
    </w:p>
    <w:p>
      <w:pPr>
        <w:spacing w:after="0" w:line="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spacing w:after="0" w:line="20" w:lineRule="exact"/>
        <w:rPr>
          <w:sz w:val="20"/>
          <w:szCs w:val="20"/>
          <w:color w:val="auto"/>
        </w:rPr>
      </w:pPr>
      <w:r>
        <w:rPr>
          <w:sz w:val="20"/>
          <w:szCs w:val="20"/>
          <w:color w:val="auto"/>
        </w:rPr>
        <w:br w:type="column"/>
      </w:r>
    </w:p>
    <w:p>
      <w:pPr>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52" w:lineRule="exact"/>
        <w:rPr>
          <w:sz w:val="20"/>
          <w:szCs w:val="20"/>
          <w:color w:val="auto"/>
        </w:rPr>
      </w:pPr>
    </w:p>
    <w:p>
      <w:pPr>
        <w:jc w:val="both"/>
        <w:ind w:left="900" w:right="120" w:hanging="539"/>
        <w:spacing w:after="0" w:line="257" w:lineRule="auto"/>
        <w:rPr>
          <w:sz w:val="20"/>
          <w:szCs w:val="20"/>
          <w:color w:val="auto"/>
        </w:rPr>
      </w:pPr>
      <w:r>
        <w:rPr>
          <w:rFonts w:ascii="Times New Roman" w:cs="Times New Roman" w:eastAsia="Times New Roman" w:hAnsi="Times New Roman"/>
          <w:sz w:val="22"/>
          <w:szCs w:val="22"/>
          <w:i w:val="1"/>
          <w:iCs w:val="1"/>
          <w:color w:val="auto"/>
        </w:rPr>
        <w:t xml:space="preserve">STA: </w:t>
      </w:r>
      <w:r>
        <w:rPr>
          <w:rFonts w:ascii="Times New Roman" w:cs="Times New Roman" w:eastAsia="Times New Roman" w:hAnsi="Times New Roman"/>
          <w:sz w:val="22"/>
          <w:szCs w:val="22"/>
          <w:color w:val="auto"/>
        </w:rPr>
        <w:t>Paragraph (c)(2) of License Exception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STA (§ 740.20(c)(2) of the EAR) may not be used for any item in 3B611.</w:t>
      </w:r>
    </w:p>
    <w:p>
      <w:pPr>
        <w:spacing w:after="0" w:line="20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jc w:val="both"/>
        <w:ind w:right="120"/>
        <w:spacing w:after="0" w:line="245" w:lineRule="auto"/>
        <w:rPr>
          <w:sz w:val="20"/>
          <w:szCs w:val="20"/>
          <w:color w:val="auto"/>
        </w:rPr>
      </w:pPr>
      <w:r>
        <w:rPr>
          <w:rFonts w:ascii="Times New Roman" w:cs="Times New Roman" w:eastAsia="Times New Roman" w:hAnsi="Times New Roman"/>
          <w:sz w:val="22"/>
          <w:szCs w:val="22"/>
          <w:color w:val="auto"/>
        </w:rPr>
        <w:t>a. Test, inspection, and production end items and equipment “specially designed” for the “development,” “production,” repair, overhaul or refurbishing of items controlled in ECCN 3A611 (except 3A611.y) or USML Category XI that are not enumerated in USML Category XI or controlled by another “600 series” ECCN.</w:t>
      </w:r>
    </w:p>
    <w:p>
      <w:pPr>
        <w:spacing w:after="0" w:line="21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 through w. [Reserved]</w:t>
      </w:r>
    </w:p>
    <w:p>
      <w:pPr>
        <w:spacing w:after="0" w:line="252" w:lineRule="exact"/>
        <w:rPr>
          <w:sz w:val="20"/>
          <w:szCs w:val="20"/>
          <w:color w:val="auto"/>
        </w:rPr>
      </w:pPr>
    </w:p>
    <w:p>
      <w:pPr>
        <w:jc w:val="both"/>
        <w:ind w:right="120"/>
        <w:spacing w:after="0" w:line="247" w:lineRule="auto"/>
        <w:tabs>
          <w:tab w:leader="none" w:pos="424" w:val="left"/>
        </w:tabs>
        <w:numPr>
          <w:ilvl w:val="0"/>
          <w:numId w:val="6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“Parts,” “components,” “accessories” and “attachments” that are “specially designed” for a commodity listed in this entry and that are not enumerated on the USML or controlled by another “600 series” ECCN.</w:t>
      </w:r>
    </w:p>
    <w:p>
      <w:pPr>
        <w:spacing w:after="0" w:line="200" w:lineRule="exact"/>
        <w:rPr>
          <w:sz w:val="20"/>
          <w:szCs w:val="20"/>
          <w:color w:val="auto"/>
        </w:rPr>
      </w:pPr>
    </w:p>
    <w:p>
      <w:pPr>
        <w:spacing w:after="0" w:line="267" w:lineRule="exact"/>
        <w:rPr>
          <w:sz w:val="20"/>
          <w:szCs w:val="20"/>
          <w:color w:val="auto"/>
        </w:rPr>
      </w:pPr>
    </w:p>
    <w:p>
      <w:pPr>
        <w:jc w:val="both"/>
        <w:ind w:right="120"/>
        <w:spacing w:after="0" w:line="248" w:lineRule="auto"/>
        <w:rPr>
          <w:sz w:val="20"/>
          <w:szCs w:val="20"/>
          <w:color w:val="auto"/>
        </w:rPr>
      </w:pPr>
      <w:r>
        <w:rPr>
          <w:rFonts w:ascii="Times New Roman" w:cs="Times New Roman" w:eastAsia="Times New Roman" w:hAnsi="Times New Roman"/>
          <w:sz w:val="22"/>
          <w:szCs w:val="22"/>
          <w:b w:val="1"/>
          <w:bCs w:val="1"/>
          <w:color w:val="auto"/>
        </w:rPr>
        <w:t>3B991 Equipment not controlled by 3B001 for the manufacture of electronic “parts,” “components” and materials, and “specially designed” “parts,” “components” and “accessories” therefor.</w:t>
      </w:r>
    </w:p>
    <w:p>
      <w:pPr>
        <w:spacing w:after="0" w:line="21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3" w:lineRule="exact"/>
        <w:rPr>
          <w:sz w:val="20"/>
          <w:szCs w:val="20"/>
          <w:color w:val="auto"/>
        </w:rPr>
      </w:pPr>
    </w:p>
    <w:tbl>
      <w:tblPr>
        <w:tblLayout w:type="fixed"/>
        <w:tblInd w:w="90" w:type="dxa"/>
        <w:tblCellMar>
          <w:top w:w="0" w:type="dxa"/>
          <w:left w:w="0" w:type="dxa"/>
          <w:bottom w:w="0" w:type="dxa"/>
          <w:right w:w="0" w:type="dxa"/>
        </w:tblCellMar>
      </w:tblPr>
      <w:tr>
        <w:trPr>
          <w:trHeight w:val="290"/>
        </w:trPr>
        <w:tc>
          <w:tcPr>
            <w:tcW w:w="2540" w:type="dxa"/>
            <w:vAlign w:val="bottom"/>
          </w:tcPr>
          <w:p>
            <w:pPr>
              <w:ind w:left="6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  AT</w:t>
            </w:r>
          </w:p>
        </w:tc>
        <w:tc>
          <w:tcPr>
            <w:tcW w:w="1160" w:type="dxa"/>
            <w:vAlign w:val="bottom"/>
          </w:tcPr>
          <w:p>
            <w:pPr>
              <w:spacing w:after="0"/>
              <w:rPr>
                <w:sz w:val="24"/>
                <w:szCs w:val="24"/>
                <w:color w:val="auto"/>
              </w:rPr>
            </w:pPr>
          </w:p>
        </w:tc>
        <w:tc>
          <w:tcPr>
            <w:tcW w:w="660" w:type="dxa"/>
            <w:vAlign w:val="bottom"/>
          </w:tcPr>
          <w:p>
            <w:pPr>
              <w:spacing w:after="0"/>
              <w:rPr>
                <w:sz w:val="24"/>
                <w:szCs w:val="24"/>
                <w:color w:val="auto"/>
              </w:rPr>
            </w:pPr>
          </w:p>
        </w:tc>
      </w:tr>
      <w:tr>
        <w:trPr>
          <w:trHeight w:val="233"/>
        </w:trPr>
        <w:tc>
          <w:tcPr>
            <w:tcW w:w="2540" w:type="dxa"/>
            <w:vAlign w:val="bottom"/>
            <w:tcBorders>
              <w:bottom w:val="single" w:sz="8" w:color="auto"/>
            </w:tcBorders>
          </w:tcPr>
          <w:p>
            <w:pPr>
              <w:spacing w:after="0"/>
              <w:rPr>
                <w:sz w:val="20"/>
                <w:szCs w:val="20"/>
                <w:color w:val="auto"/>
              </w:rPr>
            </w:pPr>
          </w:p>
        </w:tc>
        <w:tc>
          <w:tcPr>
            <w:tcW w:w="1160" w:type="dxa"/>
            <w:vAlign w:val="bottom"/>
            <w:tcBorders>
              <w:bottom w:val="single" w:sz="8" w:color="auto"/>
            </w:tcBorders>
          </w:tcPr>
          <w:p>
            <w:pPr>
              <w:spacing w:after="0"/>
              <w:rPr>
                <w:sz w:val="20"/>
                <w:szCs w:val="20"/>
                <w:color w:val="auto"/>
              </w:rPr>
            </w:pPr>
          </w:p>
        </w:tc>
        <w:tc>
          <w:tcPr>
            <w:tcW w:w="660" w:type="dxa"/>
            <w:vAlign w:val="bottom"/>
            <w:tcBorders>
              <w:bottom w:val="single" w:sz="8" w:color="auto"/>
            </w:tcBorders>
          </w:tcPr>
          <w:p>
            <w:pPr>
              <w:spacing w:after="0"/>
              <w:rPr>
                <w:sz w:val="20"/>
                <w:szCs w:val="20"/>
                <w:color w:val="auto"/>
              </w:rPr>
            </w:pPr>
          </w:p>
        </w:tc>
      </w:tr>
      <w:tr>
        <w:trPr>
          <w:trHeight w:val="224"/>
        </w:trPr>
        <w:tc>
          <w:tcPr>
            <w:tcW w:w="2540" w:type="dxa"/>
            <w:vAlign w:val="bottom"/>
            <w:tcBorders>
              <w:left w:val="single" w:sz="8" w:color="auto"/>
              <w:right w:val="single" w:sz="8" w:color="auto"/>
            </w:tcBorders>
          </w:tcPr>
          <w:p>
            <w:pPr>
              <w:spacing w:after="0"/>
              <w:rPr>
                <w:sz w:val="19"/>
                <w:szCs w:val="19"/>
                <w:color w:val="auto"/>
              </w:rPr>
            </w:pPr>
          </w:p>
        </w:tc>
        <w:tc>
          <w:tcPr>
            <w:tcW w:w="1160" w:type="dxa"/>
            <w:vAlign w:val="bottom"/>
          </w:tcPr>
          <w:p>
            <w:pPr>
              <w:ind w:left="100"/>
              <w:spacing w:after="0" w:line="224" w:lineRule="exact"/>
              <w:rPr>
                <w:sz w:val="20"/>
                <w:szCs w:val="20"/>
                <w:color w:val="auto"/>
              </w:rPr>
            </w:pPr>
            <w:r>
              <w:rPr>
                <w:rFonts w:ascii="Times New Roman" w:cs="Times New Roman" w:eastAsia="Times New Roman" w:hAnsi="Times New Roman"/>
                <w:sz w:val="22"/>
                <w:szCs w:val="22"/>
                <w:i w:val="1"/>
                <w:iCs w:val="1"/>
                <w:color w:val="auto"/>
              </w:rPr>
              <w:t>Country</w:t>
            </w:r>
          </w:p>
        </w:tc>
        <w:tc>
          <w:tcPr>
            <w:tcW w:w="660" w:type="dxa"/>
            <w:vAlign w:val="bottom"/>
            <w:tcBorders>
              <w:right w:val="single" w:sz="8" w:color="auto"/>
            </w:tcBorders>
          </w:tcPr>
          <w:p>
            <w:pPr>
              <w:ind w:left="20"/>
              <w:spacing w:after="0" w:line="224" w:lineRule="exact"/>
              <w:rPr>
                <w:sz w:val="20"/>
                <w:szCs w:val="20"/>
                <w:color w:val="auto"/>
              </w:rPr>
            </w:pPr>
            <w:r>
              <w:rPr>
                <w:rFonts w:ascii="Times New Roman" w:cs="Times New Roman" w:eastAsia="Times New Roman" w:hAnsi="Times New Roman"/>
                <w:sz w:val="22"/>
                <w:szCs w:val="22"/>
                <w:i w:val="1"/>
                <w:iCs w:val="1"/>
                <w:color w:val="auto"/>
              </w:rPr>
              <w:t>Chart</w:t>
            </w:r>
          </w:p>
        </w:tc>
      </w:tr>
      <w:tr>
        <w:trPr>
          <w:trHeight w:val="252"/>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Control(s)</w:t>
            </w:r>
          </w:p>
        </w:tc>
        <w:tc>
          <w:tcPr>
            <w:tcW w:w="1820" w:type="dxa"/>
            <w:vAlign w:val="bottom"/>
            <w:tcBorders>
              <w:right w:val="single" w:sz="8" w:color="auto"/>
            </w:tcBorders>
            <w:gridSpan w:val="2"/>
          </w:tcPr>
          <w:p>
            <w:pPr>
              <w:ind w:left="100"/>
              <w:spacing w:after="0"/>
              <w:rPr>
                <w:sz w:val="20"/>
                <w:szCs w:val="20"/>
                <w:color w:val="auto"/>
              </w:rPr>
            </w:pPr>
            <w:r>
              <w:rPr>
                <w:rFonts w:ascii="Times New Roman" w:cs="Times New Roman" w:eastAsia="Times New Roman" w:hAnsi="Times New Roman"/>
                <w:sz w:val="22"/>
                <w:szCs w:val="22"/>
                <w:i w:val="1"/>
                <w:iCs w:val="1"/>
                <w:color w:val="auto"/>
              </w:rPr>
              <w:t>(See Supp. No. 1</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160" w:type="dxa"/>
            <w:vAlign w:val="bottom"/>
            <w:tcBorders>
              <w:bottom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c>
          <w:tcPr>
            <w:tcW w:w="660" w:type="dxa"/>
            <w:vAlign w:val="bottom"/>
            <w:tcBorders>
              <w:bottom w:val="single" w:sz="8" w:color="auto"/>
              <w:right w:val="single" w:sz="8" w:color="auto"/>
            </w:tcBorders>
          </w:tcPr>
          <w:p>
            <w:pPr>
              <w:spacing w:after="0"/>
              <w:rPr>
                <w:sz w:val="23"/>
                <w:szCs w:val="23"/>
                <w:color w:val="auto"/>
              </w:rPr>
            </w:pPr>
          </w:p>
        </w:tc>
      </w:tr>
      <w:tr>
        <w:trPr>
          <w:trHeight w:val="244"/>
        </w:trPr>
        <w:tc>
          <w:tcPr>
            <w:tcW w:w="254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1820" w:type="dxa"/>
            <w:vAlign w:val="bottom"/>
            <w:tcBorders>
              <w:bottom w:val="single" w:sz="8" w:color="auto"/>
              <w:right w:val="single" w:sz="8" w:color="auto"/>
            </w:tcBorders>
            <w:gridSpan w:val="2"/>
          </w:tcPr>
          <w:p>
            <w:pPr>
              <w:ind w:left="10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jc w:val="both"/>
        <w:ind w:right="120"/>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437" w:lineRule="exact"/>
        <w:rPr>
          <w:sz w:val="20"/>
          <w:szCs w:val="20"/>
          <w:color w:val="auto"/>
        </w:rPr>
      </w:pPr>
    </w:p>
    <w:p>
      <w:pPr>
        <w:sectPr>
          <w:pgSz w:w="12240" w:h="15840" w:orient="portrait"/>
          <w:cols w:equalWidth="0" w:num="2">
            <w:col w:w="4320" w:space="720"/>
            <w:col w:w="4440"/>
          </w:cols>
          <w:pgMar w:left="1440" w:top="1062" w:right="1320" w:bottom="892" w:gutter="0" w:footer="0" w:header="0"/>
          <w:type w:val="continuous"/>
        </w:sectPr>
      </w:pPr>
    </w:p>
    <w:p>
      <w:pPr>
        <w:spacing w:after="0" w:line="239"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062" w:right="1320" w:bottom="892" w:gutter="0" w:footer="0" w:header="0"/>
          <w:type w:val="continuous"/>
        </w:sectPr>
      </w:pPr>
    </w:p>
    <w:bookmarkStart w:id="40" w:name="page41"/>
    <w:bookmarkEnd w:id="4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41</w:t>
      </w:r>
    </w:p>
    <w:p>
      <w:pPr>
        <w:sectPr>
          <w:pgSz w:w="12240" w:h="15840" w:orient="portrait"/>
          <w:cols w:equalWidth="0" w:num="1">
            <w:col w:w="9360"/>
          </w:cols>
          <w:pgMar w:left="1440" w:top="1062" w:right="1440" w:bottom="892" w:gutter="0" w:footer="0" w:header="0"/>
        </w:sectPr>
      </w:pPr>
    </w:p>
    <w:p>
      <w:pPr>
        <w:spacing w:after="0" w:line="241"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spacing w:after="0" w:line="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jc w:val="both"/>
        <w:ind w:left="360"/>
        <w:spacing w:after="0" w:line="243"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‘Sputtering’ is an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overlay coating process wherein positively charged ions are accelerated by an electric field towards the surface of a target (coating material). The kinetic energy of the impacting ions is sufficient to cause target surface atoms to be released and deposited on the substrate. (Note: Triode, magnetron or radio frequency sputtering to increase adhesion of coating and rate of deposition are ordinary modifications of the process.)</w:t>
      </w:r>
    </w:p>
    <w:p>
      <w:pPr>
        <w:spacing w:after="0" w:line="213"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7"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2"/>
          <w:szCs w:val="22"/>
          <w:color w:val="auto"/>
        </w:rPr>
        <w:t>a. Equipment “specially designed” for the manufacture of electron tubes, optical elements and “specially designed” “parts” and “components” therefor controlled by 3A001 or 3A991;</w:t>
      </w:r>
    </w:p>
    <w:p>
      <w:pPr>
        <w:spacing w:after="0" w:line="216"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2"/>
          <w:szCs w:val="22"/>
          <w:color w:val="auto"/>
        </w:rPr>
        <w:t>b. Equipment “specially designed” for the manufacture of semiconductor devices, integrated circuits and “electronic assemblies”, as follows, and systems incorporating or having the characteristics of such equipment:</w:t>
      </w:r>
    </w:p>
    <w:p>
      <w:pPr>
        <w:spacing w:after="0" w:line="211" w:lineRule="exact"/>
        <w:rPr>
          <w:sz w:val="20"/>
          <w:szCs w:val="20"/>
          <w:color w:val="auto"/>
        </w:rPr>
      </w:pPr>
    </w:p>
    <w:p>
      <w:pPr>
        <w:jc w:val="both"/>
        <w:ind w:firstLine="144"/>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3B991.b also controls equipment used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or modified for use in the manufacture of other devices, such as imaging devices, electro-optical devices, acoustic-wave devices.</w:t>
      </w:r>
    </w:p>
    <w:p>
      <w:pPr>
        <w:spacing w:after="0" w:line="207" w:lineRule="exact"/>
        <w:rPr>
          <w:sz w:val="20"/>
          <w:szCs w:val="20"/>
          <w:color w:val="auto"/>
        </w:rPr>
      </w:pPr>
    </w:p>
    <w:p>
      <w:pPr>
        <w:jc w:val="both"/>
        <w:ind w:firstLine="144"/>
        <w:spacing w:after="0" w:line="250" w:lineRule="auto"/>
        <w:rPr>
          <w:sz w:val="20"/>
          <w:szCs w:val="20"/>
          <w:color w:val="auto"/>
        </w:rPr>
      </w:pPr>
      <w:r>
        <w:rPr>
          <w:rFonts w:ascii="Times New Roman" w:cs="Times New Roman" w:eastAsia="Times New Roman" w:hAnsi="Times New Roman"/>
          <w:sz w:val="22"/>
          <w:szCs w:val="22"/>
          <w:color w:val="auto"/>
        </w:rPr>
        <w:t>b.1. Equipment for the processing of materials for the manufacture of devices, “parts” and “components” as specified in the heading of 3B991.b, as follows:</w:t>
      </w:r>
    </w:p>
    <w:p>
      <w:pPr>
        <w:spacing w:after="0" w:line="206" w:lineRule="exact"/>
        <w:rPr>
          <w:sz w:val="20"/>
          <w:szCs w:val="20"/>
          <w:color w:val="auto"/>
        </w:rPr>
      </w:pPr>
    </w:p>
    <w:p>
      <w:pPr>
        <w:jc w:val="both"/>
        <w:ind w:firstLine="144"/>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3B991 does not control quartz furnace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tubes, furnace liners, paddles, boats (except “specially designed” caged boats), bubblers, cassettes or crucibles “specially designed” for the processing equipment controlled by</w:t>
      </w:r>
    </w:p>
    <w:p>
      <w:pPr>
        <w:spacing w:after="0" w:line="20" w:lineRule="exact"/>
        <w:rPr>
          <w:sz w:val="20"/>
          <w:szCs w:val="20"/>
          <w:color w:val="auto"/>
        </w:rPr>
      </w:pPr>
      <w:r>
        <w:rPr>
          <w:sz w:val="20"/>
          <w:szCs w:val="20"/>
          <w:color w:val="auto"/>
        </w:rPr>
        <w:br w:type="column"/>
      </w:r>
    </w:p>
    <w:p>
      <w:pPr>
        <w:spacing w:after="0" w:line="22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3B991.b.1.</w:t>
      </w:r>
    </w:p>
    <w:p>
      <w:pPr>
        <w:spacing w:after="0" w:line="255"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b.1.a. Equipment for producing polycrystalline silicon and materials controlled by 3C001;</w:t>
      </w:r>
    </w:p>
    <w:p>
      <w:pPr>
        <w:spacing w:after="0" w:line="206" w:lineRule="exact"/>
        <w:rPr>
          <w:sz w:val="20"/>
          <w:szCs w:val="20"/>
          <w:color w:val="auto"/>
        </w:rPr>
      </w:pPr>
    </w:p>
    <w:p>
      <w:pPr>
        <w:jc w:val="both"/>
        <w:ind w:firstLine="288"/>
        <w:spacing w:after="0" w:line="247" w:lineRule="auto"/>
        <w:rPr>
          <w:sz w:val="20"/>
          <w:szCs w:val="20"/>
          <w:color w:val="auto"/>
        </w:rPr>
      </w:pPr>
      <w:r>
        <w:rPr>
          <w:rFonts w:ascii="Times New Roman" w:cs="Times New Roman" w:eastAsia="Times New Roman" w:hAnsi="Times New Roman"/>
          <w:sz w:val="22"/>
          <w:szCs w:val="22"/>
          <w:color w:val="auto"/>
        </w:rPr>
        <w:t>b.1.b. Equipment “specially designed” for purifying or processing III/V and II/VI semiconductor materials controlled by 3C001, 3C002, 3C003, 3C004, or 3C005 except crystal pullers, for which see 3B991.b.1.c below;</w:t>
      </w:r>
    </w:p>
    <w:p>
      <w:pPr>
        <w:spacing w:after="0" w:line="216" w:lineRule="exact"/>
        <w:rPr>
          <w:sz w:val="20"/>
          <w:szCs w:val="20"/>
          <w:color w:val="auto"/>
        </w:rPr>
      </w:pPr>
    </w:p>
    <w:p>
      <w:pPr>
        <w:jc w:val="both"/>
        <w:ind w:firstLine="288"/>
        <w:spacing w:after="0" w:line="270" w:lineRule="auto"/>
        <w:rPr>
          <w:sz w:val="20"/>
          <w:szCs w:val="20"/>
          <w:color w:val="auto"/>
        </w:rPr>
      </w:pPr>
      <w:r>
        <w:rPr>
          <w:rFonts w:ascii="Times New Roman" w:cs="Times New Roman" w:eastAsia="Times New Roman" w:hAnsi="Times New Roman"/>
          <w:sz w:val="22"/>
          <w:szCs w:val="22"/>
          <w:color w:val="auto"/>
        </w:rPr>
        <w:t>b.1.c. Crystal pullers and furnaces, as follows:</w:t>
      </w:r>
    </w:p>
    <w:p>
      <w:pPr>
        <w:spacing w:after="0" w:line="184" w:lineRule="exact"/>
        <w:rPr>
          <w:sz w:val="20"/>
          <w:szCs w:val="20"/>
          <w:color w:val="auto"/>
        </w:rPr>
      </w:pPr>
    </w:p>
    <w:p>
      <w:pPr>
        <w:jc w:val="both"/>
        <w:ind w:firstLine="144"/>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3B991.b.1.c does not control diffusion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and oxidation furnaces.</w:t>
      </w:r>
    </w:p>
    <w:p>
      <w:pPr>
        <w:spacing w:after="0" w:line="181" w:lineRule="exact"/>
        <w:rPr>
          <w:sz w:val="20"/>
          <w:szCs w:val="20"/>
          <w:color w:val="auto"/>
        </w:rPr>
      </w:pPr>
    </w:p>
    <w:p>
      <w:pPr>
        <w:jc w:val="both"/>
        <w:ind w:firstLine="432"/>
        <w:spacing w:after="0" w:line="253" w:lineRule="auto"/>
        <w:rPr>
          <w:sz w:val="20"/>
          <w:szCs w:val="20"/>
          <w:color w:val="auto"/>
        </w:rPr>
      </w:pPr>
      <w:r>
        <w:rPr>
          <w:rFonts w:ascii="Times New Roman" w:cs="Times New Roman" w:eastAsia="Times New Roman" w:hAnsi="Times New Roman"/>
          <w:sz w:val="22"/>
          <w:szCs w:val="22"/>
          <w:color w:val="auto"/>
        </w:rPr>
        <w:t>b.1.c.1. Annealing or recrystallizing equipment other than constant temperature furnaces employing high rates of energy transfer capable of processing wafers at a rate exceeding 0.005 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xml:space="preserve"> per minute;</w:t>
      </w:r>
    </w:p>
    <w:p>
      <w:pPr>
        <w:spacing w:after="0" w:line="112"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b.1.c.2. “Stored program controlled” crystal pullers having any of the following characteristics:</w:t>
      </w:r>
    </w:p>
    <w:p>
      <w:pPr>
        <w:spacing w:after="0" w:line="206" w:lineRule="exact"/>
        <w:rPr>
          <w:sz w:val="20"/>
          <w:szCs w:val="20"/>
          <w:color w:val="auto"/>
        </w:rPr>
      </w:pPr>
    </w:p>
    <w:p>
      <w:pPr>
        <w:jc w:val="both"/>
        <w:ind w:firstLine="576"/>
        <w:spacing w:after="0" w:line="270" w:lineRule="auto"/>
        <w:rPr>
          <w:sz w:val="20"/>
          <w:szCs w:val="20"/>
          <w:color w:val="auto"/>
        </w:rPr>
      </w:pPr>
      <w:r>
        <w:rPr>
          <w:rFonts w:ascii="Times New Roman" w:cs="Times New Roman" w:eastAsia="Times New Roman" w:hAnsi="Times New Roman"/>
          <w:sz w:val="22"/>
          <w:szCs w:val="22"/>
          <w:color w:val="auto"/>
        </w:rPr>
        <w:t>b.1.c.2.a. Rechargeable without replacing the crucible container;</w:t>
      </w:r>
    </w:p>
    <w:p>
      <w:pPr>
        <w:spacing w:after="0" w:line="189" w:lineRule="exact"/>
        <w:rPr>
          <w:sz w:val="20"/>
          <w:szCs w:val="20"/>
          <w:color w:val="auto"/>
        </w:rPr>
      </w:pPr>
    </w:p>
    <w:p>
      <w:pPr>
        <w:jc w:val="both"/>
        <w:ind w:firstLine="576"/>
        <w:spacing w:after="0" w:line="285" w:lineRule="auto"/>
        <w:rPr>
          <w:sz w:val="20"/>
          <w:szCs w:val="20"/>
          <w:color w:val="auto"/>
        </w:rPr>
      </w:pPr>
      <w:r>
        <w:rPr>
          <w:rFonts w:ascii="Times New Roman" w:cs="Times New Roman" w:eastAsia="Times New Roman" w:hAnsi="Times New Roman"/>
          <w:sz w:val="22"/>
          <w:szCs w:val="22"/>
          <w:color w:val="auto"/>
        </w:rPr>
        <w:t>b.1.c.2.b. Capable of operation at pressures above 2.5 x 10</w:t>
      </w:r>
      <w:r>
        <w:rPr>
          <w:rFonts w:ascii="Times New Roman" w:cs="Times New Roman" w:eastAsia="Times New Roman" w:hAnsi="Times New Roman"/>
          <w:sz w:val="28"/>
          <w:szCs w:val="28"/>
          <w:color w:val="auto"/>
          <w:vertAlign w:val="superscript"/>
        </w:rPr>
        <w:t>5</w:t>
      </w:r>
      <w:r>
        <w:rPr>
          <w:rFonts w:ascii="Times New Roman" w:cs="Times New Roman" w:eastAsia="Times New Roman" w:hAnsi="Times New Roman"/>
          <w:sz w:val="22"/>
          <w:szCs w:val="22"/>
          <w:color w:val="auto"/>
        </w:rPr>
        <w:t xml:space="preserve"> Pa; </w:t>
      </w:r>
      <w:r>
        <w:rPr>
          <w:rFonts w:ascii="Times New Roman" w:cs="Times New Roman" w:eastAsia="Times New Roman" w:hAnsi="Times New Roman"/>
          <w:sz w:val="22"/>
          <w:szCs w:val="22"/>
          <w:i w:val="1"/>
          <w:iCs w:val="1"/>
          <w:color w:val="auto"/>
        </w:rPr>
        <w:t>or</w:t>
      </w:r>
    </w:p>
    <w:p>
      <w:pPr>
        <w:spacing w:after="0" w:line="77" w:lineRule="exact"/>
        <w:rPr>
          <w:sz w:val="20"/>
          <w:szCs w:val="20"/>
          <w:color w:val="auto"/>
        </w:rPr>
      </w:pPr>
    </w:p>
    <w:p>
      <w:pPr>
        <w:jc w:val="both"/>
        <w:ind w:firstLine="576"/>
        <w:spacing w:after="0" w:line="270" w:lineRule="auto"/>
        <w:rPr>
          <w:sz w:val="20"/>
          <w:szCs w:val="20"/>
          <w:color w:val="auto"/>
        </w:rPr>
      </w:pPr>
      <w:r>
        <w:rPr>
          <w:rFonts w:ascii="Times New Roman" w:cs="Times New Roman" w:eastAsia="Times New Roman" w:hAnsi="Times New Roman"/>
          <w:sz w:val="22"/>
          <w:szCs w:val="22"/>
          <w:color w:val="auto"/>
        </w:rPr>
        <w:t>b.1.c.2.c. Capable of pulling crystals of a diameter exceeding 100 mm;</w:t>
      </w:r>
    </w:p>
    <w:p>
      <w:pPr>
        <w:spacing w:after="0" w:line="189"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b.1.d. “Stored program controlled” equipment for epitaxial growth having any of the following characteristics:</w:t>
      </w:r>
    </w:p>
    <w:p>
      <w:pPr>
        <w:spacing w:after="0" w:line="205" w:lineRule="exact"/>
        <w:rPr>
          <w:sz w:val="20"/>
          <w:szCs w:val="20"/>
          <w:color w:val="auto"/>
        </w:rPr>
      </w:pPr>
    </w:p>
    <w:p>
      <w:pPr>
        <w:jc w:val="both"/>
        <w:ind w:firstLine="432"/>
        <w:spacing w:after="0" w:line="263" w:lineRule="auto"/>
        <w:rPr>
          <w:sz w:val="20"/>
          <w:szCs w:val="20"/>
          <w:color w:val="auto"/>
        </w:rPr>
      </w:pPr>
      <w:r>
        <w:rPr>
          <w:rFonts w:ascii="Times New Roman" w:cs="Times New Roman" w:eastAsia="Times New Roman" w:hAnsi="Times New Roman"/>
          <w:sz w:val="22"/>
          <w:szCs w:val="22"/>
          <w:color w:val="auto"/>
        </w:rPr>
        <w:t>b.1.d.1. Capable of producing silicon layer with a thickness uniform to less than 2.5% across a distance of 200 mm or more;</w:t>
      </w:r>
    </w:p>
    <w:p>
      <w:pPr>
        <w:spacing w:after="0" w:line="197"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b.1.d.2. Capable of producing a layer of any material other than silicon with a thickness uniformity across the wafer of equal to or better</w:t>
      </w:r>
    </w:p>
    <w:p>
      <w:pPr>
        <w:spacing w:after="0" w:line="200"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256"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41" w:name="page42"/>
    <w:bookmarkEnd w:id="41"/>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42</w:t>
      </w:r>
    </w:p>
    <w:p>
      <w:pPr>
        <w:sectPr>
          <w:pgSz w:w="12240" w:h="15840" w:orient="portrait"/>
          <w:cols w:equalWidth="0" w:num="1">
            <w:col w:w="9360"/>
          </w:cols>
          <w:pgMar w:left="1440" w:top="1062" w:right="1440" w:bottom="892" w:gutter="0" w:footer="0" w:header="0"/>
        </w:sectPr>
      </w:pPr>
    </w:p>
    <w:p>
      <w:pPr>
        <w:spacing w:after="0" w:line="257" w:lineRule="exact"/>
        <w:rPr>
          <w:sz w:val="20"/>
          <w:szCs w:val="20"/>
          <w:color w:val="auto"/>
        </w:rPr>
      </w:pPr>
    </w:p>
    <w:p>
      <w:pPr>
        <w:spacing w:after="0"/>
        <w:tabs>
          <w:tab w:leader="none" w:pos="580" w:val="left"/>
        </w:tabs>
        <w:rPr>
          <w:sz w:val="20"/>
          <w:szCs w:val="20"/>
          <w:color w:val="auto"/>
        </w:rPr>
      </w:pPr>
      <w:r>
        <w:rPr>
          <w:rFonts w:ascii="Times New Roman" w:cs="Times New Roman" w:eastAsia="Times New Roman" w:hAnsi="Times New Roman"/>
          <w:sz w:val="22"/>
          <w:szCs w:val="22"/>
          <w:color w:val="auto"/>
        </w:rPr>
        <w:t>than</w:t>
        <w:tab/>
        <w:t xml:space="preserve">3.5%; </w:t>
      </w:r>
      <w:r>
        <w:rPr>
          <w:rFonts w:ascii="Times New Roman" w:cs="Times New Roman" w:eastAsia="Times New Roman" w:hAnsi="Times New Roman"/>
          <w:sz w:val="22"/>
          <w:szCs w:val="22"/>
          <w:i w:val="1"/>
          <w:iCs w:val="1"/>
          <w:color w:val="auto"/>
        </w:rPr>
        <w:t>or</w:t>
      </w:r>
    </w:p>
    <w:p>
      <w:pPr>
        <w:spacing w:after="0" w:line="256"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b.1.d.3. Rotation of individual wafers during processing;</w:t>
      </w:r>
    </w:p>
    <w:p>
      <w:pPr>
        <w:spacing w:after="0" w:line="188" w:lineRule="exact"/>
        <w:rPr>
          <w:sz w:val="20"/>
          <w:szCs w:val="20"/>
          <w:color w:val="auto"/>
        </w:rPr>
      </w:pPr>
    </w:p>
    <w:p>
      <w:pPr>
        <w:jc w:val="both"/>
        <w:ind w:firstLine="288"/>
        <w:spacing w:after="0" w:line="270" w:lineRule="auto"/>
        <w:rPr>
          <w:sz w:val="20"/>
          <w:szCs w:val="20"/>
          <w:color w:val="auto"/>
        </w:rPr>
      </w:pPr>
      <w:r>
        <w:rPr>
          <w:rFonts w:ascii="Times New Roman" w:cs="Times New Roman" w:eastAsia="Times New Roman" w:hAnsi="Times New Roman"/>
          <w:sz w:val="22"/>
          <w:szCs w:val="22"/>
          <w:color w:val="auto"/>
        </w:rPr>
        <w:t>b.1.e. Molecular beam epitaxial growth equipment;</w:t>
      </w:r>
    </w:p>
    <w:p>
      <w:pPr>
        <w:spacing w:after="0" w:line="189" w:lineRule="exact"/>
        <w:rPr>
          <w:sz w:val="20"/>
          <w:szCs w:val="20"/>
          <w:color w:val="auto"/>
        </w:rPr>
      </w:pPr>
    </w:p>
    <w:p>
      <w:pPr>
        <w:jc w:val="both"/>
        <w:ind w:firstLine="288"/>
        <w:spacing w:after="0" w:line="250" w:lineRule="auto"/>
        <w:rPr>
          <w:sz w:val="20"/>
          <w:szCs w:val="20"/>
          <w:color w:val="auto"/>
        </w:rPr>
      </w:pPr>
      <w:r>
        <w:rPr>
          <w:rFonts w:ascii="Times New Roman" w:cs="Times New Roman" w:eastAsia="Times New Roman" w:hAnsi="Times New Roman"/>
          <w:sz w:val="22"/>
          <w:szCs w:val="22"/>
          <w:color w:val="auto"/>
        </w:rPr>
        <w:t>b.1.f. Magnetically enhanced ‘sputtering’ equipment with “specially designed” integral load locks capable of transferring wafers in an isolated vacuum environment;</w:t>
      </w:r>
    </w:p>
    <w:p>
      <w:pPr>
        <w:spacing w:after="0" w:line="211" w:lineRule="exact"/>
        <w:rPr>
          <w:sz w:val="20"/>
          <w:szCs w:val="20"/>
          <w:color w:val="auto"/>
        </w:rPr>
      </w:pPr>
    </w:p>
    <w:p>
      <w:pPr>
        <w:jc w:val="both"/>
        <w:ind w:firstLine="288"/>
        <w:spacing w:after="0" w:line="250" w:lineRule="auto"/>
        <w:rPr>
          <w:sz w:val="20"/>
          <w:szCs w:val="20"/>
          <w:color w:val="auto"/>
        </w:rPr>
      </w:pPr>
      <w:r>
        <w:rPr>
          <w:rFonts w:ascii="Times New Roman" w:cs="Times New Roman" w:eastAsia="Times New Roman" w:hAnsi="Times New Roman"/>
          <w:sz w:val="22"/>
          <w:szCs w:val="22"/>
          <w:color w:val="auto"/>
        </w:rPr>
        <w:t>b.1.g. Equipment “specially designed” for ion implantation, ion-enhanced or photo-enhanced diffusion, having any of the following characteristics:</w:t>
      </w:r>
    </w:p>
    <w:p>
      <w:pPr>
        <w:spacing w:after="0" w:line="211" w:lineRule="exact"/>
        <w:rPr>
          <w:sz w:val="20"/>
          <w:szCs w:val="20"/>
          <w:color w:val="auto"/>
        </w:rPr>
      </w:pPr>
    </w:p>
    <w:p>
      <w:pPr>
        <w:ind w:left="440"/>
        <w:spacing w:after="0"/>
        <w:rPr>
          <w:sz w:val="20"/>
          <w:szCs w:val="20"/>
          <w:color w:val="auto"/>
        </w:rPr>
      </w:pPr>
      <w:r>
        <w:rPr>
          <w:rFonts w:ascii="Times New Roman" w:cs="Times New Roman" w:eastAsia="Times New Roman" w:hAnsi="Times New Roman"/>
          <w:sz w:val="22"/>
          <w:szCs w:val="22"/>
          <w:color w:val="auto"/>
        </w:rPr>
        <w:t>b.1.g.1. Patterning capability;</w:t>
      </w:r>
    </w:p>
    <w:p>
      <w:pPr>
        <w:spacing w:after="0" w:line="253"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b.1.g.2. Beam energy (accelerating voltage) exceeding 200 keV;</w:t>
      </w:r>
    </w:p>
    <w:p>
      <w:pPr>
        <w:spacing w:after="0" w:line="187"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 xml:space="preserve">b.1.g.3 Optimized to operate at a beam energy (accelerating voltage) of less than 10 keV; </w:t>
      </w:r>
      <w:r>
        <w:rPr>
          <w:rFonts w:ascii="Times New Roman" w:cs="Times New Roman" w:eastAsia="Times New Roman" w:hAnsi="Times New Roman"/>
          <w:sz w:val="22"/>
          <w:szCs w:val="22"/>
          <w:i w:val="1"/>
          <w:iCs w:val="1"/>
          <w:color w:val="auto"/>
        </w:rPr>
        <w:t>or</w:t>
      </w:r>
    </w:p>
    <w:p>
      <w:pPr>
        <w:spacing w:after="0" w:line="206" w:lineRule="exact"/>
        <w:rPr>
          <w:sz w:val="20"/>
          <w:szCs w:val="20"/>
          <w:color w:val="auto"/>
        </w:rPr>
      </w:pPr>
    </w:p>
    <w:p>
      <w:pPr>
        <w:jc w:val="both"/>
        <w:ind w:firstLine="432"/>
        <w:spacing w:after="0" w:line="270" w:lineRule="auto"/>
        <w:rPr>
          <w:sz w:val="20"/>
          <w:szCs w:val="20"/>
          <w:color w:val="auto"/>
        </w:rPr>
      </w:pPr>
      <w:r>
        <w:rPr>
          <w:rFonts w:ascii="Times New Roman" w:cs="Times New Roman" w:eastAsia="Times New Roman" w:hAnsi="Times New Roman"/>
          <w:sz w:val="22"/>
          <w:szCs w:val="22"/>
          <w:color w:val="auto"/>
        </w:rPr>
        <w:t>b.1.g.4. Capable of high energy oxygen implant into a heated “substrate”;</w:t>
      </w:r>
    </w:p>
    <w:p>
      <w:pPr>
        <w:spacing w:after="0" w:line="189" w:lineRule="exact"/>
        <w:rPr>
          <w:sz w:val="20"/>
          <w:szCs w:val="20"/>
          <w:color w:val="auto"/>
        </w:rPr>
      </w:pPr>
    </w:p>
    <w:p>
      <w:pPr>
        <w:jc w:val="both"/>
        <w:ind w:firstLine="288"/>
        <w:spacing w:after="0" w:line="250" w:lineRule="auto"/>
        <w:rPr>
          <w:sz w:val="20"/>
          <w:szCs w:val="20"/>
          <w:color w:val="auto"/>
        </w:rPr>
      </w:pPr>
      <w:r>
        <w:rPr>
          <w:rFonts w:ascii="Times New Roman" w:cs="Times New Roman" w:eastAsia="Times New Roman" w:hAnsi="Times New Roman"/>
          <w:sz w:val="22"/>
          <w:szCs w:val="22"/>
          <w:color w:val="auto"/>
        </w:rPr>
        <w:t>b.1.h. “Stored program controlled” equipment for the selective removal (etching) by means of anisotropic dry methods (e.g., plasma), as follows:</w:t>
      </w:r>
    </w:p>
    <w:p>
      <w:pPr>
        <w:spacing w:after="0" w:line="211"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b.1.h.1. Batch types having either of the following:</w:t>
      </w:r>
    </w:p>
    <w:p>
      <w:pPr>
        <w:spacing w:after="0" w:line="188" w:lineRule="exact"/>
        <w:rPr>
          <w:sz w:val="20"/>
          <w:szCs w:val="20"/>
          <w:color w:val="auto"/>
        </w:rPr>
      </w:pPr>
    </w:p>
    <w:p>
      <w:pPr>
        <w:jc w:val="both"/>
        <w:ind w:firstLine="576"/>
        <w:spacing w:after="0" w:line="270" w:lineRule="auto"/>
        <w:rPr>
          <w:sz w:val="20"/>
          <w:szCs w:val="20"/>
          <w:color w:val="auto"/>
        </w:rPr>
      </w:pPr>
      <w:r>
        <w:rPr>
          <w:rFonts w:ascii="Times New Roman" w:cs="Times New Roman" w:eastAsia="Times New Roman" w:hAnsi="Times New Roman"/>
          <w:sz w:val="22"/>
          <w:szCs w:val="22"/>
          <w:color w:val="auto"/>
        </w:rPr>
        <w:t xml:space="preserve">b.1.h.1.a. End-point detection, other than optical emission spectroscopy types; </w:t>
      </w:r>
      <w:r>
        <w:rPr>
          <w:rFonts w:ascii="Times New Roman" w:cs="Times New Roman" w:eastAsia="Times New Roman" w:hAnsi="Times New Roman"/>
          <w:sz w:val="22"/>
          <w:szCs w:val="22"/>
          <w:i w:val="1"/>
          <w:iCs w:val="1"/>
          <w:color w:val="auto"/>
        </w:rPr>
        <w:t>or</w:t>
      </w:r>
    </w:p>
    <w:p>
      <w:pPr>
        <w:spacing w:after="0" w:line="189"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b.1.h.1.b. Reactor operational (etching) pressure of 26.66 Pa or less;</w:t>
      </w:r>
    </w:p>
    <w:p>
      <w:pPr>
        <w:spacing w:after="0" w:line="187"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b.1.h.2. Single wafer types having any of the following:</w:t>
      </w:r>
    </w:p>
    <w:p>
      <w:pPr>
        <w:spacing w:after="0" w:line="188" w:lineRule="exact"/>
        <w:rPr>
          <w:sz w:val="20"/>
          <w:szCs w:val="20"/>
          <w:color w:val="auto"/>
        </w:rPr>
      </w:pPr>
    </w:p>
    <w:p>
      <w:pPr>
        <w:ind w:left="580"/>
        <w:spacing w:after="0"/>
        <w:rPr>
          <w:sz w:val="20"/>
          <w:szCs w:val="20"/>
          <w:color w:val="auto"/>
        </w:rPr>
      </w:pPr>
      <w:r>
        <w:rPr>
          <w:rFonts w:ascii="Times New Roman" w:cs="Times New Roman" w:eastAsia="Times New Roman" w:hAnsi="Times New Roman"/>
          <w:sz w:val="22"/>
          <w:szCs w:val="22"/>
          <w:color w:val="auto"/>
        </w:rPr>
        <w:t>b.1.h.2.a. End-point detection, other than</w:t>
      </w:r>
    </w:p>
    <w:p>
      <w:pPr>
        <w:spacing w:after="0" w:line="20" w:lineRule="exact"/>
        <w:rPr>
          <w:sz w:val="20"/>
          <w:szCs w:val="20"/>
          <w:color w:val="auto"/>
        </w:rPr>
      </w:pPr>
      <w:r>
        <w:rPr>
          <w:sz w:val="20"/>
          <w:szCs w:val="20"/>
          <w:color w:val="auto"/>
        </w:rPr>
        <w:br w:type="column"/>
      </w:r>
    </w:p>
    <w:p>
      <w:pPr>
        <w:spacing w:after="0" w:line="22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optical emission spectroscopy types;</w:t>
      </w:r>
    </w:p>
    <w:p>
      <w:pPr>
        <w:spacing w:after="0" w:line="252"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 xml:space="preserve">b.1.h.2.b. Reactor operational (etching) pressure of 26.66 Pa or less;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b.1.h.2.c. Cassette-to-cassette and load locks wafer handling;</w:t>
      </w:r>
    </w:p>
    <w:p>
      <w:pPr>
        <w:spacing w:after="0" w:line="182" w:lineRule="exact"/>
        <w:rPr>
          <w:sz w:val="20"/>
          <w:szCs w:val="20"/>
          <w:color w:val="auto"/>
        </w:rPr>
      </w:pPr>
    </w:p>
    <w:p>
      <w:pPr>
        <w:jc w:val="both"/>
        <w:ind w:firstLine="221"/>
        <w:spacing w:after="0" w:line="247" w:lineRule="auto"/>
        <w:rPr>
          <w:sz w:val="20"/>
          <w:szCs w:val="20"/>
          <w:color w:val="auto"/>
        </w:rPr>
      </w:pPr>
      <w:r>
        <w:rPr>
          <w:rFonts w:ascii="Times New Roman" w:cs="Times New Roman" w:eastAsia="Times New Roman" w:hAnsi="Times New Roman"/>
          <w:sz w:val="22"/>
          <w:szCs w:val="22"/>
          <w:b w:val="1"/>
          <w:bCs w:val="1"/>
          <w:i w:val="1"/>
          <w:iCs w:val="1"/>
          <w:color w:val="auto"/>
        </w:rPr>
        <w:t>Notes</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1. “Batch types” refers to machines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not “specially designed” for production processing of single wafers. Such machines can process two or more wafers simultaneously with common process parameters, e.g., RF power, temperature, etch gas species, flow rates.</w:t>
      </w:r>
    </w:p>
    <w:p>
      <w:pPr>
        <w:spacing w:after="0" w:line="211" w:lineRule="exact"/>
        <w:rPr>
          <w:sz w:val="20"/>
          <w:szCs w:val="20"/>
          <w:color w:val="auto"/>
        </w:rPr>
      </w:pPr>
    </w:p>
    <w:p>
      <w:pPr>
        <w:jc w:val="both"/>
        <w:ind w:firstLine="221"/>
        <w:spacing w:after="0" w:line="243" w:lineRule="auto"/>
        <w:tabs>
          <w:tab w:leader="none" w:pos="497" w:val="left"/>
        </w:tabs>
        <w:numPr>
          <w:ilvl w:val="0"/>
          <w:numId w:val="7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“Single wafer types” refers to machines “specially designed” for production processing of single wafers. These machines may use automatic wafer handling techniques to load a single wafer into the equipment for processing. The definition includes equipment that can load and process several wafers but where the etching parameters, e.g., RF power or end point, can be independently determined for each individual wafer.</w:t>
      </w:r>
    </w:p>
    <w:p>
      <w:pPr>
        <w:spacing w:after="0" w:line="224" w:lineRule="exact"/>
        <w:rPr>
          <w:sz w:val="20"/>
          <w:szCs w:val="20"/>
          <w:color w:val="auto"/>
        </w:rPr>
      </w:pPr>
    </w:p>
    <w:p>
      <w:pPr>
        <w:jc w:val="both"/>
        <w:ind w:firstLine="288"/>
        <w:spacing w:after="0" w:line="245" w:lineRule="auto"/>
        <w:rPr>
          <w:sz w:val="20"/>
          <w:szCs w:val="20"/>
          <w:color w:val="auto"/>
        </w:rPr>
      </w:pPr>
      <w:r>
        <w:rPr>
          <w:rFonts w:ascii="Times New Roman" w:cs="Times New Roman" w:eastAsia="Times New Roman" w:hAnsi="Times New Roman"/>
          <w:sz w:val="22"/>
          <w:szCs w:val="22"/>
          <w:color w:val="auto"/>
        </w:rPr>
        <w:t>b.1.i. “Chemical vapor deposition” (CVD) equipment, e.g., plasma-enhanced CVD (PECVD) or photo-enhanced CVD, for semiconductor device manufacturing, having either of the following capabilities, for deposition of oxides, nitrides, metals or polysilicon:</w:t>
      </w:r>
    </w:p>
    <w:p>
      <w:pPr>
        <w:spacing w:after="0" w:line="217" w:lineRule="exact"/>
        <w:rPr>
          <w:sz w:val="20"/>
          <w:szCs w:val="20"/>
          <w:color w:val="auto"/>
        </w:rPr>
      </w:pPr>
    </w:p>
    <w:p>
      <w:pPr>
        <w:jc w:val="both"/>
        <w:ind w:firstLine="432"/>
        <w:spacing w:after="0" w:line="284" w:lineRule="auto"/>
        <w:rPr>
          <w:sz w:val="20"/>
          <w:szCs w:val="20"/>
          <w:color w:val="auto"/>
        </w:rPr>
      </w:pPr>
      <w:r>
        <w:rPr>
          <w:rFonts w:ascii="Times New Roman" w:cs="Times New Roman" w:eastAsia="Times New Roman" w:hAnsi="Times New Roman"/>
          <w:sz w:val="22"/>
          <w:szCs w:val="22"/>
          <w:color w:val="auto"/>
        </w:rPr>
        <w:t>b.1.i.1. “Chemical vapor deposition” equipment operating below 10</w:t>
      </w:r>
      <w:r>
        <w:rPr>
          <w:rFonts w:ascii="Times New Roman" w:cs="Times New Roman" w:eastAsia="Times New Roman" w:hAnsi="Times New Roman"/>
          <w:sz w:val="28"/>
          <w:szCs w:val="28"/>
          <w:color w:val="auto"/>
          <w:vertAlign w:val="superscript"/>
        </w:rPr>
        <w:t>5</w:t>
      </w:r>
      <w:r>
        <w:rPr>
          <w:rFonts w:ascii="Times New Roman" w:cs="Times New Roman" w:eastAsia="Times New Roman" w:hAnsi="Times New Roman"/>
          <w:sz w:val="22"/>
          <w:szCs w:val="22"/>
          <w:color w:val="auto"/>
        </w:rPr>
        <w:t xml:space="preserve"> Pa; </w:t>
      </w:r>
      <w:r>
        <w:rPr>
          <w:rFonts w:ascii="Times New Roman" w:cs="Times New Roman" w:eastAsia="Times New Roman" w:hAnsi="Times New Roman"/>
          <w:sz w:val="22"/>
          <w:szCs w:val="22"/>
          <w:i w:val="1"/>
          <w:iCs w:val="1"/>
          <w:color w:val="auto"/>
        </w:rPr>
        <w:t>or</w:t>
      </w:r>
    </w:p>
    <w:p>
      <w:pPr>
        <w:spacing w:after="0" w:line="78" w:lineRule="exact"/>
        <w:rPr>
          <w:sz w:val="20"/>
          <w:szCs w:val="20"/>
          <w:color w:val="auto"/>
        </w:rPr>
      </w:pPr>
    </w:p>
    <w:p>
      <w:pPr>
        <w:jc w:val="both"/>
        <w:ind w:firstLine="432"/>
        <w:spacing w:after="0" w:line="250" w:lineRule="auto"/>
        <w:rPr>
          <w:sz w:val="20"/>
          <w:szCs w:val="20"/>
          <w:color w:val="auto"/>
        </w:rPr>
      </w:pPr>
      <w:r>
        <w:rPr>
          <w:rFonts w:ascii="Times New Roman" w:cs="Times New Roman" w:eastAsia="Times New Roman" w:hAnsi="Times New Roman"/>
          <w:sz w:val="22"/>
          <w:szCs w:val="22"/>
          <w:color w:val="auto"/>
        </w:rPr>
        <w:t>b.1.i.2. PECVD equipment operating either below 60 Pa (450 millitorr) or having automatic cassette-to-cassette and load lock wafer handling;</w:t>
      </w:r>
    </w:p>
    <w:p>
      <w:pPr>
        <w:spacing w:after="0" w:line="206" w:lineRule="exact"/>
        <w:rPr>
          <w:sz w:val="20"/>
          <w:szCs w:val="20"/>
          <w:color w:val="auto"/>
        </w:rPr>
      </w:pPr>
    </w:p>
    <w:p>
      <w:pPr>
        <w:jc w:val="both"/>
        <w:ind w:firstLine="144"/>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3B991.b.1.i does not control low</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pressure “chemical vapor deposition” (LPCVD) systems or reactive “sputtering” equipment.</w:t>
      </w:r>
    </w:p>
    <w:p>
      <w:pPr>
        <w:spacing w:after="0" w:line="201"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b.1.j. Electron beam systems “specially designed” or modified for mask making or</w:t>
      </w:r>
    </w:p>
    <w:p>
      <w:pPr>
        <w:spacing w:after="0" w:line="200"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254"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42" w:name="page43"/>
    <w:bookmarkEnd w:id="42"/>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43</w:t>
      </w:r>
    </w:p>
    <w:p>
      <w:pPr>
        <w:sectPr>
          <w:pgSz w:w="12240" w:h="15840" w:orient="portrait"/>
          <w:cols w:equalWidth="0" w:num="1">
            <w:col w:w="9360"/>
          </w:cols>
          <w:pgMar w:left="1440" w:top="1062" w:right="1440" w:bottom="892" w:gutter="0" w:footer="0" w:header="0"/>
        </w:sectPr>
      </w:pPr>
    </w:p>
    <w:p>
      <w:pPr>
        <w:spacing w:after="0" w:line="245"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semiconductor device processing having any of the following characteristics:</w:t>
      </w:r>
    </w:p>
    <w:p>
      <w:pPr>
        <w:spacing w:after="0" w:line="187" w:lineRule="exact"/>
        <w:rPr>
          <w:sz w:val="20"/>
          <w:szCs w:val="20"/>
          <w:color w:val="auto"/>
        </w:rPr>
      </w:pPr>
    </w:p>
    <w:p>
      <w:pPr>
        <w:ind w:left="440" w:right="20"/>
        <w:spacing w:after="0" w:line="503" w:lineRule="auto"/>
        <w:rPr>
          <w:sz w:val="20"/>
          <w:szCs w:val="20"/>
          <w:color w:val="auto"/>
        </w:rPr>
      </w:pPr>
      <w:r>
        <w:rPr>
          <w:rFonts w:ascii="Times New Roman" w:cs="Times New Roman" w:eastAsia="Times New Roman" w:hAnsi="Times New Roman"/>
          <w:sz w:val="21"/>
          <w:szCs w:val="21"/>
          <w:color w:val="auto"/>
        </w:rPr>
        <w:t>b.1.j.1. Electrostatic beam deflection; b.1.j.2. Shaped, non-Gaussian beam profile;</w:t>
      </w:r>
    </w:p>
    <w:p>
      <w:pPr>
        <w:spacing w:after="0" w:line="1" w:lineRule="exact"/>
        <w:rPr>
          <w:sz w:val="20"/>
          <w:szCs w:val="20"/>
          <w:color w:val="auto"/>
        </w:rPr>
      </w:pPr>
    </w:p>
    <w:p>
      <w:pPr>
        <w:jc w:val="both"/>
        <w:ind w:firstLine="432"/>
        <w:spacing w:after="0" w:line="270" w:lineRule="auto"/>
        <w:rPr>
          <w:sz w:val="20"/>
          <w:szCs w:val="20"/>
          <w:color w:val="auto"/>
        </w:rPr>
      </w:pPr>
      <w:r>
        <w:rPr>
          <w:rFonts w:ascii="Times New Roman" w:cs="Times New Roman" w:eastAsia="Times New Roman" w:hAnsi="Times New Roman"/>
          <w:sz w:val="22"/>
          <w:szCs w:val="22"/>
          <w:color w:val="auto"/>
        </w:rPr>
        <w:t>b.1.j.3. Digital-to-analog conversion rate exceeding 3 MHz;</w:t>
      </w:r>
    </w:p>
    <w:p>
      <w:pPr>
        <w:spacing w:after="0" w:line="189"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 xml:space="preserve">b.1.j.4. Digital -to- analog conversion accuracy exceeding 12 bit;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b.1.j.5. Target -to-beam position feedback control precision of 1 micrometer or finer;</w:t>
      </w:r>
    </w:p>
    <w:p>
      <w:pPr>
        <w:spacing w:after="0" w:line="183" w:lineRule="exact"/>
        <w:rPr>
          <w:sz w:val="20"/>
          <w:szCs w:val="20"/>
          <w:color w:val="auto"/>
        </w:rPr>
      </w:pPr>
    </w:p>
    <w:p>
      <w:pPr>
        <w:jc w:val="both"/>
        <w:ind w:firstLine="144"/>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3B991.b.1.j does not control electron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beam deposition systems or general purpose scanning electron microscopes.</w:t>
      </w:r>
    </w:p>
    <w:p>
      <w:pPr>
        <w:spacing w:after="0" w:line="204"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b.1.k. Surface finishing equipment for the processing of semiconductor wafers as follows:</w:t>
      </w:r>
    </w:p>
    <w:p>
      <w:pPr>
        <w:spacing w:after="0" w:line="188" w:lineRule="exact"/>
        <w:rPr>
          <w:sz w:val="20"/>
          <w:szCs w:val="20"/>
          <w:color w:val="auto"/>
        </w:rPr>
      </w:pPr>
    </w:p>
    <w:p>
      <w:pPr>
        <w:jc w:val="both"/>
        <w:ind w:firstLine="432"/>
        <w:spacing w:after="0" w:line="250" w:lineRule="auto"/>
        <w:rPr>
          <w:sz w:val="20"/>
          <w:szCs w:val="20"/>
          <w:color w:val="auto"/>
        </w:rPr>
      </w:pPr>
      <w:r>
        <w:rPr>
          <w:rFonts w:ascii="Times New Roman" w:cs="Times New Roman" w:eastAsia="Times New Roman" w:hAnsi="Times New Roman"/>
          <w:sz w:val="22"/>
          <w:szCs w:val="22"/>
          <w:color w:val="auto"/>
        </w:rPr>
        <w:t xml:space="preserve">b.1.k.1. “Specially designed” equipment for backside processing of wafers thinner than 100 micrometer and the subsequent separation thereof;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jc w:val="both"/>
        <w:ind w:firstLine="432"/>
        <w:spacing w:after="0" w:line="247" w:lineRule="auto"/>
        <w:rPr>
          <w:sz w:val="20"/>
          <w:szCs w:val="20"/>
          <w:color w:val="auto"/>
        </w:rPr>
      </w:pPr>
      <w:r>
        <w:rPr>
          <w:rFonts w:ascii="Times New Roman" w:cs="Times New Roman" w:eastAsia="Times New Roman" w:hAnsi="Times New Roman"/>
          <w:sz w:val="22"/>
          <w:szCs w:val="22"/>
          <w:color w:val="auto"/>
        </w:rPr>
        <w:t>b.1.k.2. “Specially designed” equipment for achieving a surface roughness of the active surface of a processed wafer with a two-sigma value of 2 micrometer or less, total indicator reading (TIR);</w:t>
      </w:r>
    </w:p>
    <w:p>
      <w:pPr>
        <w:spacing w:after="0" w:line="211" w:lineRule="exact"/>
        <w:rPr>
          <w:sz w:val="20"/>
          <w:szCs w:val="20"/>
          <w:color w:val="auto"/>
        </w:rPr>
      </w:pPr>
    </w:p>
    <w:p>
      <w:pPr>
        <w:jc w:val="both"/>
        <w:ind w:firstLine="288"/>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3B991.b.1.k does not control single-side lapping and polishing equipment for wafer surface finishing.</w:t>
      </w:r>
    </w:p>
    <w:p>
      <w:pPr>
        <w:spacing w:after="0" w:line="204" w:lineRule="exact"/>
        <w:rPr>
          <w:sz w:val="20"/>
          <w:szCs w:val="20"/>
          <w:color w:val="auto"/>
        </w:rPr>
      </w:pPr>
    </w:p>
    <w:p>
      <w:pPr>
        <w:jc w:val="both"/>
        <w:ind w:firstLine="288"/>
        <w:spacing w:after="0" w:line="247" w:lineRule="auto"/>
        <w:rPr>
          <w:sz w:val="20"/>
          <w:szCs w:val="20"/>
          <w:color w:val="auto"/>
        </w:rPr>
      </w:pPr>
      <w:r>
        <w:rPr>
          <w:rFonts w:ascii="Times New Roman" w:cs="Times New Roman" w:eastAsia="Times New Roman" w:hAnsi="Times New Roman"/>
          <w:sz w:val="22"/>
          <w:szCs w:val="22"/>
          <w:color w:val="auto"/>
        </w:rPr>
        <w:t>b.1.l. Interconnection equipment which includes common single or multiple vacuum chambers “specially designed” to permit the integration of any equipment controlled by 3B991 into a complete system;</w:t>
      </w:r>
    </w:p>
    <w:p>
      <w:pPr>
        <w:spacing w:after="0" w:line="216" w:lineRule="exact"/>
        <w:rPr>
          <w:sz w:val="20"/>
          <w:szCs w:val="20"/>
          <w:color w:val="auto"/>
        </w:rPr>
      </w:pPr>
    </w:p>
    <w:p>
      <w:pPr>
        <w:jc w:val="both"/>
        <w:ind w:firstLine="288"/>
        <w:spacing w:after="0" w:line="250" w:lineRule="auto"/>
        <w:rPr>
          <w:sz w:val="20"/>
          <w:szCs w:val="20"/>
          <w:color w:val="auto"/>
        </w:rPr>
      </w:pPr>
      <w:r>
        <w:rPr>
          <w:rFonts w:ascii="Times New Roman" w:cs="Times New Roman" w:eastAsia="Times New Roman" w:hAnsi="Times New Roman"/>
          <w:sz w:val="22"/>
          <w:szCs w:val="22"/>
          <w:color w:val="auto"/>
        </w:rPr>
        <w:t>b.1.m. “Stored program controlled” equipment using “lasers” for the repair or trimming of “monolithic integrated circuits” with either of the following characteristics: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92"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 xml:space="preserve">b.1.m.1. Positioning accuracy less than 1 micrometer; </w:t>
      </w:r>
      <w:r>
        <w:rPr>
          <w:rFonts w:ascii="Times New Roman" w:cs="Times New Roman" w:eastAsia="Times New Roman" w:hAnsi="Times New Roman"/>
          <w:sz w:val="22"/>
          <w:szCs w:val="22"/>
          <w:i w:val="1"/>
          <w:iCs w:val="1"/>
          <w:color w:val="auto"/>
        </w:rPr>
        <w:t>or</w:t>
      </w:r>
    </w:p>
    <w:p>
      <w:pPr>
        <w:spacing w:after="0" w:line="189"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b.1.m.2. Spot size (kerf width) less than 3 micrometer.</w:t>
      </w:r>
    </w:p>
    <w:p>
      <w:pPr>
        <w:spacing w:after="0" w:line="187" w:lineRule="exact"/>
        <w:rPr>
          <w:sz w:val="20"/>
          <w:szCs w:val="20"/>
          <w:color w:val="auto"/>
        </w:rPr>
      </w:pPr>
    </w:p>
    <w:p>
      <w:pPr>
        <w:jc w:val="both"/>
        <w:ind w:firstLine="144"/>
        <w:spacing w:after="0" w:line="247" w:lineRule="auto"/>
        <w:rPr>
          <w:sz w:val="20"/>
          <w:szCs w:val="20"/>
          <w:color w:val="auto"/>
        </w:rPr>
      </w:pPr>
      <w:r>
        <w:rPr>
          <w:rFonts w:ascii="Times New Roman" w:cs="Times New Roman" w:eastAsia="Times New Roman" w:hAnsi="Times New Roman"/>
          <w:sz w:val="22"/>
          <w:szCs w:val="22"/>
          <w:color w:val="auto"/>
        </w:rPr>
        <w:t>b.2. Masks, mask “substrates,” mask- making equipment and image transfer equipment for the manufacture of devices, “parts” and “components” as specified in the heading of 3B991, as follows:</w:t>
      </w:r>
    </w:p>
    <w:p>
      <w:pPr>
        <w:spacing w:after="0" w:line="211" w:lineRule="exact"/>
        <w:rPr>
          <w:sz w:val="20"/>
          <w:szCs w:val="20"/>
          <w:color w:val="auto"/>
        </w:rPr>
      </w:pPr>
    </w:p>
    <w:p>
      <w:pPr>
        <w:jc w:val="both"/>
        <w:ind w:firstLine="144"/>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The term “masks” refers to those used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 electron beam lithography, X-ray lithography, and ultraviolet lithography, as well as the usual ultraviolet and visible photo-lithography.</w:t>
      </w:r>
    </w:p>
    <w:p>
      <w:pPr>
        <w:spacing w:after="0" w:line="207"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b.2.a. Finished masks, reticles and designs therefor, except:</w:t>
      </w:r>
    </w:p>
    <w:p>
      <w:pPr>
        <w:spacing w:after="0" w:line="188"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 xml:space="preserve">b.2.a.1. Finished masks or reticles for the production of unembargoed integrated circuits; </w:t>
      </w:r>
      <w:r>
        <w:rPr>
          <w:rFonts w:ascii="Times New Roman" w:cs="Times New Roman" w:eastAsia="Times New Roman" w:hAnsi="Times New Roman"/>
          <w:sz w:val="22"/>
          <w:szCs w:val="22"/>
          <w:i w:val="1"/>
          <w:iCs w:val="1"/>
          <w:color w:val="auto"/>
        </w:rPr>
        <w:t>or</w:t>
      </w:r>
    </w:p>
    <w:p>
      <w:pPr>
        <w:spacing w:after="0" w:line="205"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b.2.a.2. Masks or reticles, having both of the following characteristics:</w:t>
      </w:r>
    </w:p>
    <w:p>
      <w:pPr>
        <w:spacing w:after="0" w:line="187" w:lineRule="exact"/>
        <w:rPr>
          <w:sz w:val="20"/>
          <w:szCs w:val="20"/>
          <w:color w:val="auto"/>
        </w:rPr>
      </w:pPr>
    </w:p>
    <w:p>
      <w:pPr>
        <w:jc w:val="both"/>
        <w:ind w:firstLine="576"/>
        <w:spacing w:after="0"/>
        <w:rPr>
          <w:sz w:val="20"/>
          <w:szCs w:val="20"/>
          <w:color w:val="auto"/>
        </w:rPr>
      </w:pPr>
      <w:r>
        <w:rPr>
          <w:rFonts w:ascii="Times New Roman" w:cs="Times New Roman" w:eastAsia="Times New Roman" w:hAnsi="Times New Roman"/>
          <w:sz w:val="22"/>
          <w:szCs w:val="22"/>
          <w:color w:val="auto"/>
        </w:rPr>
        <w:t xml:space="preserve">b.2.a.2.a. Their design is based on geometries of 2.5 micrometer or more; </w:t>
      </w:r>
      <w:r>
        <w:rPr>
          <w:rFonts w:ascii="Times New Roman" w:cs="Times New Roman" w:eastAsia="Times New Roman" w:hAnsi="Times New Roman"/>
          <w:sz w:val="22"/>
          <w:szCs w:val="22"/>
          <w:i w:val="1"/>
          <w:iCs w:val="1"/>
          <w:color w:val="auto"/>
        </w:rPr>
        <w:t>and</w:t>
      </w:r>
    </w:p>
    <w:p>
      <w:pPr>
        <w:jc w:val="both"/>
        <w:ind w:firstLine="576"/>
        <w:spacing w:after="0" w:line="255" w:lineRule="auto"/>
        <w:rPr>
          <w:sz w:val="20"/>
          <w:szCs w:val="20"/>
          <w:color w:val="auto"/>
        </w:rPr>
      </w:pPr>
      <w:r>
        <w:rPr>
          <w:rFonts w:ascii="Times New Roman" w:cs="Times New Roman" w:eastAsia="Times New Roman" w:hAnsi="Times New Roman"/>
          <w:sz w:val="22"/>
          <w:szCs w:val="22"/>
          <w:color w:val="auto"/>
        </w:rPr>
        <w:t>b.2.a.2.b. The design does not include special features to alter the intended use by means of production equipment or “software”;</w:t>
      </w:r>
    </w:p>
    <w:p>
      <w:pPr>
        <w:spacing w:after="0" w:line="205"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color w:val="auto"/>
        </w:rPr>
        <w:t>b.2.b. Mask “substrates” as follows:</w:t>
      </w:r>
    </w:p>
    <w:p>
      <w:pPr>
        <w:spacing w:after="0" w:line="253" w:lineRule="exact"/>
        <w:rPr>
          <w:sz w:val="20"/>
          <w:szCs w:val="20"/>
          <w:color w:val="auto"/>
        </w:rPr>
      </w:pPr>
    </w:p>
    <w:p>
      <w:pPr>
        <w:jc w:val="both"/>
        <w:ind w:firstLine="432"/>
        <w:spacing w:after="0" w:line="247" w:lineRule="auto"/>
        <w:rPr>
          <w:sz w:val="20"/>
          <w:szCs w:val="20"/>
          <w:color w:val="auto"/>
        </w:rPr>
      </w:pPr>
      <w:r>
        <w:rPr>
          <w:rFonts w:ascii="Times New Roman" w:cs="Times New Roman" w:eastAsia="Times New Roman" w:hAnsi="Times New Roman"/>
          <w:sz w:val="22"/>
          <w:szCs w:val="22"/>
          <w:color w:val="auto"/>
        </w:rPr>
        <w:t xml:space="preserve">b.2.b.1. Hard surface (e.g., chromium, silicon, molybdenum) coated “substrates” (e.g., glass, quartz, sapphire) for the preparation of masks having dimensions exceeding 125 mm x 125 mm; </w:t>
      </w:r>
      <w:r>
        <w:rPr>
          <w:rFonts w:ascii="Times New Roman" w:cs="Times New Roman" w:eastAsia="Times New Roman" w:hAnsi="Times New Roman"/>
          <w:sz w:val="22"/>
          <w:szCs w:val="22"/>
          <w:i w:val="1"/>
          <w:iCs w:val="1"/>
          <w:color w:val="auto"/>
        </w:rPr>
        <w:t>or</w:t>
      </w:r>
    </w:p>
    <w:p>
      <w:pPr>
        <w:spacing w:after="0" w:line="216"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b.2.b.2. “Substrates” “specially designed” for X-ray masks;</w:t>
      </w:r>
    </w:p>
    <w:p>
      <w:pPr>
        <w:spacing w:after="0" w:line="187"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b.2.c. Equipment, other than general purpose computers, “specially designed” for computer aided design (CAD) of semiconductor devices or</w:t>
      </w:r>
    </w:p>
    <w:p>
      <w:pPr>
        <w:spacing w:after="0" w:line="200"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256"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43" w:name="page44"/>
    <w:bookmarkEnd w:id="43"/>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44</w:t>
      </w:r>
    </w:p>
    <w:p>
      <w:pPr>
        <w:sectPr>
          <w:pgSz w:w="12240" w:h="15840" w:orient="portrait"/>
          <w:cols w:equalWidth="0" w:num="1">
            <w:col w:w="9360"/>
          </w:cols>
          <w:pgMar w:left="1440" w:top="1062" w:right="1440" w:bottom="892" w:gutter="0" w:footer="0" w:header="0"/>
        </w:sectPr>
      </w:pPr>
    </w:p>
    <w:p>
      <w:pPr>
        <w:spacing w:after="0" w:line="24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integrated circuits;</w:t>
      </w:r>
    </w:p>
    <w:p>
      <w:pPr>
        <w:spacing w:after="0" w:line="252"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b.2.d. Equipment or machines, as follows, for mask or reticle fabrication:</w:t>
      </w:r>
    </w:p>
    <w:p>
      <w:pPr>
        <w:spacing w:after="0" w:line="188" w:lineRule="exact"/>
        <w:rPr>
          <w:sz w:val="20"/>
          <w:szCs w:val="20"/>
          <w:color w:val="auto"/>
        </w:rPr>
      </w:pPr>
    </w:p>
    <w:p>
      <w:pPr>
        <w:jc w:val="both"/>
        <w:ind w:firstLine="432"/>
        <w:spacing w:after="0" w:line="245" w:lineRule="auto"/>
        <w:rPr>
          <w:sz w:val="20"/>
          <w:szCs w:val="20"/>
          <w:color w:val="auto"/>
        </w:rPr>
      </w:pPr>
      <w:r>
        <w:rPr>
          <w:rFonts w:ascii="Times New Roman" w:cs="Times New Roman" w:eastAsia="Times New Roman" w:hAnsi="Times New Roman"/>
          <w:sz w:val="22"/>
          <w:szCs w:val="22"/>
          <w:color w:val="auto"/>
        </w:rPr>
        <w:t>b.2.d.1. Photo-optical step and repeat cameras capable of producing arrays larger than 100 mm x 100 mm, or capable of producing a single exposure larger than 6 mm x 6 mm in the image (i.e., focal) plane, or capable of producing line widths of less than 2.5 micrometer in the photoresist on the “substrate”;</w:t>
      </w:r>
    </w:p>
    <w:p>
      <w:pPr>
        <w:spacing w:after="0" w:line="215" w:lineRule="exact"/>
        <w:rPr>
          <w:sz w:val="20"/>
          <w:szCs w:val="20"/>
          <w:color w:val="auto"/>
        </w:rPr>
      </w:pPr>
    </w:p>
    <w:p>
      <w:pPr>
        <w:jc w:val="both"/>
        <w:ind w:firstLine="432"/>
        <w:spacing w:after="0" w:line="250" w:lineRule="auto"/>
        <w:rPr>
          <w:sz w:val="20"/>
          <w:szCs w:val="20"/>
          <w:color w:val="auto"/>
        </w:rPr>
      </w:pPr>
      <w:r>
        <w:rPr>
          <w:rFonts w:ascii="Times New Roman" w:cs="Times New Roman" w:eastAsia="Times New Roman" w:hAnsi="Times New Roman"/>
          <w:sz w:val="22"/>
          <w:szCs w:val="22"/>
          <w:color w:val="auto"/>
        </w:rPr>
        <w:t xml:space="preserve">b.2.d.2. Mask or reticle fabrication equipment using ion or “laser” beam lithography capable of producing line widths of less than 2.5 micrometer;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b.2.d.3. Equipment or holders for altering masks or reticles or adding pellicles to remove defects;</w:t>
      </w:r>
    </w:p>
    <w:p>
      <w:pPr>
        <w:spacing w:after="0" w:line="202" w:lineRule="exact"/>
        <w:rPr>
          <w:sz w:val="20"/>
          <w:szCs w:val="20"/>
          <w:color w:val="auto"/>
        </w:rPr>
      </w:pPr>
    </w:p>
    <w:p>
      <w:pPr>
        <w:jc w:val="both"/>
        <w:ind w:firstLine="288"/>
        <w:spacing w:after="0"/>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3B991.b.2.d.1 and b.2.d.2 do not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control mask fabrication equipment using photo-optical methods which was either commercially available before the 1st January, 1980, or has a performance no better than such equipment.</w:t>
      </w:r>
    </w:p>
    <w:p>
      <w:pPr>
        <w:spacing w:after="0" w:line="5"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b.2.e. “Stored program controlled” equipment for the inspection of masks, reticles or pellicles with:</w:t>
      </w:r>
    </w:p>
    <w:p>
      <w:pPr>
        <w:spacing w:after="0" w:line="205"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 xml:space="preserve">b.2.e.1. A resolution of 0.25 micrometer or finer; </w:t>
      </w:r>
      <w:r>
        <w:rPr>
          <w:rFonts w:ascii="Times New Roman" w:cs="Times New Roman" w:eastAsia="Times New Roman" w:hAnsi="Times New Roman"/>
          <w:sz w:val="22"/>
          <w:szCs w:val="22"/>
          <w:i w:val="1"/>
          <w:iCs w:val="1"/>
          <w:color w:val="auto"/>
        </w:rPr>
        <w:t>and</w:t>
      </w:r>
    </w:p>
    <w:p>
      <w:pPr>
        <w:spacing w:after="0" w:line="188"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b.2.e.2. A precision of 0.75 micrometer or finer over a distance in one or two coordinates of 63.5 mm or more;</w:t>
      </w:r>
    </w:p>
    <w:p>
      <w:pPr>
        <w:spacing w:after="0" w:line="200" w:lineRule="exact"/>
        <w:rPr>
          <w:sz w:val="20"/>
          <w:szCs w:val="20"/>
          <w:color w:val="auto"/>
        </w:rPr>
      </w:pPr>
    </w:p>
    <w:p>
      <w:pPr>
        <w:jc w:val="both"/>
        <w:ind w:firstLine="144"/>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3B991.b.2.e does not control general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purpose scanning electron microscopes except when “specially designed” and instrumented for automatic pattern inspection.</w:t>
      </w:r>
    </w:p>
    <w:p>
      <w:pPr>
        <w:spacing w:after="0" w:line="207" w:lineRule="exact"/>
        <w:rPr>
          <w:sz w:val="20"/>
          <w:szCs w:val="20"/>
          <w:color w:val="auto"/>
        </w:rPr>
      </w:pPr>
    </w:p>
    <w:p>
      <w:pPr>
        <w:jc w:val="both"/>
        <w:ind w:firstLine="288"/>
        <w:spacing w:after="0" w:line="247" w:lineRule="auto"/>
        <w:rPr>
          <w:sz w:val="20"/>
          <w:szCs w:val="20"/>
          <w:color w:val="auto"/>
        </w:rPr>
      </w:pPr>
      <w:r>
        <w:rPr>
          <w:rFonts w:ascii="Times New Roman" w:cs="Times New Roman" w:eastAsia="Times New Roman" w:hAnsi="Times New Roman"/>
          <w:sz w:val="22"/>
          <w:szCs w:val="22"/>
          <w:color w:val="auto"/>
        </w:rPr>
        <w:t>b.2.f. Align and expose equipment for wafer production using photo-optical or X-ray methods, e.g., lithography equipment, including both projection image transfer equipment and step and repeat (direct step on wafer) or step and</w:t>
      </w:r>
    </w:p>
    <w:p>
      <w:pPr>
        <w:spacing w:after="0" w:line="20" w:lineRule="exact"/>
        <w:rPr>
          <w:sz w:val="20"/>
          <w:szCs w:val="20"/>
          <w:color w:val="auto"/>
        </w:rPr>
      </w:pPr>
      <w:r>
        <w:rPr>
          <w:sz w:val="20"/>
          <w:szCs w:val="20"/>
          <w:color w:val="auto"/>
        </w:rPr>
        <w:br w:type="column"/>
      </w:r>
    </w:p>
    <w:p>
      <w:pPr>
        <w:spacing w:after="0" w:line="224"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scan (scanner) equipment, capable of performing any of the following functions:</w:t>
      </w:r>
    </w:p>
    <w:p>
      <w:pPr>
        <w:spacing w:after="0" w:line="182" w:lineRule="exact"/>
        <w:rPr>
          <w:sz w:val="20"/>
          <w:szCs w:val="20"/>
          <w:color w:val="auto"/>
        </w:rPr>
      </w:pPr>
    </w:p>
    <w:p>
      <w:pPr>
        <w:jc w:val="both"/>
        <w:ind w:firstLine="144"/>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3B991.b.2.f does not control photo-optical contact and proximity mask align and expose equipment or contact image transfer equipment.</w:t>
      </w:r>
    </w:p>
    <w:p>
      <w:pPr>
        <w:spacing w:after="0" w:line="207"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b.2.f.1. Production of a pattern size of less than 2.5 micrometer;</w:t>
      </w:r>
    </w:p>
    <w:p>
      <w:pPr>
        <w:spacing w:after="0" w:line="188" w:lineRule="exact"/>
        <w:rPr>
          <w:sz w:val="20"/>
          <w:szCs w:val="20"/>
          <w:color w:val="auto"/>
        </w:rPr>
      </w:pPr>
    </w:p>
    <w:p>
      <w:pPr>
        <w:jc w:val="both"/>
        <w:ind w:firstLine="432"/>
        <w:spacing w:after="0" w:line="285" w:lineRule="auto"/>
        <w:rPr>
          <w:sz w:val="20"/>
          <w:szCs w:val="20"/>
          <w:color w:val="auto"/>
        </w:rPr>
      </w:pPr>
      <w:r>
        <w:rPr>
          <w:rFonts w:ascii="Times New Roman" w:cs="Times New Roman" w:eastAsia="Times New Roman" w:hAnsi="Times New Roman"/>
          <w:sz w:val="22"/>
          <w:szCs w:val="22"/>
          <w:color w:val="auto"/>
        </w:rPr>
        <w:t>b.2.f.2. Alignment with a precision finer than 0.25 micrometer (3 sigma);</w:t>
      </w:r>
    </w:p>
    <w:p>
      <w:pPr>
        <w:spacing w:after="0" w:line="174" w:lineRule="exact"/>
        <w:rPr>
          <w:sz w:val="20"/>
          <w:szCs w:val="20"/>
          <w:color w:val="auto"/>
        </w:rPr>
      </w:pPr>
    </w:p>
    <w:p>
      <w:pPr>
        <w:jc w:val="both"/>
        <w:ind w:firstLine="432"/>
        <w:spacing w:after="0" w:line="287" w:lineRule="auto"/>
        <w:rPr>
          <w:sz w:val="20"/>
          <w:szCs w:val="20"/>
          <w:color w:val="auto"/>
        </w:rPr>
      </w:pPr>
      <w:r>
        <w:rPr>
          <w:rFonts w:ascii="Times New Roman" w:cs="Times New Roman" w:eastAsia="Times New Roman" w:hAnsi="Times New Roman"/>
          <w:sz w:val="22"/>
          <w:szCs w:val="22"/>
          <w:color w:val="auto"/>
        </w:rPr>
        <w:t xml:space="preserve">b.2.f.3. Machine-to-machine overlay no better than 0.3 micrometer; </w:t>
      </w:r>
      <w:r>
        <w:rPr>
          <w:rFonts w:ascii="Times New Roman" w:cs="Times New Roman" w:eastAsia="Times New Roman" w:hAnsi="Times New Roman"/>
          <w:sz w:val="22"/>
          <w:szCs w:val="22"/>
          <w:i w:val="1"/>
          <w:iCs w:val="1"/>
          <w:color w:val="auto"/>
        </w:rPr>
        <w:t>or</w:t>
      </w:r>
    </w:p>
    <w:p>
      <w:pPr>
        <w:spacing w:after="0" w:line="170"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b.2.f.4. A light source wavelength shorter than 400 nm;</w:t>
      </w:r>
    </w:p>
    <w:p>
      <w:pPr>
        <w:spacing w:after="0" w:line="188"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b.2.g. Electron beam, ion beam or X-ray equipment for projection image transfer capable of producing patterns less than 2.5 micrometer;</w:t>
      </w:r>
    </w:p>
    <w:p>
      <w:pPr>
        <w:spacing w:after="0" w:line="200" w:lineRule="exact"/>
        <w:rPr>
          <w:sz w:val="20"/>
          <w:szCs w:val="20"/>
          <w:color w:val="auto"/>
        </w:rPr>
      </w:pPr>
    </w:p>
    <w:p>
      <w:pPr>
        <w:jc w:val="both"/>
        <w:ind w:firstLine="144"/>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For focused, deflected-beam</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systems(direct write systems), see 3B991.b.1.j or b.10.</w:t>
      </w:r>
    </w:p>
    <w:p>
      <w:pPr>
        <w:spacing w:after="0" w:line="201"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b.2.h. Equipment using “lasers” for direct write on wafers capable of producing patterns less than 2.5 micrometer.</w:t>
      </w:r>
    </w:p>
    <w:p>
      <w:pPr>
        <w:spacing w:after="0" w:line="205" w:lineRule="exact"/>
        <w:rPr>
          <w:sz w:val="20"/>
          <w:szCs w:val="20"/>
          <w:color w:val="auto"/>
        </w:rPr>
      </w:pPr>
    </w:p>
    <w:p>
      <w:pPr>
        <w:jc w:val="both"/>
        <w:ind w:firstLine="144"/>
        <w:spacing w:after="0" w:line="271" w:lineRule="auto"/>
        <w:rPr>
          <w:sz w:val="20"/>
          <w:szCs w:val="20"/>
          <w:color w:val="auto"/>
        </w:rPr>
      </w:pPr>
      <w:r>
        <w:rPr>
          <w:rFonts w:ascii="Times New Roman" w:cs="Times New Roman" w:eastAsia="Times New Roman" w:hAnsi="Times New Roman"/>
          <w:sz w:val="22"/>
          <w:szCs w:val="22"/>
          <w:color w:val="auto"/>
        </w:rPr>
        <w:t>b.3. Equipment for the assembly of integrated circuits, as follows:</w:t>
      </w:r>
    </w:p>
    <w:p>
      <w:pPr>
        <w:spacing w:after="0" w:line="188"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b.3.a. “Stored program controlled” die bonders having all of the following characteristics:</w:t>
      </w:r>
    </w:p>
    <w:p>
      <w:pPr>
        <w:spacing w:after="0" w:line="205"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b.3.a.1. “Specially designed” for “hybrid integrated circuits”;</w:t>
      </w:r>
    </w:p>
    <w:p>
      <w:pPr>
        <w:spacing w:after="0" w:line="188" w:lineRule="exact"/>
        <w:rPr>
          <w:sz w:val="20"/>
          <w:szCs w:val="20"/>
          <w:color w:val="auto"/>
        </w:rPr>
      </w:pPr>
    </w:p>
    <w:p>
      <w:pPr>
        <w:jc w:val="both"/>
        <w:ind w:firstLine="432"/>
        <w:spacing w:after="0" w:line="270" w:lineRule="auto"/>
        <w:rPr>
          <w:sz w:val="20"/>
          <w:szCs w:val="20"/>
          <w:color w:val="auto"/>
        </w:rPr>
      </w:pPr>
      <w:r>
        <w:rPr>
          <w:rFonts w:ascii="Times New Roman" w:cs="Times New Roman" w:eastAsia="Times New Roman" w:hAnsi="Times New Roman"/>
          <w:sz w:val="22"/>
          <w:szCs w:val="22"/>
          <w:color w:val="auto"/>
        </w:rPr>
        <w:t xml:space="preserve">b.3.a.2. X-Y stage positioning travel exceeding 37.5 x 37.5 mm; </w:t>
      </w:r>
      <w:r>
        <w:rPr>
          <w:rFonts w:ascii="Times New Roman" w:cs="Times New Roman" w:eastAsia="Times New Roman" w:hAnsi="Times New Roman"/>
          <w:sz w:val="22"/>
          <w:szCs w:val="22"/>
          <w:i w:val="1"/>
          <w:iCs w:val="1"/>
          <w:color w:val="auto"/>
        </w:rPr>
        <w:t>and</w:t>
      </w:r>
    </w:p>
    <w:p>
      <w:pPr>
        <w:spacing w:after="0" w:line="189" w:lineRule="exact"/>
        <w:rPr>
          <w:sz w:val="20"/>
          <w:szCs w:val="20"/>
          <w:color w:val="auto"/>
        </w:rPr>
      </w:pPr>
    </w:p>
    <w:p>
      <w:pPr>
        <w:jc w:val="both"/>
        <w:ind w:firstLine="432"/>
        <w:spacing w:after="0" w:line="287" w:lineRule="auto"/>
        <w:rPr>
          <w:sz w:val="20"/>
          <w:szCs w:val="20"/>
          <w:color w:val="auto"/>
        </w:rPr>
      </w:pPr>
      <w:r>
        <w:rPr>
          <w:rFonts w:ascii="Times New Roman" w:cs="Times New Roman" w:eastAsia="Times New Roman" w:hAnsi="Times New Roman"/>
          <w:sz w:val="22"/>
          <w:szCs w:val="22"/>
          <w:color w:val="auto"/>
        </w:rPr>
        <w:t>b.3.a.3. Placement accuracy in the X-Y plane of finer than 10 micrometer;</w:t>
      </w:r>
    </w:p>
    <w:p>
      <w:pPr>
        <w:spacing w:after="0" w:line="358"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282"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44" w:name="page45"/>
    <w:bookmarkEnd w:id="44"/>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45</w:t>
      </w:r>
    </w:p>
    <w:p>
      <w:pPr>
        <w:sectPr>
          <w:pgSz w:w="12240" w:h="15840" w:orient="portrait"/>
          <w:cols w:equalWidth="0" w:num="1">
            <w:col w:w="9360"/>
          </w:cols>
          <w:pgMar w:left="1440" w:top="1062" w:right="1440" w:bottom="892" w:gutter="0" w:footer="0" w:header="0"/>
        </w:sectPr>
      </w:pPr>
    </w:p>
    <w:p>
      <w:pPr>
        <w:spacing w:after="0" w:line="245" w:lineRule="exact"/>
        <w:rPr>
          <w:sz w:val="20"/>
          <w:szCs w:val="20"/>
          <w:color w:val="auto"/>
        </w:rPr>
      </w:pPr>
    </w:p>
    <w:p>
      <w:pPr>
        <w:jc w:val="both"/>
        <w:ind w:right="40" w:firstLine="288"/>
        <w:spacing w:after="0" w:line="250" w:lineRule="auto"/>
        <w:rPr>
          <w:sz w:val="20"/>
          <w:szCs w:val="20"/>
          <w:color w:val="auto"/>
        </w:rPr>
      </w:pPr>
      <w:r>
        <w:rPr>
          <w:rFonts w:ascii="Times New Roman" w:cs="Times New Roman" w:eastAsia="Times New Roman" w:hAnsi="Times New Roman"/>
          <w:sz w:val="22"/>
          <w:szCs w:val="22"/>
          <w:color w:val="auto"/>
        </w:rPr>
        <w:t>b.3.b. “Stored program controlled” equipment for producing multiple bonds in a single operation (e.g., beam lead bonders, chip carrier bonders, tape bonders);</w:t>
      </w:r>
    </w:p>
    <w:p>
      <w:pPr>
        <w:spacing w:after="0" w:line="211" w:lineRule="exact"/>
        <w:rPr>
          <w:sz w:val="20"/>
          <w:szCs w:val="20"/>
          <w:color w:val="auto"/>
        </w:rPr>
      </w:pPr>
    </w:p>
    <w:p>
      <w:pPr>
        <w:jc w:val="both"/>
        <w:ind w:right="40" w:firstLine="288"/>
        <w:spacing w:after="0" w:line="245" w:lineRule="auto"/>
        <w:rPr>
          <w:sz w:val="20"/>
          <w:szCs w:val="20"/>
          <w:color w:val="auto"/>
        </w:rPr>
      </w:pPr>
      <w:r>
        <w:rPr>
          <w:rFonts w:ascii="Times New Roman" w:cs="Times New Roman" w:eastAsia="Times New Roman" w:hAnsi="Times New Roman"/>
          <w:sz w:val="22"/>
          <w:szCs w:val="22"/>
          <w:color w:val="auto"/>
        </w:rPr>
        <w:t>b.3.c. Semi-automatic or automatic hot cap sealers, in which the cap is heated locally to a higher temperature than the body of the package, “specially designed” for ceramic microcircuit packages controlled by 3A001 and that have a throughput equal to or more than one package per minute.</w:t>
      </w:r>
    </w:p>
    <w:p>
      <w:pPr>
        <w:spacing w:after="0" w:line="211" w:lineRule="exact"/>
        <w:rPr>
          <w:sz w:val="20"/>
          <w:szCs w:val="20"/>
          <w:color w:val="auto"/>
        </w:rPr>
      </w:pPr>
    </w:p>
    <w:p>
      <w:pPr>
        <w:jc w:val="both"/>
        <w:ind w:right="40" w:firstLine="144"/>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3B991.b.3 does not control general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purpose resistance type spot welders.</w:t>
      </w:r>
    </w:p>
    <w:p>
      <w:pPr>
        <w:spacing w:after="0" w:line="183" w:lineRule="exact"/>
        <w:rPr>
          <w:sz w:val="20"/>
          <w:szCs w:val="20"/>
          <w:color w:val="auto"/>
        </w:rPr>
      </w:pPr>
    </w:p>
    <w:p>
      <w:pPr>
        <w:jc w:val="both"/>
        <w:ind w:right="40" w:firstLine="144"/>
        <w:spacing w:after="0" w:line="257" w:lineRule="auto"/>
        <w:rPr>
          <w:sz w:val="20"/>
          <w:szCs w:val="20"/>
          <w:color w:val="auto"/>
        </w:rPr>
      </w:pPr>
      <w:r>
        <w:rPr>
          <w:rFonts w:ascii="Times New Roman" w:cs="Times New Roman" w:eastAsia="Times New Roman" w:hAnsi="Times New Roman"/>
          <w:sz w:val="22"/>
          <w:szCs w:val="22"/>
          <w:color w:val="auto"/>
        </w:rPr>
        <w:t>b.4. Filters for clean rooms capable of providing an air environment of 10 or less particles of 0.3 micrometer or smaller per 0.02832 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and filter materials therefor.</w:t>
      </w:r>
    </w:p>
    <w:p>
      <w:pPr>
        <w:spacing w:after="0" w:line="358" w:lineRule="exact"/>
        <w:rPr>
          <w:sz w:val="20"/>
          <w:szCs w:val="20"/>
          <w:color w:val="auto"/>
        </w:rPr>
      </w:pPr>
    </w:p>
    <w:p>
      <w:pPr>
        <w:jc w:val="both"/>
        <w:ind w:right="40"/>
        <w:spacing w:after="0" w:line="248" w:lineRule="auto"/>
        <w:rPr>
          <w:sz w:val="20"/>
          <w:szCs w:val="20"/>
          <w:color w:val="auto"/>
        </w:rPr>
      </w:pPr>
      <w:r>
        <w:rPr>
          <w:rFonts w:ascii="Times New Roman" w:cs="Times New Roman" w:eastAsia="Times New Roman" w:hAnsi="Times New Roman"/>
          <w:sz w:val="22"/>
          <w:szCs w:val="22"/>
          <w:b w:val="1"/>
          <w:bCs w:val="1"/>
          <w:color w:val="auto"/>
        </w:rPr>
        <w:t>3B992 Equipment not controlled by 3B002 for the inspection or testing of electronic “components” and materials, and “specially designed” “parts,” “components” and “accessories” therefor.</w:t>
      </w:r>
    </w:p>
    <w:p>
      <w:pPr>
        <w:spacing w:after="0" w:line="21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AT</w:t>
      </w:r>
    </w:p>
    <w:p>
      <w:pPr>
        <w:spacing w:after="0" w:line="264" w:lineRule="exact"/>
        <w:rPr>
          <w:sz w:val="20"/>
          <w:szCs w:val="20"/>
          <w:color w:val="auto"/>
        </w:rPr>
      </w:pPr>
    </w:p>
    <w:p>
      <w:pPr>
        <w:ind w:left="2640"/>
        <w:spacing w:after="0"/>
        <w:rPr>
          <w:sz w:val="20"/>
          <w:szCs w:val="20"/>
          <w:color w:val="auto"/>
        </w:rPr>
      </w:pPr>
      <w:r>
        <w:rPr>
          <w:rFonts w:ascii="Times New Roman" w:cs="Times New Roman" w:eastAsia="Times New Roman" w:hAnsi="Times New Roman"/>
          <w:sz w:val="21"/>
          <w:szCs w:val="21"/>
          <w:i w:val="1"/>
          <w:iCs w:val="1"/>
          <w:color w:val="auto"/>
        </w:rPr>
        <w:t>Country Chart (See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-2540</wp:posOffset>
                </wp:positionH>
                <wp:positionV relativeFrom="paragraph">
                  <wp:posOffset>-144145</wp:posOffset>
                </wp:positionV>
                <wp:extent cx="2862580" cy="0"/>
                <wp:wrapNone/>
                <wp:docPr id="25" name="Shape 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6258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5" o:spid="_x0000_s10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999pt,-11.3499pt" to="225.2pt,-11.349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-2540</wp:posOffset>
                </wp:positionH>
                <wp:positionV relativeFrom="paragraph">
                  <wp:posOffset>343535</wp:posOffset>
                </wp:positionV>
                <wp:extent cx="2862580" cy="0"/>
                <wp:wrapNone/>
                <wp:docPr id="26" name="Shape 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6258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6" o:spid="_x0000_s10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999pt,27.05pt" to="225.2pt,27.0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-147320</wp:posOffset>
                </wp:positionV>
                <wp:extent cx="0" cy="660400"/>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040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7" o:spid="_x0000_s10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1.5999pt" to="0pt,40.4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1600200</wp:posOffset>
                </wp:positionH>
                <wp:positionV relativeFrom="paragraph">
                  <wp:posOffset>-147320</wp:posOffset>
                </wp:positionV>
                <wp:extent cx="0" cy="660400"/>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040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8" o:spid="_x0000_s10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6pt,-11.5999pt" to="126pt,40.4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2857500</wp:posOffset>
                </wp:positionH>
                <wp:positionV relativeFrom="paragraph">
                  <wp:posOffset>-147320</wp:posOffset>
                </wp:positionV>
                <wp:extent cx="0" cy="660400"/>
                <wp:wrapNone/>
                <wp:docPr id="29" name="Shape 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040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9" o:spid="_x0000_s10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5pt,-11.5999pt" to="225pt,40.4pt" o:allowincell="f" strokecolor="#000000" strokeweight="0.4799pt"/>
            </w:pict>
          </mc:Fallback>
        </mc:AlternateContent>
      </w:r>
    </w:p>
    <w:p>
      <w:pPr>
        <w:ind w:left="2680" w:right="20" w:hanging="2506"/>
        <w:spacing w:after="0" w:line="244" w:lineRule="auto"/>
        <w:tabs>
          <w:tab w:leader="none" w:pos="266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ind w:left="120"/>
        <w:spacing w:after="0"/>
        <w:tabs>
          <w:tab w:leader="none" w:pos="2600" w:val="left"/>
        </w:tabs>
        <w:rPr>
          <w:sz w:val="20"/>
          <w:szCs w:val="20"/>
          <w:color w:val="auto"/>
        </w:rPr>
      </w:pPr>
      <w:r>
        <w:rPr>
          <w:rFonts w:ascii="Times New Roman" w:cs="Times New Roman" w:eastAsia="Times New Roman" w:hAnsi="Times New Roman"/>
          <w:sz w:val="22"/>
          <w:szCs w:val="22"/>
          <w:color w:val="auto"/>
        </w:rPr>
        <w:t>AT applies to entire entry</w:t>
        <w:tab/>
        <w:t>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-2540</wp:posOffset>
                </wp:positionH>
                <wp:positionV relativeFrom="paragraph">
                  <wp:posOffset>12700</wp:posOffset>
                </wp:positionV>
                <wp:extent cx="2862580" cy="0"/>
                <wp:wrapNone/>
                <wp:docPr id="30" name="Shape 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6258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0" o:spid="_x0000_s10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999pt,1pt" to="225.2pt,1pt" o:allowincell="f" strokecolor="#000000" strokeweight="0.4799pt"/>
            </w:pict>
          </mc:Fallback>
        </mc:AlternateContent>
      </w:r>
    </w:p>
    <w:p>
      <w:pPr>
        <w:spacing w:after="0" w:line="239" w:lineRule="exact"/>
        <w:rPr>
          <w:sz w:val="20"/>
          <w:szCs w:val="20"/>
          <w:color w:val="auto"/>
        </w:rPr>
      </w:pPr>
    </w:p>
    <w:p>
      <w:pPr>
        <w:ind w:right="4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1"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3A992.a</w:t>
      </w:r>
      <w:r>
        <w:rPr>
          <w:rFonts w:ascii="Times New Roman" w:cs="Times New Roman" w:eastAsia="Times New Roman" w:hAnsi="Times New Roman"/>
          <w:sz w:val="22"/>
          <w:szCs w:val="22"/>
          <w:color w:val="auto"/>
        </w:rPr>
        <w:t>.</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spacing w:after="0" w:line="20" w:lineRule="exact"/>
        <w:rPr>
          <w:sz w:val="20"/>
          <w:szCs w:val="20"/>
          <w:color w:val="auto"/>
        </w:rPr>
      </w:pPr>
      <w:r>
        <w:rPr>
          <w:sz w:val="20"/>
          <w:szCs w:val="20"/>
          <w:color w:val="auto"/>
        </w:rPr>
        <w:br w:type="column"/>
      </w:r>
    </w:p>
    <w:p>
      <w:pPr>
        <w:spacing w:after="0" w:line="221"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6"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2"/>
          <w:szCs w:val="22"/>
          <w:color w:val="auto"/>
        </w:rPr>
        <w:t>a. Equipment “specially designed” for the inspection or testing of electron tubes, optical elements and “specially designed” “parts” and “components” therefor controlled by 3A001 or 3A991;</w:t>
      </w:r>
    </w:p>
    <w:p>
      <w:pPr>
        <w:spacing w:after="0" w:line="216"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2"/>
          <w:szCs w:val="22"/>
          <w:color w:val="auto"/>
        </w:rPr>
        <w:t>b. Equipment “specially designed” for the inspection or testing of semiconductor devices, integrated circuits and “electronic assemblies”, as follows, and systems incorporating or having the characteristics of such equipment:</w:t>
      </w:r>
    </w:p>
    <w:p>
      <w:pPr>
        <w:spacing w:after="0" w:line="211" w:lineRule="exact"/>
        <w:rPr>
          <w:sz w:val="20"/>
          <w:szCs w:val="20"/>
          <w:color w:val="auto"/>
        </w:rPr>
      </w:pPr>
    </w:p>
    <w:p>
      <w:pPr>
        <w:jc w:val="both"/>
        <w:ind w:firstLine="144"/>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3B992.b also controls equipment used or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modified for use in the inspection or testing of other devices, such as imaging devices, electro-optical devices, acoustic-wave devices.</w:t>
      </w:r>
    </w:p>
    <w:p>
      <w:pPr>
        <w:spacing w:after="0" w:line="207" w:lineRule="exact"/>
        <w:rPr>
          <w:sz w:val="20"/>
          <w:szCs w:val="20"/>
          <w:color w:val="auto"/>
        </w:rPr>
      </w:pPr>
    </w:p>
    <w:p>
      <w:pPr>
        <w:jc w:val="both"/>
        <w:ind w:firstLine="144"/>
        <w:spacing w:after="0" w:line="245" w:lineRule="auto"/>
        <w:rPr>
          <w:sz w:val="20"/>
          <w:szCs w:val="20"/>
          <w:color w:val="auto"/>
        </w:rPr>
      </w:pPr>
      <w:r>
        <w:rPr>
          <w:rFonts w:ascii="Times New Roman" w:cs="Times New Roman" w:eastAsia="Times New Roman" w:hAnsi="Times New Roman"/>
          <w:sz w:val="22"/>
          <w:szCs w:val="22"/>
          <w:color w:val="auto"/>
        </w:rPr>
        <w:t>b.1. “Stored program controlled” inspection equipment for the automatic detection of defects, errors or contaminants of 0.6 micrometer or less in or on processed wafers, “substrates”, other than printed circuit boards or chips, using optical image acquisition techniques for pattern comparison;</w:t>
      </w:r>
    </w:p>
    <w:p>
      <w:pPr>
        <w:spacing w:after="0" w:line="212" w:lineRule="exact"/>
        <w:rPr>
          <w:sz w:val="20"/>
          <w:szCs w:val="20"/>
          <w:color w:val="auto"/>
        </w:rPr>
      </w:pPr>
    </w:p>
    <w:p>
      <w:pPr>
        <w:jc w:val="both"/>
        <w:ind w:firstLine="144"/>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3B992.b.1 does not control general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purpose scanning electron microscopes, except when “specially designed” and instrumented for automatic pattern inspection.</w:t>
      </w:r>
    </w:p>
    <w:p>
      <w:pPr>
        <w:spacing w:after="0" w:line="207"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b.2. “Specially designed” “stored program controlled” measuring and analysis equipment, as follows:</w:t>
      </w:r>
    </w:p>
    <w:p>
      <w:pPr>
        <w:spacing w:after="0" w:line="205"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b.2.a. “Specially designed” for the measurement of oxygen or carbon content in semiconductor materials;</w:t>
      </w:r>
    </w:p>
    <w:p>
      <w:pPr>
        <w:spacing w:after="0" w:line="205"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b.2.b. Equipment for line width measurement with a resolution of 1 micrometer or finer;</w:t>
      </w:r>
    </w:p>
    <w:p>
      <w:pPr>
        <w:spacing w:after="0" w:line="188" w:lineRule="exact"/>
        <w:rPr>
          <w:sz w:val="20"/>
          <w:szCs w:val="20"/>
          <w:color w:val="auto"/>
        </w:rPr>
      </w:pPr>
    </w:p>
    <w:p>
      <w:pPr>
        <w:jc w:val="both"/>
        <w:ind w:firstLine="288"/>
        <w:spacing w:after="0" w:line="250" w:lineRule="auto"/>
        <w:rPr>
          <w:sz w:val="20"/>
          <w:szCs w:val="20"/>
          <w:color w:val="auto"/>
        </w:rPr>
      </w:pPr>
      <w:r>
        <w:rPr>
          <w:rFonts w:ascii="Times New Roman" w:cs="Times New Roman" w:eastAsia="Times New Roman" w:hAnsi="Times New Roman"/>
          <w:sz w:val="22"/>
          <w:szCs w:val="22"/>
          <w:color w:val="auto"/>
        </w:rPr>
        <w:t>b.2.c. “Specially designed” flatness measurement instruments capable of measuring deviations from flatness of 10 micrometer or less with a resolution of 1 micrometer or finer.</w:t>
      </w:r>
    </w:p>
    <w:p>
      <w:pPr>
        <w:spacing w:after="0" w:line="440" w:lineRule="exact"/>
        <w:rPr>
          <w:sz w:val="20"/>
          <w:szCs w:val="20"/>
          <w:color w:val="auto"/>
        </w:rPr>
      </w:pPr>
    </w:p>
    <w:p>
      <w:pPr>
        <w:sectPr>
          <w:pgSz w:w="12240" w:h="15840" w:orient="portrait"/>
          <w:cols w:equalWidth="0" w:num="2">
            <w:col w:w="4360" w:space="680"/>
            <w:col w:w="4320"/>
          </w:cols>
          <w:pgMar w:left="1440" w:top="1062" w:right="1440" w:bottom="892" w:gutter="0" w:footer="0" w:header="0"/>
          <w:type w:val="continuous"/>
        </w:sectPr>
      </w:pPr>
    </w:p>
    <w:p>
      <w:pPr>
        <w:spacing w:after="0" w:line="289"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45" w:name="page46"/>
    <w:bookmarkEnd w:id="45"/>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46</w:t>
      </w:r>
    </w:p>
    <w:p>
      <w:pPr>
        <w:sectPr>
          <w:pgSz w:w="12240" w:h="15840" w:orient="portrait"/>
          <w:cols w:equalWidth="0" w:num="1">
            <w:col w:w="9360"/>
          </w:cols>
          <w:pgMar w:left="1440" w:top="1062" w:right="1440" w:bottom="892" w:gutter="0" w:footer="0" w:header="0"/>
        </w:sectPr>
      </w:pPr>
    </w:p>
    <w:p>
      <w:pPr>
        <w:spacing w:after="0" w:line="245"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b.3. “Stored program controlled” wafer probing equipment having any of the following characteristics:</w:t>
      </w:r>
    </w:p>
    <w:p>
      <w:pPr>
        <w:spacing w:after="0" w:line="205"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b.3.a. Positioning accuracy finer than 3.5 micrometer;</w:t>
      </w:r>
    </w:p>
    <w:p>
      <w:pPr>
        <w:spacing w:after="0" w:line="188" w:lineRule="exact"/>
        <w:rPr>
          <w:sz w:val="20"/>
          <w:szCs w:val="20"/>
          <w:color w:val="auto"/>
        </w:rPr>
      </w:pPr>
    </w:p>
    <w:p>
      <w:pPr>
        <w:jc w:val="both"/>
        <w:ind w:firstLine="288"/>
        <w:spacing w:after="0" w:line="270" w:lineRule="auto"/>
        <w:rPr>
          <w:sz w:val="20"/>
          <w:szCs w:val="20"/>
          <w:color w:val="auto"/>
        </w:rPr>
      </w:pPr>
      <w:r>
        <w:rPr>
          <w:rFonts w:ascii="Times New Roman" w:cs="Times New Roman" w:eastAsia="Times New Roman" w:hAnsi="Times New Roman"/>
          <w:sz w:val="22"/>
          <w:szCs w:val="22"/>
          <w:color w:val="auto"/>
        </w:rPr>
        <w:t xml:space="preserve">b.3.b. Capable of testing devices having more than 68 terminals; </w:t>
      </w:r>
      <w:r>
        <w:rPr>
          <w:rFonts w:ascii="Times New Roman" w:cs="Times New Roman" w:eastAsia="Times New Roman" w:hAnsi="Times New Roman"/>
          <w:sz w:val="22"/>
          <w:szCs w:val="22"/>
          <w:i w:val="1"/>
          <w:iCs w:val="1"/>
          <w:color w:val="auto"/>
        </w:rPr>
        <w:t>or</w:t>
      </w:r>
    </w:p>
    <w:p>
      <w:pPr>
        <w:spacing w:after="0" w:line="189"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b.3.c. Capable of testing at a frequency exceeding 1 GHz;</w:t>
      </w:r>
    </w:p>
    <w:p>
      <w:pPr>
        <w:spacing w:after="0" w:line="187"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color w:val="auto"/>
        </w:rPr>
        <w:t>b.4. Test equipment as follows:</w:t>
      </w:r>
    </w:p>
    <w:p>
      <w:pPr>
        <w:spacing w:after="0" w:line="253" w:lineRule="exact"/>
        <w:rPr>
          <w:sz w:val="20"/>
          <w:szCs w:val="20"/>
          <w:color w:val="auto"/>
        </w:rPr>
      </w:pPr>
    </w:p>
    <w:p>
      <w:pPr>
        <w:jc w:val="both"/>
        <w:ind w:firstLine="288"/>
        <w:spacing w:after="0"/>
        <w:rPr>
          <w:sz w:val="20"/>
          <w:szCs w:val="20"/>
          <w:color w:val="auto"/>
        </w:rPr>
      </w:pPr>
      <w:r>
        <w:rPr>
          <w:rFonts w:ascii="Times New Roman" w:cs="Times New Roman" w:eastAsia="Times New Roman" w:hAnsi="Times New Roman"/>
          <w:sz w:val="22"/>
          <w:szCs w:val="22"/>
          <w:color w:val="auto"/>
        </w:rPr>
        <w:t>b.4.a. “Stored program controlled” equipment “specially designed” for testing</w:t>
      </w:r>
    </w:p>
    <w:p>
      <w:pPr>
        <w:jc w:val="both"/>
        <w:spacing w:after="0" w:line="255" w:lineRule="auto"/>
        <w:rPr>
          <w:sz w:val="20"/>
          <w:szCs w:val="20"/>
          <w:color w:val="auto"/>
        </w:rPr>
      </w:pPr>
      <w:r>
        <w:rPr>
          <w:rFonts w:ascii="Times New Roman" w:cs="Times New Roman" w:eastAsia="Times New Roman" w:hAnsi="Times New Roman"/>
          <w:sz w:val="22"/>
          <w:szCs w:val="22"/>
          <w:color w:val="auto"/>
        </w:rPr>
        <w:t>discrete semiconductor devices and unencapsulated dice, capable of testing at frequencies exceeding 18 GHz;</w:t>
      </w:r>
    </w:p>
    <w:p>
      <w:pPr>
        <w:spacing w:after="0" w:line="200" w:lineRule="exact"/>
        <w:rPr>
          <w:sz w:val="20"/>
          <w:szCs w:val="20"/>
          <w:color w:val="auto"/>
        </w:rPr>
      </w:pPr>
    </w:p>
    <w:p>
      <w:pPr>
        <w:jc w:val="both"/>
        <w:ind w:firstLine="144"/>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Discrete semiconductor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devices include photocells and solar cells.</w:t>
      </w:r>
    </w:p>
    <w:p>
      <w:pPr>
        <w:spacing w:after="0" w:line="181" w:lineRule="exact"/>
        <w:rPr>
          <w:sz w:val="20"/>
          <w:szCs w:val="20"/>
          <w:color w:val="auto"/>
        </w:rPr>
      </w:pPr>
    </w:p>
    <w:p>
      <w:pPr>
        <w:jc w:val="both"/>
        <w:ind w:firstLine="288"/>
        <w:spacing w:after="0" w:line="250" w:lineRule="auto"/>
        <w:rPr>
          <w:sz w:val="20"/>
          <w:szCs w:val="20"/>
          <w:color w:val="auto"/>
        </w:rPr>
      </w:pPr>
      <w:r>
        <w:rPr>
          <w:rFonts w:ascii="Times New Roman" w:cs="Times New Roman" w:eastAsia="Times New Roman" w:hAnsi="Times New Roman"/>
          <w:sz w:val="22"/>
          <w:szCs w:val="22"/>
          <w:color w:val="auto"/>
        </w:rPr>
        <w:t>b.4.b. “Stored program controlled” equipment “specially designed” for testing integrated circuits and “electronic assemblies” thereof, capable of functional testing:</w:t>
      </w:r>
    </w:p>
    <w:p>
      <w:pPr>
        <w:spacing w:after="0" w:line="211"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 xml:space="preserve">b.4.b.1. At a ‘pattern rate’ exceeding 20 MHz;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b.4.b.2. At a ‘pattern rate’ exceeding 10 MHz but not exceeding 20 MHz and capable of testing packages of more than 68 terminals.</w:t>
      </w:r>
    </w:p>
    <w:p>
      <w:pPr>
        <w:spacing w:after="0" w:line="200" w:lineRule="exact"/>
        <w:rPr>
          <w:sz w:val="20"/>
          <w:szCs w:val="20"/>
          <w:color w:val="auto"/>
        </w:rPr>
      </w:pPr>
    </w:p>
    <w:p>
      <w:pPr>
        <w:jc w:val="both"/>
        <w:ind w:firstLine="144"/>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Notes</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3B992.b.4.b does not control test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equipment “specially designed” for testing:</w:t>
      </w:r>
    </w:p>
    <w:p>
      <w:pPr>
        <w:spacing w:after="0" w:line="180" w:lineRule="exact"/>
        <w:rPr>
          <w:sz w:val="20"/>
          <w:szCs w:val="20"/>
          <w:color w:val="auto"/>
        </w:rPr>
      </w:pPr>
    </w:p>
    <w:p>
      <w:pPr>
        <w:ind w:left="560" w:hanging="229"/>
        <w:spacing w:after="0"/>
        <w:tabs>
          <w:tab w:leader="none" w:pos="560" w:val="left"/>
        </w:tabs>
        <w:numPr>
          <w:ilvl w:val="1"/>
          <w:numId w:val="71"/>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Memories;</w:t>
      </w:r>
    </w:p>
    <w:p>
      <w:pPr>
        <w:spacing w:after="0" w:line="252" w:lineRule="exact"/>
        <w:rPr>
          <w:rFonts w:ascii="Times New Roman" w:cs="Times New Roman" w:eastAsia="Times New Roman" w:hAnsi="Times New Roman"/>
          <w:sz w:val="22"/>
          <w:szCs w:val="22"/>
          <w:b w:val="1"/>
          <w:bCs w:val="1"/>
          <w:i w:val="1"/>
          <w:iCs w:val="1"/>
          <w:color w:val="auto"/>
        </w:rPr>
      </w:pPr>
    </w:p>
    <w:p>
      <w:pPr>
        <w:jc w:val="both"/>
        <w:ind w:firstLine="288"/>
        <w:spacing w:after="0" w:line="257" w:lineRule="auto"/>
        <w:tabs>
          <w:tab w:leader="none" w:pos="575" w:val="left"/>
        </w:tabs>
        <w:numPr>
          <w:ilvl w:val="0"/>
          <w:numId w:val="72"/>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“Assemblies” or a class of “electronic assemblies” for home and entertainment applications; and</w:t>
      </w:r>
    </w:p>
    <w:p>
      <w:pPr>
        <w:spacing w:after="0" w:line="200" w:lineRule="exact"/>
        <w:rPr>
          <w:rFonts w:ascii="Times New Roman" w:cs="Times New Roman" w:eastAsia="Times New Roman" w:hAnsi="Times New Roman"/>
          <w:sz w:val="22"/>
          <w:szCs w:val="22"/>
          <w:b w:val="1"/>
          <w:bCs w:val="1"/>
          <w:i w:val="1"/>
          <w:iCs w:val="1"/>
          <w:color w:val="auto"/>
        </w:rPr>
      </w:pPr>
    </w:p>
    <w:p>
      <w:pPr>
        <w:jc w:val="both"/>
        <w:ind w:firstLine="288"/>
        <w:spacing w:after="0" w:line="257" w:lineRule="auto"/>
        <w:tabs>
          <w:tab w:leader="none" w:pos="737" w:val="left"/>
        </w:tabs>
        <w:numPr>
          <w:ilvl w:val="0"/>
          <w:numId w:val="72"/>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Electronic “parts,” “components,” “assemblies” and integrated circuits not controlled by 3A001 or 3A991 provided such</w:t>
      </w:r>
    </w:p>
    <w:p>
      <w:pPr>
        <w:spacing w:after="0" w:line="20" w:lineRule="exact"/>
        <w:rPr>
          <w:sz w:val="20"/>
          <w:szCs w:val="20"/>
          <w:color w:val="auto"/>
        </w:rPr>
      </w:pPr>
      <w:r>
        <w:rPr>
          <w:sz w:val="20"/>
          <w:szCs w:val="20"/>
          <w:color w:val="auto"/>
        </w:rPr>
        <w:br w:type="column"/>
      </w:r>
    </w:p>
    <w:p>
      <w:pPr>
        <w:spacing w:after="0" w:line="22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test equipment does not incorporate computing</w:t>
      </w:r>
    </w:p>
    <w:p>
      <w:pPr>
        <w:spacing w:after="0" w:line="4" w:lineRule="exact"/>
        <w:rPr>
          <w:sz w:val="20"/>
          <w:szCs w:val="20"/>
          <w:color w:val="auto"/>
        </w:rPr>
      </w:pPr>
    </w:p>
    <w:p>
      <w:pPr>
        <w:jc w:val="both"/>
        <w:spacing w:after="0" w:line="270" w:lineRule="auto"/>
        <w:rPr>
          <w:sz w:val="20"/>
          <w:szCs w:val="20"/>
          <w:color w:val="auto"/>
        </w:rPr>
      </w:pPr>
      <w:r>
        <w:rPr>
          <w:rFonts w:ascii="Times New Roman" w:cs="Times New Roman" w:eastAsia="Times New Roman" w:hAnsi="Times New Roman"/>
          <w:sz w:val="22"/>
          <w:szCs w:val="22"/>
          <w:i w:val="1"/>
          <w:iCs w:val="1"/>
          <w:color w:val="auto"/>
        </w:rPr>
        <w:t>facilities with “user accessible programmability”.</w:t>
      </w:r>
    </w:p>
    <w:p>
      <w:pPr>
        <w:spacing w:after="0" w:line="183" w:lineRule="exact"/>
        <w:rPr>
          <w:sz w:val="20"/>
          <w:szCs w:val="20"/>
          <w:color w:val="auto"/>
        </w:rPr>
      </w:pPr>
    </w:p>
    <w:p>
      <w:pPr>
        <w:jc w:val="both"/>
        <w:ind w:firstLine="144"/>
        <w:spacing w:after="0" w:line="246"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For purposes of 3B992.b.4.b,</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‘pattern rate’ is defined as the maximum frequency of digital operation of a tester. It is therefore equivalent to the highest data rate that a tester can provide in non-multiplexed mode. It is also referred to as test speed, maximum digital frequency or maximum digital speed.</w:t>
      </w:r>
    </w:p>
    <w:p>
      <w:pPr>
        <w:spacing w:after="0" w:line="214" w:lineRule="exact"/>
        <w:rPr>
          <w:sz w:val="20"/>
          <w:szCs w:val="20"/>
          <w:color w:val="auto"/>
        </w:rPr>
      </w:pPr>
    </w:p>
    <w:p>
      <w:pPr>
        <w:jc w:val="both"/>
        <w:ind w:firstLine="288"/>
        <w:spacing w:after="0" w:line="239" w:lineRule="auto"/>
        <w:rPr>
          <w:sz w:val="20"/>
          <w:szCs w:val="20"/>
          <w:color w:val="auto"/>
        </w:rPr>
      </w:pPr>
      <w:r>
        <w:rPr>
          <w:rFonts w:ascii="Times New Roman" w:cs="Times New Roman" w:eastAsia="Times New Roman" w:hAnsi="Times New Roman"/>
          <w:sz w:val="22"/>
          <w:szCs w:val="22"/>
          <w:color w:val="auto"/>
        </w:rPr>
        <w:t>b.4.c. Equipment “specially designed” for determining the performance of focal-plane arrays at wavelengths of more than 1,200 nm,</w:t>
      </w:r>
    </w:p>
    <w:p>
      <w:pPr>
        <w:spacing w:after="0" w:line="3" w:lineRule="exact"/>
        <w:rPr>
          <w:sz w:val="20"/>
          <w:szCs w:val="20"/>
          <w:color w:val="auto"/>
        </w:rPr>
      </w:pPr>
    </w:p>
    <w:p>
      <w:pPr>
        <w:jc w:val="both"/>
        <w:spacing w:after="0" w:line="255" w:lineRule="auto"/>
        <w:rPr>
          <w:sz w:val="20"/>
          <w:szCs w:val="20"/>
          <w:color w:val="auto"/>
        </w:rPr>
      </w:pPr>
      <w:r>
        <w:rPr>
          <w:rFonts w:ascii="Times New Roman" w:cs="Times New Roman" w:eastAsia="Times New Roman" w:hAnsi="Times New Roman"/>
          <w:sz w:val="22"/>
          <w:szCs w:val="22"/>
          <w:color w:val="auto"/>
        </w:rPr>
        <w:t>using “stored program controlled” measurements or computer aided evaluation and having any of the following characteristics:</w:t>
      </w:r>
    </w:p>
    <w:p>
      <w:pPr>
        <w:spacing w:after="0" w:line="205" w:lineRule="exact"/>
        <w:rPr>
          <w:sz w:val="20"/>
          <w:szCs w:val="20"/>
          <w:color w:val="auto"/>
        </w:rPr>
      </w:pPr>
    </w:p>
    <w:p>
      <w:pPr>
        <w:jc w:val="both"/>
        <w:ind w:firstLine="432"/>
        <w:spacing w:after="0" w:line="271" w:lineRule="auto"/>
        <w:rPr>
          <w:sz w:val="20"/>
          <w:szCs w:val="20"/>
          <w:color w:val="auto"/>
        </w:rPr>
      </w:pPr>
      <w:r>
        <w:rPr>
          <w:rFonts w:ascii="Times New Roman" w:cs="Times New Roman" w:eastAsia="Times New Roman" w:hAnsi="Times New Roman"/>
          <w:sz w:val="22"/>
          <w:szCs w:val="22"/>
          <w:color w:val="auto"/>
        </w:rPr>
        <w:t>b.4.c.1. Using scanning light spot diameters of less than 0.12 mm;</w:t>
      </w:r>
    </w:p>
    <w:p>
      <w:pPr>
        <w:spacing w:after="0" w:line="188" w:lineRule="exact"/>
        <w:rPr>
          <w:sz w:val="20"/>
          <w:szCs w:val="20"/>
          <w:color w:val="auto"/>
        </w:rPr>
      </w:pPr>
    </w:p>
    <w:p>
      <w:pPr>
        <w:jc w:val="both"/>
        <w:ind w:firstLine="432"/>
        <w:spacing w:after="0" w:line="247" w:lineRule="auto"/>
        <w:rPr>
          <w:sz w:val="20"/>
          <w:szCs w:val="20"/>
          <w:color w:val="auto"/>
        </w:rPr>
      </w:pPr>
      <w:r>
        <w:rPr>
          <w:rFonts w:ascii="Times New Roman" w:cs="Times New Roman" w:eastAsia="Times New Roman" w:hAnsi="Times New Roman"/>
          <w:sz w:val="22"/>
          <w:szCs w:val="22"/>
          <w:color w:val="auto"/>
        </w:rPr>
        <w:t xml:space="preserve">b.4.c.2. Designed for measuring photosensitive performance parameters and for evaluating frequency response, modulation transfer function, uniformity of responsivity or noise; </w:t>
      </w:r>
      <w:r>
        <w:rPr>
          <w:rFonts w:ascii="Times New Roman" w:cs="Times New Roman" w:eastAsia="Times New Roman" w:hAnsi="Times New Roman"/>
          <w:sz w:val="22"/>
          <w:szCs w:val="22"/>
          <w:i w:val="1"/>
          <w:iCs w:val="1"/>
          <w:color w:val="auto"/>
        </w:rPr>
        <w:t>or</w:t>
      </w:r>
    </w:p>
    <w:p>
      <w:pPr>
        <w:spacing w:after="0" w:line="216" w:lineRule="exact"/>
        <w:rPr>
          <w:sz w:val="20"/>
          <w:szCs w:val="20"/>
          <w:color w:val="auto"/>
        </w:rPr>
      </w:pPr>
    </w:p>
    <w:p>
      <w:pPr>
        <w:jc w:val="both"/>
        <w:ind w:firstLine="432"/>
        <w:spacing w:after="0" w:line="255" w:lineRule="auto"/>
        <w:rPr>
          <w:sz w:val="20"/>
          <w:szCs w:val="20"/>
          <w:color w:val="auto"/>
        </w:rPr>
      </w:pPr>
      <w:r>
        <w:rPr>
          <w:rFonts w:ascii="Times New Roman" w:cs="Times New Roman" w:eastAsia="Times New Roman" w:hAnsi="Times New Roman"/>
          <w:sz w:val="22"/>
          <w:szCs w:val="22"/>
          <w:color w:val="auto"/>
        </w:rPr>
        <w:t>b.4.c.3. Designed for evaluating arrays capable of creating images with more than 32 x 32 line elements;</w:t>
      </w:r>
    </w:p>
    <w:p>
      <w:pPr>
        <w:spacing w:after="0" w:line="205" w:lineRule="exact"/>
        <w:rPr>
          <w:sz w:val="20"/>
          <w:szCs w:val="20"/>
          <w:color w:val="auto"/>
        </w:rPr>
      </w:pPr>
    </w:p>
    <w:p>
      <w:pPr>
        <w:jc w:val="both"/>
        <w:ind w:firstLine="144"/>
        <w:spacing w:after="0" w:line="247" w:lineRule="auto"/>
        <w:rPr>
          <w:sz w:val="20"/>
          <w:szCs w:val="20"/>
          <w:color w:val="auto"/>
        </w:rPr>
      </w:pPr>
      <w:r>
        <w:rPr>
          <w:rFonts w:ascii="Times New Roman" w:cs="Times New Roman" w:eastAsia="Times New Roman" w:hAnsi="Times New Roman"/>
          <w:sz w:val="22"/>
          <w:szCs w:val="22"/>
          <w:color w:val="auto"/>
        </w:rPr>
        <w:t>b.5. Electron beam test systems designed for operation at 3 keV or below, or “laser” beam systems, for non-contactive probing of powered-up semiconductor devices having any of the following:</w:t>
      </w:r>
    </w:p>
    <w:p>
      <w:pPr>
        <w:spacing w:after="0" w:line="216"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b.5.a. Stroboscopic capability with either beam blanking or detector strobing;</w:t>
      </w:r>
    </w:p>
    <w:p>
      <w:pPr>
        <w:spacing w:after="0" w:line="187"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 xml:space="preserve">b.5.b. An electron spectrometer for voltage measurements with a resolution of less than 0.5 V; </w:t>
      </w:r>
      <w:r>
        <w:rPr>
          <w:rFonts w:ascii="Times New Roman" w:cs="Times New Roman" w:eastAsia="Times New Roman" w:hAnsi="Times New Roman"/>
          <w:sz w:val="22"/>
          <w:szCs w:val="22"/>
          <w:i w:val="1"/>
          <w:iCs w:val="1"/>
          <w:color w:val="auto"/>
        </w:rPr>
        <w:t>or</w:t>
      </w:r>
    </w:p>
    <w:p>
      <w:pPr>
        <w:spacing w:after="0" w:line="206" w:lineRule="exact"/>
        <w:rPr>
          <w:sz w:val="20"/>
          <w:szCs w:val="20"/>
          <w:color w:val="auto"/>
        </w:rPr>
      </w:pPr>
    </w:p>
    <w:p>
      <w:pPr>
        <w:jc w:val="both"/>
        <w:ind w:firstLine="288"/>
        <w:spacing w:after="0" w:line="270" w:lineRule="auto"/>
        <w:rPr>
          <w:sz w:val="20"/>
          <w:szCs w:val="20"/>
          <w:color w:val="auto"/>
        </w:rPr>
      </w:pPr>
      <w:r>
        <w:rPr>
          <w:rFonts w:ascii="Times New Roman" w:cs="Times New Roman" w:eastAsia="Times New Roman" w:hAnsi="Times New Roman"/>
          <w:sz w:val="22"/>
          <w:szCs w:val="22"/>
          <w:color w:val="auto"/>
        </w:rPr>
        <w:t>b.5.c. Electrical tests fixtures for performance analysis of integrated circuits;</w:t>
      </w:r>
    </w:p>
    <w:p>
      <w:pPr>
        <w:spacing w:after="0" w:line="440" w:lineRule="exact"/>
        <w:rPr>
          <w:sz w:val="20"/>
          <w:szCs w:val="20"/>
          <w:color w:val="auto"/>
        </w:rPr>
      </w:pPr>
    </w:p>
    <w:p>
      <w:pPr>
        <w:sectPr>
          <w:pgSz w:w="12240" w:h="15840" w:orient="portrait"/>
          <w:cols w:equalWidth="0" w:num="2">
            <w:col w:w="4320" w:space="720"/>
            <w:col w:w="4320"/>
          </w:cols>
          <w:pgMar w:left="1440" w:top="1062" w:right="1440" w:bottom="892" w:gutter="0" w:footer="0" w:header="0"/>
          <w:type w:val="continuous"/>
        </w:sectPr>
      </w:pPr>
    </w:p>
    <w:p>
      <w:pPr>
        <w:spacing w:after="0" w:line="268"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46" w:name="page47"/>
    <w:bookmarkEnd w:id="46"/>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47</w:t>
      </w:r>
    </w:p>
    <w:p>
      <w:pPr>
        <w:sectPr>
          <w:pgSz w:w="12240" w:h="15840" w:orient="portrait"/>
          <w:cols w:equalWidth="0" w:num="1">
            <w:col w:w="9360"/>
          </w:cols>
          <w:pgMar w:left="1440" w:top="1062" w:right="1440" w:bottom="892" w:gutter="0" w:footer="0" w:header="0"/>
        </w:sectPr>
      </w:pPr>
    </w:p>
    <w:p>
      <w:pPr>
        <w:spacing w:after="0" w:line="240" w:lineRule="exact"/>
        <w:rPr>
          <w:sz w:val="20"/>
          <w:szCs w:val="20"/>
          <w:color w:val="auto"/>
        </w:rPr>
      </w:pPr>
    </w:p>
    <w:p>
      <w:pPr>
        <w:jc w:val="both"/>
        <w:ind w:right="120" w:firstLine="144"/>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3B992.b.5 does not control scanning</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electron microscopes, except when “specially designed” and instrumented for non-contactive probing of a powered-up semiconductor device.</w:t>
      </w:r>
    </w:p>
    <w:p>
      <w:pPr>
        <w:spacing w:after="0" w:line="207" w:lineRule="exact"/>
        <w:rPr>
          <w:sz w:val="20"/>
          <w:szCs w:val="20"/>
          <w:color w:val="auto"/>
        </w:rPr>
      </w:pPr>
    </w:p>
    <w:p>
      <w:pPr>
        <w:jc w:val="both"/>
        <w:ind w:right="120" w:firstLine="144"/>
        <w:spacing w:after="0" w:line="246" w:lineRule="auto"/>
        <w:rPr>
          <w:sz w:val="20"/>
          <w:szCs w:val="20"/>
          <w:color w:val="auto"/>
        </w:rPr>
      </w:pPr>
      <w:r>
        <w:rPr>
          <w:rFonts w:ascii="Times New Roman" w:cs="Times New Roman" w:eastAsia="Times New Roman" w:hAnsi="Times New Roman"/>
          <w:sz w:val="22"/>
          <w:szCs w:val="22"/>
          <w:color w:val="auto"/>
        </w:rPr>
        <w:t>b.6. “Stored program controlled” multifunctional focused ion beam systems “specially designed” for manufacturing, repairing, physical layout analysis and testing of masks or semiconductor devices and having either of the following characteristics:</w:t>
      </w:r>
    </w:p>
    <w:p>
      <w:pPr>
        <w:spacing w:after="0" w:line="215" w:lineRule="exact"/>
        <w:rPr>
          <w:sz w:val="20"/>
          <w:szCs w:val="20"/>
          <w:color w:val="auto"/>
        </w:rPr>
      </w:pPr>
    </w:p>
    <w:p>
      <w:pPr>
        <w:jc w:val="both"/>
        <w:ind w:right="120" w:firstLine="288"/>
        <w:spacing w:after="0" w:line="270" w:lineRule="auto"/>
        <w:rPr>
          <w:sz w:val="20"/>
          <w:szCs w:val="20"/>
          <w:color w:val="auto"/>
        </w:rPr>
      </w:pPr>
      <w:r>
        <w:rPr>
          <w:rFonts w:ascii="Times New Roman" w:cs="Times New Roman" w:eastAsia="Times New Roman" w:hAnsi="Times New Roman"/>
          <w:sz w:val="22"/>
          <w:szCs w:val="22"/>
          <w:color w:val="auto"/>
        </w:rPr>
        <w:t xml:space="preserve">b.6.a. Target-to-beam position feedback control precision of 1 micrometer or finer; </w:t>
      </w:r>
      <w:r>
        <w:rPr>
          <w:rFonts w:ascii="Times New Roman" w:cs="Times New Roman" w:eastAsia="Times New Roman" w:hAnsi="Times New Roman"/>
          <w:sz w:val="22"/>
          <w:szCs w:val="22"/>
          <w:i w:val="1"/>
          <w:iCs w:val="1"/>
          <w:color w:val="auto"/>
        </w:rPr>
        <w:t>or</w:t>
      </w:r>
    </w:p>
    <w:p>
      <w:pPr>
        <w:spacing w:after="0" w:line="189" w:lineRule="exact"/>
        <w:rPr>
          <w:sz w:val="20"/>
          <w:szCs w:val="20"/>
          <w:color w:val="auto"/>
        </w:rPr>
      </w:pPr>
    </w:p>
    <w:p>
      <w:pPr>
        <w:jc w:val="both"/>
        <w:ind w:right="120" w:firstLine="288"/>
        <w:spacing w:after="0" w:line="271" w:lineRule="auto"/>
        <w:rPr>
          <w:sz w:val="20"/>
          <w:szCs w:val="20"/>
          <w:color w:val="auto"/>
        </w:rPr>
      </w:pPr>
      <w:r>
        <w:rPr>
          <w:rFonts w:ascii="Times New Roman" w:cs="Times New Roman" w:eastAsia="Times New Roman" w:hAnsi="Times New Roman"/>
          <w:sz w:val="22"/>
          <w:szCs w:val="22"/>
          <w:color w:val="auto"/>
        </w:rPr>
        <w:t>b.6.b. Digital-to-analog conversion accuracy exceeding 12 bit;</w:t>
      </w:r>
    </w:p>
    <w:p>
      <w:pPr>
        <w:spacing w:after="0" w:line="187" w:lineRule="exact"/>
        <w:rPr>
          <w:sz w:val="20"/>
          <w:szCs w:val="20"/>
          <w:color w:val="auto"/>
        </w:rPr>
      </w:pPr>
    </w:p>
    <w:p>
      <w:pPr>
        <w:jc w:val="both"/>
        <w:ind w:right="120" w:firstLine="144"/>
        <w:spacing w:after="0" w:line="250" w:lineRule="auto"/>
        <w:rPr>
          <w:sz w:val="20"/>
          <w:szCs w:val="20"/>
          <w:color w:val="auto"/>
        </w:rPr>
      </w:pPr>
      <w:r>
        <w:rPr>
          <w:rFonts w:ascii="Times New Roman" w:cs="Times New Roman" w:eastAsia="Times New Roman" w:hAnsi="Times New Roman"/>
          <w:sz w:val="22"/>
          <w:szCs w:val="22"/>
          <w:color w:val="auto"/>
        </w:rPr>
        <w:t>b.7. Particle measuring systems employing “lasers” designed for measuring particle size and concentration in air having both of the following characteristics:</w:t>
      </w:r>
    </w:p>
    <w:p>
      <w:pPr>
        <w:spacing w:after="0" w:line="212" w:lineRule="exact"/>
        <w:rPr>
          <w:sz w:val="20"/>
          <w:szCs w:val="20"/>
          <w:color w:val="auto"/>
        </w:rPr>
      </w:pPr>
    </w:p>
    <w:p>
      <w:pPr>
        <w:jc w:val="both"/>
        <w:ind w:right="120" w:firstLine="288"/>
        <w:spacing w:after="0" w:line="264" w:lineRule="auto"/>
        <w:rPr>
          <w:sz w:val="20"/>
          <w:szCs w:val="20"/>
          <w:color w:val="auto"/>
        </w:rPr>
      </w:pPr>
      <w:r>
        <w:rPr>
          <w:rFonts w:ascii="Times New Roman" w:cs="Times New Roman" w:eastAsia="Times New Roman" w:hAnsi="Times New Roman"/>
          <w:sz w:val="22"/>
          <w:szCs w:val="22"/>
          <w:color w:val="auto"/>
        </w:rPr>
        <w:t>b.7.a. Capable of measuring particle sizes of 0.2 micrometer or less at a flow rate of 0.02832 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per minute or more; </w:t>
      </w:r>
      <w:r>
        <w:rPr>
          <w:rFonts w:ascii="Times New Roman" w:cs="Times New Roman" w:eastAsia="Times New Roman" w:hAnsi="Times New Roman"/>
          <w:sz w:val="22"/>
          <w:szCs w:val="22"/>
          <w:i w:val="1"/>
          <w:iCs w:val="1"/>
          <w:color w:val="auto"/>
        </w:rPr>
        <w:t>and</w:t>
      </w:r>
    </w:p>
    <w:p>
      <w:pPr>
        <w:spacing w:after="0" w:line="101" w:lineRule="exact"/>
        <w:rPr>
          <w:sz w:val="20"/>
          <w:szCs w:val="20"/>
          <w:color w:val="auto"/>
        </w:rPr>
      </w:pPr>
    </w:p>
    <w:p>
      <w:pPr>
        <w:jc w:val="both"/>
        <w:ind w:right="120" w:firstLine="288"/>
        <w:spacing w:after="0" w:line="271" w:lineRule="auto"/>
        <w:rPr>
          <w:sz w:val="20"/>
          <w:szCs w:val="20"/>
          <w:color w:val="auto"/>
        </w:rPr>
      </w:pPr>
      <w:r>
        <w:rPr>
          <w:rFonts w:ascii="Times New Roman" w:cs="Times New Roman" w:eastAsia="Times New Roman" w:hAnsi="Times New Roman"/>
          <w:sz w:val="22"/>
          <w:szCs w:val="22"/>
          <w:color w:val="auto"/>
        </w:rPr>
        <w:t>b.7.b. Capable of characterizing Class 10 clean air or better.</w:t>
      </w:r>
    </w:p>
    <w:p>
      <w:pPr>
        <w:spacing w:after="0" w:line="200" w:lineRule="exact"/>
        <w:rPr>
          <w:sz w:val="20"/>
          <w:szCs w:val="20"/>
          <w:color w:val="auto"/>
        </w:rPr>
      </w:pPr>
    </w:p>
    <w:p>
      <w:pPr>
        <w:spacing w:after="0" w:line="237" w:lineRule="exact"/>
        <w:rPr>
          <w:sz w:val="20"/>
          <w:szCs w:val="20"/>
          <w:color w:val="auto"/>
        </w:rPr>
      </w:pPr>
    </w:p>
    <w:p>
      <w:pPr>
        <w:jc w:val="center"/>
        <w:ind w:right="120"/>
        <w:spacing w:after="0"/>
        <w:rPr>
          <w:sz w:val="20"/>
          <w:szCs w:val="20"/>
          <w:color w:val="auto"/>
        </w:rPr>
      </w:pPr>
      <w:r>
        <w:rPr>
          <w:rFonts w:ascii="Times New Roman" w:cs="Times New Roman" w:eastAsia="Times New Roman" w:hAnsi="Times New Roman"/>
          <w:sz w:val="22"/>
          <w:szCs w:val="22"/>
          <w:b w:val="1"/>
          <w:bCs w:val="1"/>
          <w:color w:val="auto"/>
        </w:rPr>
        <w:t>C. “MATERIALS”</w:t>
      </w:r>
    </w:p>
    <w:p>
      <w:pPr>
        <w:spacing w:after="0" w:line="253" w:lineRule="exact"/>
        <w:rPr>
          <w:sz w:val="20"/>
          <w:szCs w:val="20"/>
          <w:color w:val="auto"/>
        </w:rPr>
      </w:pPr>
    </w:p>
    <w:p>
      <w:pPr>
        <w:jc w:val="both"/>
        <w:ind w:right="120"/>
        <w:spacing w:after="0" w:line="251" w:lineRule="auto"/>
        <w:rPr>
          <w:sz w:val="20"/>
          <w:szCs w:val="20"/>
          <w:color w:val="auto"/>
        </w:rPr>
      </w:pPr>
      <w:r>
        <w:rPr>
          <w:rFonts w:ascii="Times New Roman" w:cs="Times New Roman" w:eastAsia="Times New Roman" w:hAnsi="Times New Roman"/>
          <w:sz w:val="22"/>
          <w:szCs w:val="22"/>
          <w:b w:val="1"/>
          <w:bCs w:val="1"/>
          <w:color w:val="auto"/>
        </w:rPr>
        <w:t>3C001 Hetero-epitaxial materials consisting of a “substrate” having stacked epitaxially grown multiple layers of any of the following (see List of Items Controlled).</w:t>
      </w:r>
    </w:p>
    <w:p>
      <w:pPr>
        <w:spacing w:after="0" w:line="20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48" w:lineRule="exact"/>
        <w:rPr>
          <w:sz w:val="20"/>
          <w:szCs w:val="20"/>
          <w:color w:val="auto"/>
        </w:rPr>
      </w:pPr>
    </w:p>
    <w:tbl>
      <w:tblPr>
        <w:tblLayout w:type="fixed"/>
        <w:tblInd w:w="9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82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NS applies to entire entry</w:t>
            </w:r>
          </w:p>
        </w:tc>
        <w:tc>
          <w:tcPr>
            <w:tcW w:w="182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44"/>
        </w:trPr>
        <w:tc>
          <w:tcPr>
            <w:tcW w:w="254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1820" w:type="dxa"/>
            <w:vAlign w:val="bottom"/>
            <w:tcBorders>
              <w:bottom w:val="single" w:sz="8" w:color="auto"/>
              <w:right w:val="single" w:sz="8" w:color="auto"/>
            </w:tcBorders>
          </w:tcPr>
          <w:p>
            <w:pPr>
              <w:ind w:left="10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8" w:lineRule="exact"/>
        <w:rPr>
          <w:sz w:val="20"/>
          <w:szCs w:val="20"/>
          <w:color w:val="auto"/>
        </w:rPr>
      </w:pPr>
    </w:p>
    <w:p>
      <w:pPr>
        <w:spacing w:after="0"/>
        <w:tabs>
          <w:tab w:leader="none" w:pos="2860" w:val="left"/>
        </w:tabs>
        <w:rPr>
          <w:sz w:val="20"/>
          <w:szCs w:val="20"/>
          <w:color w:val="auto"/>
        </w:rPr>
      </w:pPr>
      <w:r>
        <w:rPr>
          <w:rFonts w:ascii="Times New Roman" w:cs="Times New Roman" w:eastAsia="Times New Roman" w:hAnsi="Times New Roman"/>
          <w:sz w:val="22"/>
          <w:szCs w:val="22"/>
          <w:color w:val="auto"/>
        </w:rPr>
        <w:t>AT applies to entire entry</w:t>
      </w:r>
      <w:r>
        <w:rPr>
          <w:sz w:val="20"/>
          <w:szCs w:val="20"/>
          <w:color w:val="auto"/>
        </w:rPr>
        <w:tab/>
      </w:r>
      <w:r>
        <w:rPr>
          <w:rFonts w:ascii="Times New Roman" w:cs="Times New Roman" w:eastAsia="Times New Roman" w:hAnsi="Times New Roman"/>
          <w:sz w:val="21"/>
          <w:szCs w:val="21"/>
          <w:color w:val="auto"/>
        </w:rPr>
        <w:t>AT Column 1</w:t>
      </w:r>
    </w:p>
    <w:p>
      <w:pPr>
        <w:spacing w:after="0" w:line="248" w:lineRule="exact"/>
        <w:rPr>
          <w:sz w:val="20"/>
          <w:szCs w:val="20"/>
          <w:color w:val="auto"/>
        </w:rPr>
      </w:pPr>
    </w:p>
    <w:p>
      <w:pPr>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$3000</w:t>
      </w:r>
    </w:p>
    <w:p>
      <w:pPr>
        <w:spacing w:after="0" w:line="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140"/>
        <w:spacing w:after="0"/>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00" w:lineRule="exact"/>
        <w:rPr>
          <w:sz w:val="20"/>
          <w:szCs w:val="20"/>
          <w:color w:val="auto"/>
        </w:rPr>
      </w:pPr>
    </w:p>
    <w:p>
      <w:pPr>
        <w:spacing w:after="0" w:line="304" w:lineRule="exact"/>
        <w:rPr>
          <w:sz w:val="20"/>
          <w:szCs w:val="20"/>
          <w:color w:val="auto"/>
        </w:rPr>
      </w:pPr>
    </w:p>
    <w:p>
      <w:pPr>
        <w:jc w:val="both"/>
        <w:ind w:left="180"/>
        <w:spacing w:after="0" w:line="241"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This entry does not control</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equipment or material whose functionality has been unalterably disabled are not controlled.</w:t>
      </w:r>
    </w:p>
    <w:p>
      <w:pPr>
        <w:spacing w:after="0" w:line="2"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ind w:left="260" w:hanging="260"/>
        <w:spacing w:after="0"/>
        <w:tabs>
          <w:tab w:leader="none" w:pos="260" w:val="left"/>
        </w:tabs>
        <w:numPr>
          <w:ilvl w:val="0"/>
          <w:numId w:val="7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Silicon (Si);</w:t>
      </w:r>
    </w:p>
    <w:p>
      <w:pPr>
        <w:spacing w:after="0" w:line="253" w:lineRule="exact"/>
        <w:rPr>
          <w:rFonts w:ascii="Times New Roman" w:cs="Times New Roman" w:eastAsia="Times New Roman" w:hAnsi="Times New Roman"/>
          <w:sz w:val="22"/>
          <w:szCs w:val="22"/>
          <w:color w:val="auto"/>
        </w:rPr>
      </w:pPr>
    </w:p>
    <w:p>
      <w:pPr>
        <w:ind w:left="280" w:hanging="280"/>
        <w:spacing w:after="0"/>
        <w:tabs>
          <w:tab w:leader="none" w:pos="280" w:val="left"/>
        </w:tabs>
        <w:numPr>
          <w:ilvl w:val="0"/>
          <w:numId w:val="7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Germanium (Ge);</w:t>
      </w:r>
    </w:p>
    <w:p>
      <w:pPr>
        <w:spacing w:after="0" w:line="249" w:lineRule="exact"/>
        <w:rPr>
          <w:rFonts w:ascii="Times New Roman" w:cs="Times New Roman" w:eastAsia="Times New Roman" w:hAnsi="Times New Roman"/>
          <w:sz w:val="22"/>
          <w:szCs w:val="22"/>
          <w:color w:val="auto"/>
        </w:rPr>
      </w:pPr>
    </w:p>
    <w:p>
      <w:pPr>
        <w:ind w:left="260" w:hanging="260"/>
        <w:spacing w:after="0"/>
        <w:tabs>
          <w:tab w:leader="none" w:pos="260" w:val="left"/>
        </w:tabs>
        <w:numPr>
          <w:ilvl w:val="0"/>
          <w:numId w:val="7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Silicon Carbide (SiC); </w:t>
      </w:r>
      <w:r>
        <w:rPr>
          <w:rFonts w:ascii="Times New Roman" w:cs="Times New Roman" w:eastAsia="Times New Roman" w:hAnsi="Times New Roman"/>
          <w:sz w:val="22"/>
          <w:szCs w:val="22"/>
          <w:i w:val="1"/>
          <w:iCs w:val="1"/>
          <w:color w:val="auto"/>
        </w:rPr>
        <w:t>or</w:t>
      </w:r>
    </w:p>
    <w:p>
      <w:pPr>
        <w:spacing w:after="0" w:line="256" w:lineRule="exact"/>
        <w:rPr>
          <w:rFonts w:ascii="Times New Roman" w:cs="Times New Roman" w:eastAsia="Times New Roman" w:hAnsi="Times New Roman"/>
          <w:sz w:val="22"/>
          <w:szCs w:val="22"/>
          <w:color w:val="auto"/>
        </w:rPr>
      </w:pPr>
    </w:p>
    <w:p>
      <w:pPr>
        <w:ind w:left="280" w:hanging="280"/>
        <w:spacing w:after="0"/>
        <w:tabs>
          <w:tab w:leader="none" w:pos="280" w:val="left"/>
        </w:tabs>
        <w:numPr>
          <w:ilvl w:val="0"/>
          <w:numId w:val="7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“III/V compounds” of gallium or indium.</w:t>
      </w:r>
    </w:p>
    <w:p>
      <w:pPr>
        <w:spacing w:after="0" w:line="249" w:lineRule="exact"/>
        <w:rPr>
          <w:sz w:val="20"/>
          <w:szCs w:val="20"/>
          <w:color w:val="auto"/>
        </w:rPr>
      </w:pPr>
    </w:p>
    <w:p>
      <w:pPr>
        <w:jc w:val="both"/>
        <w:ind w:firstLine="144"/>
        <w:spacing w:after="0" w:line="246"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3C001.d does not apply to a “substrate”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having one or more P-type epitaxial layers of GaN, InGaN, AlGaN, InAlN, InAlGaN, GaP, GaAs, AlGaAs, InP, InGaP, AlInP or InGaAlP, independent of the sequence of the elements, except if the P-type epitaxial layer is between N-type layers.</w:t>
      </w:r>
    </w:p>
    <w:p>
      <w:pPr>
        <w:spacing w:after="0" w:line="200" w:lineRule="exact"/>
        <w:rPr>
          <w:sz w:val="20"/>
          <w:szCs w:val="20"/>
          <w:color w:val="auto"/>
        </w:rPr>
      </w:pPr>
    </w:p>
    <w:p>
      <w:pPr>
        <w:spacing w:after="0" w:line="263" w:lineRule="exact"/>
        <w:rPr>
          <w:sz w:val="20"/>
          <w:szCs w:val="20"/>
          <w:color w:val="auto"/>
        </w:rPr>
      </w:pPr>
    </w:p>
    <w:p>
      <w:pPr>
        <w:jc w:val="both"/>
        <w:spacing w:after="0" w:line="257" w:lineRule="auto"/>
        <w:rPr>
          <w:sz w:val="20"/>
          <w:szCs w:val="20"/>
          <w:color w:val="auto"/>
        </w:rPr>
      </w:pPr>
      <w:r>
        <w:rPr>
          <w:rFonts w:ascii="Times New Roman" w:cs="Times New Roman" w:eastAsia="Times New Roman" w:hAnsi="Times New Roman"/>
          <w:sz w:val="22"/>
          <w:szCs w:val="22"/>
          <w:b w:val="1"/>
          <w:bCs w:val="1"/>
          <w:color w:val="auto"/>
        </w:rPr>
        <w:t>3C002 Resist materials as follows (see List of Items Controlled) and “substrates” coated with the following resists.</w:t>
      </w:r>
    </w:p>
    <w:p>
      <w:pPr>
        <w:spacing w:after="0" w:line="19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64" w:lineRule="exact"/>
        <w:rPr>
          <w:sz w:val="20"/>
          <w:szCs w:val="20"/>
          <w:color w:val="auto"/>
        </w:rPr>
      </w:pPr>
    </w:p>
    <w:p>
      <w:pPr>
        <w:ind w:left="2880"/>
        <w:spacing w:after="0"/>
        <w:rPr>
          <w:sz w:val="20"/>
          <w:szCs w:val="20"/>
          <w:color w:val="auto"/>
        </w:rPr>
      </w:pPr>
      <w:r>
        <w:rPr>
          <w:rFonts w:ascii="Times New Roman" w:cs="Times New Roman" w:eastAsia="Times New Roman" w:hAnsi="Times New Roman"/>
          <w:sz w:val="22"/>
          <w:szCs w:val="22"/>
          <w:i w:val="1"/>
          <w:iCs w:val="1"/>
          <w:color w:val="auto"/>
        </w:rPr>
        <w:t>Country Chart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53975</wp:posOffset>
                </wp:positionH>
                <wp:positionV relativeFrom="paragraph">
                  <wp:posOffset>-151765</wp:posOffset>
                </wp:positionV>
                <wp:extent cx="2760345" cy="0"/>
                <wp:wrapNone/>
                <wp:docPr id="31" name="Shape 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60345"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1" o:spid="_x0000_s10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25pt,-11.9499pt" to="221.6pt,-11.949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53975</wp:posOffset>
                </wp:positionH>
                <wp:positionV relativeFrom="paragraph">
                  <wp:posOffset>335915</wp:posOffset>
                </wp:positionV>
                <wp:extent cx="2760345" cy="0"/>
                <wp:wrapNone/>
                <wp:docPr id="32" name="Shape 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60345"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2" o:spid="_x0000_s10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25pt,26.45pt" to="221.6pt,26.4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57150</wp:posOffset>
                </wp:positionH>
                <wp:positionV relativeFrom="paragraph">
                  <wp:posOffset>-154940</wp:posOffset>
                </wp:positionV>
                <wp:extent cx="0" cy="661035"/>
                <wp:wrapNone/>
                <wp:docPr id="33" name="Shape 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103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3" o:spid="_x0000_s10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pt,-12.1999pt" to="4.5pt,39.8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1657350</wp:posOffset>
                </wp:positionH>
                <wp:positionV relativeFrom="paragraph">
                  <wp:posOffset>-154940</wp:posOffset>
                </wp:positionV>
                <wp:extent cx="0" cy="661035"/>
                <wp:wrapNone/>
                <wp:docPr id="34" name="Shape 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103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4" o:spid="_x0000_s10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0.5pt,-12.1999pt" to="130.5pt,39.8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2811145</wp:posOffset>
                </wp:positionH>
                <wp:positionV relativeFrom="paragraph">
                  <wp:posOffset>-154940</wp:posOffset>
                </wp:positionV>
                <wp:extent cx="0" cy="661035"/>
                <wp:wrapNone/>
                <wp:docPr id="35" name="Shape 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103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5" o:spid="_x0000_s10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1.35pt,-12.1999pt" to="221.35pt,39.85pt" o:allowincell="f" strokecolor="#000000" strokeweight="0.4799pt"/>
            </w:pict>
          </mc:Fallback>
        </mc:AlternateContent>
      </w:r>
    </w:p>
    <w:p>
      <w:pPr>
        <w:ind w:left="900"/>
        <w:spacing w:after="0"/>
        <w:tabs>
          <w:tab w:leader="none" w:pos="276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(See Supp. No. 1</w:t>
      </w:r>
    </w:p>
    <w:p>
      <w:pPr>
        <w:ind w:left="3000"/>
        <w:spacing w:after="0"/>
        <w:rPr>
          <w:sz w:val="20"/>
          <w:szCs w:val="20"/>
          <w:color w:val="auto"/>
        </w:rPr>
      </w:pPr>
      <w:r>
        <w:rPr>
          <w:rFonts w:ascii="Times New Roman" w:cs="Times New Roman" w:eastAsia="Times New Roman" w:hAnsi="Times New Roman"/>
          <w:sz w:val="22"/>
          <w:szCs w:val="22"/>
          <w:i w:val="1"/>
          <w:iCs w:val="1"/>
          <w:color w:val="auto"/>
        </w:rPr>
        <w:t>to part 738)</w:t>
      </w:r>
    </w:p>
    <w:p>
      <w:pPr>
        <w:spacing w:after="0" w:line="9" w:lineRule="exact"/>
        <w:rPr>
          <w:sz w:val="20"/>
          <w:szCs w:val="20"/>
          <w:color w:val="auto"/>
        </w:rPr>
      </w:pPr>
    </w:p>
    <w:p>
      <w:pPr>
        <w:ind w:left="200"/>
        <w:spacing w:after="0"/>
        <w:tabs>
          <w:tab w:leader="none" w:pos="2700" w:val="left"/>
        </w:tabs>
        <w:rPr>
          <w:sz w:val="20"/>
          <w:szCs w:val="20"/>
          <w:color w:val="auto"/>
        </w:rPr>
      </w:pPr>
      <w:r>
        <w:rPr>
          <w:rFonts w:ascii="Times New Roman" w:cs="Times New Roman" w:eastAsia="Times New Roman" w:hAnsi="Times New Roman"/>
          <w:sz w:val="22"/>
          <w:szCs w:val="22"/>
          <w:color w:val="auto"/>
        </w:rPr>
        <w:t>NS applies to entire entry</w:t>
      </w:r>
      <w:r>
        <w:rPr>
          <w:sz w:val="20"/>
          <w:szCs w:val="20"/>
          <w:color w:val="auto"/>
        </w:rPr>
        <w:tab/>
      </w:r>
      <w:r>
        <w:rPr>
          <w:rFonts w:ascii="Times New Roman" w:cs="Times New Roman" w:eastAsia="Times New Roman" w:hAnsi="Times New Roman"/>
          <w:sz w:val="21"/>
          <w:szCs w:val="21"/>
          <w:color w:val="auto"/>
        </w:rPr>
        <w:t>NS Column 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53975</wp:posOffset>
                </wp:positionH>
                <wp:positionV relativeFrom="paragraph">
                  <wp:posOffset>12700</wp:posOffset>
                </wp:positionV>
                <wp:extent cx="2760345" cy="0"/>
                <wp:wrapNone/>
                <wp:docPr id="36" name="Shape 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603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6" o:spid="_x0000_s10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25pt,1pt" to="221.6pt,1pt" o:allowincell="f" strokecolor="#000000" strokeweight="0.48pt"/>
            </w:pict>
          </mc:Fallback>
        </mc:AlternateContent>
      </w:r>
    </w:p>
    <w:p>
      <w:pPr>
        <w:spacing w:after="0" w:line="200" w:lineRule="exact"/>
        <w:rPr>
          <w:sz w:val="20"/>
          <w:szCs w:val="20"/>
          <w:color w:val="auto"/>
        </w:rPr>
      </w:pPr>
    </w:p>
    <w:p>
      <w:pPr>
        <w:sectPr>
          <w:pgSz w:w="12240" w:h="15840" w:orient="portrait"/>
          <w:cols w:equalWidth="0" w:num="2">
            <w:col w:w="4440" w:space="600"/>
            <w:col w:w="4320"/>
          </w:cols>
          <w:pgMar w:left="1440" w:top="1062" w:right="1440" w:bottom="892" w:gutter="0" w:footer="0" w:header="0"/>
          <w:type w:val="continuous"/>
        </w:sectPr>
      </w:pPr>
    </w:p>
    <w:p>
      <w:pPr>
        <w:spacing w:after="0" w:line="299"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062" w:right="1440" w:bottom="892" w:gutter="0" w:footer="0" w:header="0"/>
          <w:type w:val="continuous"/>
        </w:sectPr>
      </w:pPr>
    </w:p>
    <w:bookmarkStart w:id="47" w:name="page48"/>
    <w:bookmarkEnd w:id="47"/>
    <w:tbl>
      <w:tblPr>
        <w:tblLayout w:type="fixed"/>
        <w:tblInd w:w="0" w:type="dxa"/>
        <w:tblCellMar>
          <w:top w:w="0" w:type="dxa"/>
          <w:left w:w="0" w:type="dxa"/>
          <w:bottom w:w="0" w:type="dxa"/>
          <w:right w:w="0" w:type="dxa"/>
        </w:tblCellMar>
      </w:tblPr>
      <w:tr>
        <w:trPr>
          <w:trHeight w:val="238"/>
        </w:trPr>
        <w:tc>
          <w:tcPr>
            <w:tcW w:w="2620" w:type="dxa"/>
            <w:vAlign w:val="bottom"/>
            <w:gridSpan w:val="2"/>
          </w:tcPr>
          <w:p>
            <w:pPr>
              <w:spacing w:after="0"/>
              <w:rPr>
                <w:sz w:val="20"/>
                <w:szCs w:val="20"/>
                <w:color w:val="auto"/>
              </w:rPr>
            </w:pPr>
            <w:r>
              <w:rPr>
                <w:rFonts w:ascii="Times New Roman" w:cs="Times New Roman" w:eastAsia="Times New Roman" w:hAnsi="Times New Roman"/>
                <w:sz w:val="18"/>
                <w:szCs w:val="18"/>
                <w:b w:val="1"/>
                <w:bCs w:val="1"/>
                <w:color w:val="auto"/>
              </w:rPr>
              <w:t>Commerce Control List</w:t>
            </w:r>
          </w:p>
        </w:tc>
        <w:tc>
          <w:tcPr>
            <w:tcW w:w="4820" w:type="dxa"/>
            <w:vAlign w:val="bottom"/>
            <w:gridSpan w:val="2"/>
          </w:tcPr>
          <w:p>
            <w:pPr>
              <w:ind w:left="940"/>
              <w:spacing w:after="0"/>
              <w:rPr>
                <w:sz w:val="20"/>
                <w:szCs w:val="20"/>
                <w:color w:val="auto"/>
              </w:rPr>
            </w:pPr>
            <w:r>
              <w:rPr>
                <w:rFonts w:ascii="Times New Roman" w:cs="Times New Roman" w:eastAsia="Times New Roman" w:hAnsi="Times New Roman"/>
                <w:sz w:val="18"/>
                <w:szCs w:val="18"/>
                <w:b w:val="1"/>
                <w:bCs w:val="1"/>
                <w:color w:val="auto"/>
              </w:rPr>
              <w:t>Supplement No. 1 to Part 774</w:t>
            </w:r>
          </w:p>
        </w:tc>
        <w:tc>
          <w:tcPr>
            <w:tcW w:w="1920" w:type="dxa"/>
            <w:vAlign w:val="bottom"/>
          </w:tcPr>
          <w:p>
            <w:pPr>
              <w:ind w:left="320"/>
              <w:spacing w:after="0"/>
              <w:rPr>
                <w:sz w:val="20"/>
                <w:szCs w:val="20"/>
                <w:color w:val="auto"/>
              </w:rPr>
            </w:pPr>
            <w:r>
              <w:rPr>
                <w:rFonts w:ascii="Times New Roman" w:cs="Times New Roman" w:eastAsia="Times New Roman" w:hAnsi="Times New Roman"/>
                <w:sz w:val="18"/>
                <w:szCs w:val="18"/>
                <w:b w:val="1"/>
                <w:bCs w:val="1"/>
                <w:color w:val="auto"/>
                <w:w w:val="98"/>
              </w:rPr>
              <w:t>Category 3—page 48</w:t>
            </w:r>
          </w:p>
        </w:tc>
        <w:tc>
          <w:tcPr>
            <w:tcW w:w="0" w:type="dxa"/>
            <w:vAlign w:val="bottom"/>
          </w:tcPr>
          <w:p>
            <w:pPr>
              <w:spacing w:after="0"/>
              <w:rPr>
                <w:sz w:val="1"/>
                <w:szCs w:val="1"/>
                <w:color w:val="auto"/>
              </w:rPr>
            </w:pPr>
          </w:p>
        </w:tc>
      </w:tr>
      <w:tr>
        <w:trPr>
          <w:trHeight w:val="229"/>
        </w:trPr>
        <w:tc>
          <w:tcPr>
            <w:tcW w:w="100" w:type="dxa"/>
            <w:vAlign w:val="bottom"/>
          </w:tcPr>
          <w:p>
            <w:pPr>
              <w:spacing w:after="0"/>
              <w:rPr>
                <w:sz w:val="19"/>
                <w:szCs w:val="19"/>
                <w:color w:val="auto"/>
              </w:rPr>
            </w:pPr>
          </w:p>
        </w:tc>
        <w:tc>
          <w:tcPr>
            <w:tcW w:w="2520" w:type="dxa"/>
            <w:vAlign w:val="bottom"/>
            <w:tcBorders>
              <w:bottom w:val="single" w:sz="8" w:color="auto"/>
            </w:tcBorders>
          </w:tcPr>
          <w:p>
            <w:pPr>
              <w:spacing w:after="0"/>
              <w:rPr>
                <w:sz w:val="19"/>
                <w:szCs w:val="19"/>
                <w:color w:val="auto"/>
              </w:rPr>
            </w:pPr>
          </w:p>
        </w:tc>
        <w:tc>
          <w:tcPr>
            <w:tcW w:w="1820" w:type="dxa"/>
            <w:vAlign w:val="bottom"/>
            <w:tcBorders>
              <w:bottom w:val="single" w:sz="8" w:color="auto"/>
            </w:tcBorders>
          </w:tcPr>
          <w:p>
            <w:pPr>
              <w:spacing w:after="0"/>
              <w:rPr>
                <w:sz w:val="19"/>
                <w:szCs w:val="19"/>
                <w:color w:val="auto"/>
              </w:rPr>
            </w:pPr>
          </w:p>
        </w:tc>
        <w:tc>
          <w:tcPr>
            <w:tcW w:w="3000" w:type="dxa"/>
            <w:vAlign w:val="bottom"/>
            <w:vMerge w:val="restart"/>
          </w:tcPr>
          <w:p>
            <w:pPr>
              <w:ind w:left="600"/>
              <w:spacing w:after="0"/>
              <w:rPr>
                <w:sz w:val="20"/>
                <w:szCs w:val="20"/>
                <w:color w:val="auto"/>
              </w:rPr>
            </w:pPr>
            <w:r>
              <w:rPr>
                <w:rFonts w:ascii="Times New Roman" w:cs="Times New Roman" w:eastAsia="Times New Roman" w:hAnsi="Times New Roman"/>
                <w:sz w:val="22"/>
                <w:szCs w:val="22"/>
                <w:b w:val="1"/>
                <w:bCs w:val="1"/>
                <w:color w:val="auto"/>
              </w:rPr>
              <w:t>License Requirements</w:t>
            </w:r>
          </w:p>
        </w:tc>
        <w:tc>
          <w:tcPr>
            <w:tcW w:w="19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43"/>
        </w:trPr>
        <w:tc>
          <w:tcPr>
            <w:tcW w:w="100" w:type="dxa"/>
            <w:vAlign w:val="bottom"/>
            <w:tcBorders>
              <w:right w:val="single" w:sz="8" w:color="auto"/>
            </w:tcBorders>
          </w:tcPr>
          <w:p>
            <w:pPr>
              <w:spacing w:after="0"/>
              <w:rPr>
                <w:sz w:val="21"/>
                <w:szCs w:val="21"/>
                <w:color w:val="auto"/>
              </w:rPr>
            </w:pPr>
          </w:p>
        </w:tc>
        <w:tc>
          <w:tcPr>
            <w:tcW w:w="252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2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AT Column 1</w:t>
            </w:r>
          </w:p>
        </w:tc>
        <w:tc>
          <w:tcPr>
            <w:tcW w:w="3000" w:type="dxa"/>
            <w:vAlign w:val="bottom"/>
            <w:vMerge w:val="continue"/>
          </w:tcPr>
          <w:p>
            <w:pPr>
              <w:spacing w:after="0"/>
              <w:rPr>
                <w:sz w:val="21"/>
                <w:szCs w:val="21"/>
                <w:color w:val="auto"/>
              </w:rPr>
            </w:pPr>
          </w:p>
        </w:tc>
        <w:tc>
          <w:tcPr>
            <w:tcW w:w="1920" w:type="dxa"/>
            <w:vAlign w:val="bottom"/>
          </w:tcPr>
          <w:p>
            <w:pPr>
              <w:spacing w:after="0"/>
              <w:rPr>
                <w:sz w:val="21"/>
                <w:szCs w:val="21"/>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2240" w:h="15840" w:orient="portrait"/>
          <w:cols w:equalWidth="0" w:num="1">
            <w:col w:w="9480"/>
          </w:cols>
          <w:pgMar w:left="1440" w:top="1062" w:right="1320" w:bottom="892" w:gutter="0" w:footer="0" w:header="0"/>
        </w:sectPr>
      </w:pPr>
    </w:p>
    <w:p>
      <w:pPr>
        <w:spacing w:after="0" w:line="34" w:lineRule="exact"/>
        <w:rPr>
          <w:sz w:val="20"/>
          <w:szCs w:val="20"/>
          <w:color w:val="auto"/>
        </w:rPr>
      </w:pPr>
    </w:p>
    <w:p>
      <w:pPr>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$3000</w:t>
      </w:r>
    </w:p>
    <w:p>
      <w:pPr>
        <w:spacing w:after="0" w:line="3" w:lineRule="exact"/>
        <w:rPr>
          <w:sz w:val="20"/>
          <w:szCs w:val="20"/>
          <w:color w:val="auto"/>
        </w:rPr>
      </w:pPr>
    </w:p>
    <w:p>
      <w:pPr>
        <w:jc w:val="both"/>
        <w:ind w:left="720" w:hanging="575"/>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Yes for 3C002.a provided that they are</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not also controlled by 3C002.b through .e.</w:t>
      </w:r>
    </w:p>
    <w:p>
      <w:pPr>
        <w:spacing w:after="0" w:line="1" w:lineRule="exact"/>
        <w:rPr>
          <w:sz w:val="20"/>
          <w:szCs w:val="20"/>
          <w:color w:val="auto"/>
        </w:rPr>
      </w:pPr>
    </w:p>
    <w:p>
      <w:pPr>
        <w:jc w:val="both"/>
        <w:ind w:left="720" w:hanging="579"/>
        <w:spacing w:after="0" w:line="255" w:lineRule="auto"/>
        <w:tabs>
          <w:tab w:leader="none" w:pos="70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Yes for 3C002.a provided that they are not also controlled by 3C002.b through .e.</w:t>
      </w:r>
    </w:p>
    <w:p>
      <w:pPr>
        <w:spacing w:after="0" w:line="20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20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3"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1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a. Resists designed for semiconductor lithography as follows:</w:t>
      </w:r>
    </w:p>
    <w:p>
      <w:pPr>
        <w:spacing w:after="0" w:line="187"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a.1. Positive resists adjusted (optimized) for use at wavelengths less than 193 nm but equal to or greater than 15 nm;</w:t>
      </w:r>
    </w:p>
    <w:p>
      <w:pPr>
        <w:spacing w:after="0" w:line="206" w:lineRule="exact"/>
        <w:rPr>
          <w:sz w:val="20"/>
          <w:szCs w:val="20"/>
          <w:color w:val="auto"/>
        </w:rPr>
      </w:pPr>
    </w:p>
    <w:p>
      <w:pPr>
        <w:jc w:val="both"/>
        <w:ind w:firstLine="144"/>
        <w:spacing w:after="0" w:line="255" w:lineRule="auto"/>
        <w:rPr>
          <w:sz w:val="20"/>
          <w:szCs w:val="20"/>
          <w:color w:val="auto"/>
        </w:rPr>
      </w:pPr>
      <w:r>
        <w:rPr>
          <w:rFonts w:ascii="Times New Roman" w:cs="Times New Roman" w:eastAsia="Times New Roman" w:hAnsi="Times New Roman"/>
          <w:sz w:val="22"/>
          <w:szCs w:val="22"/>
          <w:color w:val="auto"/>
        </w:rPr>
        <w:t>a.2. Resists adjusted (optimized) for use at wavelengths less than 15 nm but greater than 1 nm;</w:t>
      </w:r>
    </w:p>
    <w:p>
      <w:pPr>
        <w:spacing w:after="0" w:line="205"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b. All resists designed for use with electron beams or ion beams, with a sensitivity of 0.01 coulomb/mm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xml:space="preserve"> or better;</w:t>
      </w:r>
    </w:p>
    <w:p>
      <w:pPr>
        <w:spacing w:after="0" w:line="94" w:lineRule="exact"/>
        <w:rPr>
          <w:sz w:val="20"/>
          <w:szCs w:val="20"/>
          <w:color w:val="auto"/>
        </w:rPr>
      </w:pPr>
    </w:p>
    <w:p>
      <w:pPr>
        <w:ind w:left="200" w:hanging="200"/>
        <w:spacing w:after="0"/>
        <w:tabs>
          <w:tab w:leader="none" w:pos="200" w:val="left"/>
        </w:tabs>
        <w:numPr>
          <w:ilvl w:val="0"/>
          <w:numId w:val="7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3" w:lineRule="exact"/>
        <w:rPr>
          <w:rFonts w:ascii="Times New Roman" w:cs="Times New Roman" w:eastAsia="Times New Roman" w:hAnsi="Times New Roman"/>
          <w:sz w:val="22"/>
          <w:szCs w:val="22"/>
          <w:color w:val="auto"/>
        </w:rPr>
      </w:pPr>
    </w:p>
    <w:p>
      <w:pPr>
        <w:spacing w:after="0" w:line="270" w:lineRule="auto"/>
        <w:tabs>
          <w:tab w:leader="none" w:pos="304" w:val="left"/>
        </w:tabs>
        <w:numPr>
          <w:ilvl w:val="0"/>
          <w:numId w:val="7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All resists optimized for surface imaging technologies;</w:t>
      </w:r>
    </w:p>
    <w:p>
      <w:pPr>
        <w:spacing w:after="0" w:line="189" w:lineRule="exact"/>
        <w:rPr>
          <w:rFonts w:ascii="Times New Roman" w:cs="Times New Roman" w:eastAsia="Times New Roman" w:hAnsi="Times New Roman"/>
          <w:sz w:val="22"/>
          <w:szCs w:val="22"/>
          <w:color w:val="auto"/>
        </w:rPr>
      </w:pPr>
    </w:p>
    <w:p>
      <w:pPr>
        <w:jc w:val="both"/>
        <w:spacing w:after="0" w:line="250" w:lineRule="auto"/>
        <w:tabs>
          <w:tab w:leader="none" w:pos="288" w:val="left"/>
        </w:tabs>
        <w:numPr>
          <w:ilvl w:val="0"/>
          <w:numId w:val="7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All resists designed or optimized for use with imprint lithography equipment specified by 3B001.f.2 that use either a thermal or photo-curable process.</w:t>
      </w:r>
    </w:p>
    <w:p>
      <w:pPr>
        <w:spacing w:after="0" w:line="200" w:lineRule="exact"/>
        <w:rPr>
          <w:sz w:val="20"/>
          <w:szCs w:val="20"/>
          <w:color w:val="auto"/>
        </w:rPr>
      </w:pPr>
    </w:p>
    <w:p>
      <w:pPr>
        <w:spacing w:after="0" w:line="261" w:lineRule="exact"/>
        <w:rPr>
          <w:sz w:val="20"/>
          <w:szCs w:val="20"/>
          <w:color w:val="auto"/>
        </w:rPr>
      </w:pPr>
    </w:p>
    <w:p>
      <w:pPr>
        <w:spacing w:after="0" w:line="274" w:lineRule="auto"/>
        <w:rPr>
          <w:sz w:val="20"/>
          <w:szCs w:val="20"/>
          <w:color w:val="auto"/>
        </w:rPr>
      </w:pPr>
      <w:r>
        <w:rPr>
          <w:rFonts w:ascii="Times New Roman" w:cs="Times New Roman" w:eastAsia="Times New Roman" w:hAnsi="Times New Roman"/>
          <w:sz w:val="22"/>
          <w:szCs w:val="22"/>
          <w:b w:val="1"/>
          <w:bCs w:val="1"/>
          <w:color w:val="auto"/>
        </w:rPr>
        <w:t>3C003 Organo-inorganic compounds as follows (see List of Items Controlled).</w:t>
      </w:r>
    </w:p>
    <w:p>
      <w:pPr>
        <w:spacing w:after="0" w:line="20" w:lineRule="exact"/>
        <w:rPr>
          <w:sz w:val="20"/>
          <w:szCs w:val="20"/>
          <w:color w:val="auto"/>
        </w:rPr>
      </w:pPr>
      <w:r>
        <w:rPr>
          <w:sz w:val="20"/>
          <w:szCs w:val="20"/>
          <w:color w:val="auto"/>
        </w:rPr>
        <w:br w:type="column"/>
      </w: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48" w:lineRule="exact"/>
        <w:rPr>
          <w:sz w:val="20"/>
          <w:szCs w:val="20"/>
          <w:color w:val="auto"/>
        </w:rPr>
      </w:pPr>
    </w:p>
    <w:tbl>
      <w:tblPr>
        <w:tblLayout w:type="fixed"/>
        <w:tblInd w:w="9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82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NS applies to entire entry</w:t>
            </w:r>
          </w:p>
        </w:tc>
        <w:tc>
          <w:tcPr>
            <w:tcW w:w="182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44"/>
        </w:trPr>
        <w:tc>
          <w:tcPr>
            <w:tcW w:w="254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1820" w:type="dxa"/>
            <w:vAlign w:val="bottom"/>
            <w:tcBorders>
              <w:bottom w:val="single" w:sz="8" w:color="auto"/>
              <w:right w:val="single" w:sz="8" w:color="auto"/>
            </w:tcBorders>
          </w:tcPr>
          <w:p>
            <w:pPr>
              <w:ind w:left="10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2" w:lineRule="exact"/>
        <w:rPr>
          <w:sz w:val="20"/>
          <w:szCs w:val="20"/>
          <w:color w:val="auto"/>
        </w:rPr>
      </w:pPr>
    </w:p>
    <w:p>
      <w:pPr>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$3000</w:t>
      </w:r>
    </w:p>
    <w:p>
      <w:pPr>
        <w:spacing w:after="0" w:line="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both"/>
        <w:ind w:left="180" w:right="120"/>
        <w:spacing w:after="0" w:line="251"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This entry controls only</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compounds whose metallic, partly metallic or non-metallic element is directly linked to carbon in the organic part of the molecule.</w:t>
      </w:r>
    </w:p>
    <w:p>
      <w:pPr>
        <w:spacing w:after="0" w:line="206"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i w:val="1"/>
          <w:iCs w:val="1"/>
          <w:color w:val="auto"/>
        </w:rPr>
        <w:t>Related Definition</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jc w:val="both"/>
        <w:ind w:right="120"/>
        <w:spacing w:after="0" w:line="255" w:lineRule="auto"/>
        <w:tabs>
          <w:tab w:leader="none" w:pos="386" w:val="left"/>
        </w:tabs>
        <w:numPr>
          <w:ilvl w:val="0"/>
          <w:numId w:val="7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Organo-metallic compounds of aluminum, gallium or indium, having a purity (metal basis) better than 99.999%;</w:t>
      </w:r>
    </w:p>
    <w:p>
      <w:pPr>
        <w:spacing w:after="0" w:line="205" w:lineRule="exact"/>
        <w:rPr>
          <w:rFonts w:ascii="Times New Roman" w:cs="Times New Roman" w:eastAsia="Times New Roman" w:hAnsi="Times New Roman"/>
          <w:sz w:val="22"/>
          <w:szCs w:val="22"/>
          <w:color w:val="auto"/>
        </w:rPr>
      </w:pPr>
    </w:p>
    <w:p>
      <w:pPr>
        <w:jc w:val="both"/>
        <w:ind w:right="120"/>
        <w:spacing w:after="0" w:line="255" w:lineRule="auto"/>
        <w:tabs>
          <w:tab w:leader="none" w:pos="222" w:val="left"/>
        </w:tabs>
        <w:numPr>
          <w:ilvl w:val="0"/>
          <w:numId w:val="7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Organo-arsenic, organo-antimony and organo-phosphorus compounds, having a purity (inorganic element basis) better than 99.999%.</w:t>
      </w:r>
    </w:p>
    <w:p>
      <w:pPr>
        <w:spacing w:after="0" w:line="200" w:lineRule="exact"/>
        <w:rPr>
          <w:sz w:val="20"/>
          <w:szCs w:val="20"/>
          <w:color w:val="auto"/>
        </w:rPr>
      </w:pPr>
    </w:p>
    <w:p>
      <w:pPr>
        <w:spacing w:after="0" w:line="257" w:lineRule="exact"/>
        <w:rPr>
          <w:sz w:val="20"/>
          <w:szCs w:val="20"/>
          <w:color w:val="auto"/>
        </w:rPr>
      </w:pPr>
    </w:p>
    <w:p>
      <w:pPr>
        <w:jc w:val="both"/>
        <w:ind w:right="120"/>
        <w:spacing w:after="0" w:line="251" w:lineRule="auto"/>
        <w:rPr>
          <w:sz w:val="20"/>
          <w:szCs w:val="20"/>
          <w:color w:val="auto"/>
        </w:rPr>
      </w:pPr>
      <w:r>
        <w:rPr>
          <w:rFonts w:ascii="Times New Roman" w:cs="Times New Roman" w:eastAsia="Times New Roman" w:hAnsi="Times New Roman"/>
          <w:sz w:val="22"/>
          <w:szCs w:val="22"/>
          <w:b w:val="1"/>
          <w:bCs w:val="1"/>
          <w:color w:val="auto"/>
        </w:rPr>
        <w:t>3C004 Hydrides of phosphorus, arsenic or antimony, having a purity better than 99.999%, even diluted in inert gases or hydrogen.</w:t>
      </w:r>
    </w:p>
    <w:p>
      <w:pPr>
        <w:spacing w:after="0" w:line="20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64" w:lineRule="exact"/>
        <w:rPr>
          <w:sz w:val="20"/>
          <w:szCs w:val="20"/>
          <w:color w:val="auto"/>
        </w:rPr>
      </w:pPr>
    </w:p>
    <w:p>
      <w:pPr>
        <w:ind w:left="2880"/>
        <w:spacing w:after="0"/>
        <w:rPr>
          <w:sz w:val="20"/>
          <w:szCs w:val="20"/>
          <w:color w:val="auto"/>
        </w:rPr>
      </w:pPr>
      <w:r>
        <w:rPr>
          <w:rFonts w:ascii="Times New Roman" w:cs="Times New Roman" w:eastAsia="Times New Roman" w:hAnsi="Times New Roman"/>
          <w:sz w:val="22"/>
          <w:szCs w:val="22"/>
          <w:i w:val="1"/>
          <w:iCs w:val="1"/>
          <w:color w:val="auto"/>
        </w:rPr>
        <w:t>Country Chart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53975</wp:posOffset>
                </wp:positionH>
                <wp:positionV relativeFrom="paragraph">
                  <wp:posOffset>-151765</wp:posOffset>
                </wp:positionV>
                <wp:extent cx="2760345" cy="0"/>
                <wp:wrapNone/>
                <wp:docPr id="37" name="Shape 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60345"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7" o:spid="_x0000_s10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25pt,-11.9499pt" to="221.6pt,-11.949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57150</wp:posOffset>
                </wp:positionH>
                <wp:positionV relativeFrom="paragraph">
                  <wp:posOffset>-154940</wp:posOffset>
                </wp:positionV>
                <wp:extent cx="0" cy="494030"/>
                <wp:wrapNone/>
                <wp:docPr id="38" name="Shape 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9403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8" o:spid="_x0000_s10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pt,-12.1999pt" to="4.5pt,26.7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1657350</wp:posOffset>
                </wp:positionH>
                <wp:positionV relativeFrom="paragraph">
                  <wp:posOffset>-154940</wp:posOffset>
                </wp:positionV>
                <wp:extent cx="0" cy="494030"/>
                <wp:wrapNone/>
                <wp:docPr id="39" name="Shape 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9403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9" o:spid="_x0000_s10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0.5pt,-12.1999pt" to="130.5pt,26.7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2811145</wp:posOffset>
                </wp:positionH>
                <wp:positionV relativeFrom="paragraph">
                  <wp:posOffset>-154940</wp:posOffset>
                </wp:positionV>
                <wp:extent cx="0" cy="494030"/>
                <wp:wrapNone/>
                <wp:docPr id="40" name="Shape 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9403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0" o:spid="_x0000_s10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1.35pt,-12.1999pt" to="221.35pt,26.7pt" o:allowincell="f" strokecolor="#000000" strokeweight="0.4799pt"/>
            </w:pict>
          </mc:Fallback>
        </mc:AlternateContent>
      </w:r>
    </w:p>
    <w:p>
      <w:pPr>
        <w:ind w:left="900"/>
        <w:spacing w:after="0"/>
        <w:tabs>
          <w:tab w:leader="none" w:pos="276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(See Supp. No. 1</w:t>
      </w:r>
    </w:p>
    <w:p>
      <w:pPr>
        <w:ind w:left="3000"/>
        <w:spacing w:after="0"/>
        <w:rPr>
          <w:sz w:val="20"/>
          <w:szCs w:val="20"/>
          <w:color w:val="auto"/>
        </w:rPr>
      </w:pPr>
      <w:r>
        <w:rPr>
          <w:rFonts w:ascii="Times New Roman" w:cs="Times New Roman" w:eastAsia="Times New Roman" w:hAnsi="Times New Roman"/>
          <w:sz w:val="22"/>
          <w:szCs w:val="22"/>
          <w:i w:val="1"/>
          <w:iCs w:val="1"/>
          <w:color w:val="auto"/>
        </w:rPr>
        <w:t>to part 738)</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53975</wp:posOffset>
                </wp:positionH>
                <wp:positionV relativeFrom="paragraph">
                  <wp:posOffset>12065</wp:posOffset>
                </wp:positionV>
                <wp:extent cx="2760345" cy="0"/>
                <wp:wrapNone/>
                <wp:docPr id="41" name="Shape 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603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1" o:spid="_x0000_s10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25pt,0.95pt" to="221.6pt,0.95pt" o:allowincell="f" strokecolor="#000000" strokeweight="0.48pt"/>
            </w:pict>
          </mc:Fallback>
        </mc:AlternateContent>
      </w:r>
    </w:p>
    <w:p>
      <w:pPr>
        <w:spacing w:after="0" w:line="200" w:lineRule="exact"/>
        <w:rPr>
          <w:sz w:val="20"/>
          <w:szCs w:val="20"/>
          <w:color w:val="auto"/>
        </w:rPr>
      </w:pPr>
    </w:p>
    <w:p>
      <w:pPr>
        <w:sectPr>
          <w:pgSz w:w="12240" w:h="15840" w:orient="portrait"/>
          <w:cols w:equalWidth="0" w:num="2">
            <w:col w:w="4320" w:space="720"/>
            <w:col w:w="4440"/>
          </w:cols>
          <w:pgMar w:left="1440" w:top="1062" w:right="1320" w:bottom="892" w:gutter="0" w:footer="0" w:header="0"/>
          <w:type w:val="continuous"/>
        </w:sectPr>
      </w:pPr>
    </w:p>
    <w:p>
      <w:pPr>
        <w:spacing w:after="0" w:line="268"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062" w:right="1320" w:bottom="892" w:gutter="0" w:footer="0" w:header="0"/>
          <w:type w:val="continuous"/>
        </w:sectPr>
      </w:pPr>
    </w:p>
    <w:bookmarkStart w:id="48" w:name="page49"/>
    <w:bookmarkEnd w:id="48"/>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49</w:t>
      </w:r>
    </w:p>
    <w:p>
      <w:pPr>
        <w:sectPr>
          <w:pgSz w:w="12240" w:h="15840" w:orient="portrait"/>
          <w:cols w:equalWidth="0" w:num="1">
            <w:col w:w="9480"/>
          </w:cols>
          <w:pgMar w:left="1440" w:top="1062" w:right="1320" w:bottom="892" w:gutter="0" w:footer="0" w:header="0"/>
        </w:sectPr>
      </w:pPr>
    </w:p>
    <w:p>
      <w:pPr>
        <w:spacing w:after="0" w:line="254" w:lineRule="exact"/>
        <w:rPr>
          <w:sz w:val="20"/>
          <w:szCs w:val="20"/>
          <w:color w:val="auto"/>
        </w:rPr>
      </w:pPr>
    </w:p>
    <w:tbl>
      <w:tblPr>
        <w:tblLayout w:type="fixed"/>
        <w:tblInd w:w="200" w:type="dxa"/>
        <w:tblCellMar>
          <w:top w:w="0" w:type="dxa"/>
          <w:left w:w="0" w:type="dxa"/>
          <w:bottom w:w="0" w:type="dxa"/>
          <w:right w:w="0" w:type="dxa"/>
        </w:tblCellMar>
      </w:tblPr>
      <w:tr>
        <w:trPr>
          <w:trHeight w:val="263"/>
        </w:trPr>
        <w:tc>
          <w:tcPr>
            <w:tcW w:w="2380" w:type="dxa"/>
            <w:vAlign w:val="bottom"/>
          </w:tcPr>
          <w:p>
            <w:pPr>
              <w:spacing w:after="0"/>
              <w:rPr>
                <w:sz w:val="20"/>
                <w:szCs w:val="20"/>
                <w:color w:val="auto"/>
              </w:rPr>
            </w:pPr>
            <w:r>
              <w:rPr>
                <w:rFonts w:ascii="Times New Roman" w:cs="Times New Roman" w:eastAsia="Times New Roman" w:hAnsi="Times New Roman"/>
                <w:sz w:val="22"/>
                <w:szCs w:val="22"/>
                <w:color w:val="auto"/>
              </w:rPr>
              <w:t>NS applies to entire entry</w:t>
            </w:r>
          </w:p>
        </w:tc>
        <w:tc>
          <w:tcPr>
            <w:tcW w:w="1360" w:type="dxa"/>
            <w:vAlign w:val="bottom"/>
          </w:tcPr>
          <w:p>
            <w:pPr>
              <w:ind w:left="140"/>
              <w:spacing w:after="0"/>
              <w:rPr>
                <w:sz w:val="20"/>
                <w:szCs w:val="20"/>
                <w:color w:val="auto"/>
              </w:rPr>
            </w:pPr>
            <w:r>
              <w:rPr>
                <w:rFonts w:ascii="Times New Roman" w:cs="Times New Roman" w:eastAsia="Times New Roman" w:hAnsi="Times New Roman"/>
                <w:sz w:val="22"/>
                <w:szCs w:val="22"/>
                <w:color w:val="auto"/>
                <w:w w:val="99"/>
              </w:rPr>
              <w:t>NS Column 2</w:t>
            </w:r>
          </w:p>
        </w:tc>
      </w:tr>
      <w:tr>
        <w:trPr>
          <w:trHeight w:val="286"/>
        </w:trPr>
        <w:tc>
          <w:tcPr>
            <w:tcW w:w="2380" w:type="dxa"/>
            <w:vAlign w:val="bottom"/>
          </w:tcPr>
          <w:p>
            <w:pPr>
              <w:spacing w:after="0"/>
              <w:rPr>
                <w:sz w:val="20"/>
                <w:szCs w:val="20"/>
                <w:color w:val="auto"/>
              </w:rPr>
            </w:pPr>
            <w:r>
              <w:rPr>
                <w:rFonts w:ascii="Times New Roman" w:cs="Times New Roman" w:eastAsia="Times New Roman" w:hAnsi="Times New Roman"/>
                <w:sz w:val="22"/>
                <w:szCs w:val="22"/>
                <w:color w:val="auto"/>
              </w:rPr>
              <w:t>AT applies to entire entry</w:t>
            </w:r>
          </w:p>
        </w:tc>
        <w:tc>
          <w:tcPr>
            <w:tcW w:w="1360" w:type="dxa"/>
            <w:vAlign w:val="bottom"/>
          </w:tcPr>
          <w:p>
            <w:pPr>
              <w:ind w:left="140"/>
              <w:spacing w:after="0"/>
              <w:rPr>
                <w:sz w:val="20"/>
                <w:szCs w:val="20"/>
                <w:color w:val="auto"/>
              </w:rPr>
            </w:pPr>
            <w:r>
              <w:rPr>
                <w:rFonts w:ascii="Times New Roman" w:cs="Times New Roman" w:eastAsia="Times New Roman" w:hAnsi="Times New Roman"/>
                <w:sz w:val="22"/>
                <w:szCs w:val="22"/>
                <w:color w:val="auto"/>
                <w:w w:val="98"/>
              </w:rPr>
              <w:t>AT Column 1</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53975</wp:posOffset>
                </wp:positionH>
                <wp:positionV relativeFrom="paragraph">
                  <wp:posOffset>-340995</wp:posOffset>
                </wp:positionV>
                <wp:extent cx="2760345" cy="0"/>
                <wp:wrapNone/>
                <wp:docPr id="42" name="Shape 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60345"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2" o:spid="_x0000_s10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25pt,-26.8499pt" to="221.6pt,-26.849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53975</wp:posOffset>
                </wp:positionH>
                <wp:positionV relativeFrom="paragraph">
                  <wp:posOffset>-173990</wp:posOffset>
                </wp:positionV>
                <wp:extent cx="2760345" cy="0"/>
                <wp:wrapNone/>
                <wp:docPr id="43" name="Shape 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60345"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3" o:spid="_x0000_s10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25pt,-13.6999pt" to="221.6pt,-13.699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57150</wp:posOffset>
                </wp:positionH>
                <wp:positionV relativeFrom="paragraph">
                  <wp:posOffset>-344170</wp:posOffset>
                </wp:positionV>
                <wp:extent cx="0" cy="340995"/>
                <wp:wrapNone/>
                <wp:docPr id="44" name="Shape 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4099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4" o:spid="_x0000_s10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pt,-27.0999pt" to="4.5pt,-0.249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1657350</wp:posOffset>
                </wp:positionH>
                <wp:positionV relativeFrom="paragraph">
                  <wp:posOffset>-344170</wp:posOffset>
                </wp:positionV>
                <wp:extent cx="0" cy="340995"/>
                <wp:wrapNone/>
                <wp:docPr id="45" name="Shape 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4099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5" o:spid="_x0000_s10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0.5pt,-27.0999pt" to="130.5pt,-0.249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2811780</wp:posOffset>
                </wp:positionH>
                <wp:positionV relativeFrom="paragraph">
                  <wp:posOffset>-344170</wp:posOffset>
                </wp:positionV>
                <wp:extent cx="0" cy="340995"/>
                <wp:wrapNone/>
                <wp:docPr id="46" name="Shape 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4099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6" o:spid="_x0000_s10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1.4pt,-27.0999pt" to="221.4pt,-0.249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53975</wp:posOffset>
                </wp:positionH>
                <wp:positionV relativeFrom="paragraph">
                  <wp:posOffset>-6350</wp:posOffset>
                </wp:positionV>
                <wp:extent cx="2760345" cy="0"/>
                <wp:wrapNone/>
                <wp:docPr id="47" name="Shape 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60345"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7" o:spid="_x0000_s10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25pt,-0.4999pt" to="221.6pt,-0.4999pt" o:allowincell="f" strokecolor="#000000" strokeweight="0.4799pt"/>
            </w:pict>
          </mc:Fallback>
        </mc:AlternateContent>
      </w:r>
    </w:p>
    <w:p>
      <w:pPr>
        <w:spacing w:after="0" w:line="206" w:lineRule="exact"/>
        <w:rPr>
          <w:sz w:val="20"/>
          <w:szCs w:val="20"/>
          <w:color w:val="auto"/>
        </w:rPr>
      </w:pPr>
    </w:p>
    <w:p>
      <w:pPr>
        <w:jc w:val="both"/>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$3000</w:t>
      </w:r>
    </w:p>
    <w:p>
      <w:pPr>
        <w:spacing w:after="0" w:line="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3"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i w:val="1"/>
          <w:iCs w:val="1"/>
          <w:color w:val="auto"/>
        </w:rPr>
        <w:t>Related Definition</w:t>
      </w:r>
      <w:r>
        <w:rPr>
          <w:rFonts w:ascii="Times New Roman" w:cs="Times New Roman" w:eastAsia="Times New Roman" w:hAnsi="Times New Roman"/>
          <w:sz w:val="22"/>
          <w:szCs w:val="22"/>
          <w:color w:val="auto"/>
        </w:rPr>
        <w:t>: N/A</w:t>
      </w: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ind w:right="120"/>
        <w:spacing w:after="0" w:line="271"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182" w:lineRule="exact"/>
        <w:rPr>
          <w:sz w:val="20"/>
          <w:szCs w:val="20"/>
          <w:color w:val="auto"/>
        </w:rPr>
      </w:pPr>
    </w:p>
    <w:p>
      <w:pPr>
        <w:jc w:val="both"/>
        <w:ind w:right="120" w:firstLine="144"/>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This entry does not control hydrides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containing 20% molar or more of inert gases or hydrogen.</w:t>
      </w:r>
    </w:p>
    <w:p>
      <w:pPr>
        <w:spacing w:after="0" w:line="200" w:lineRule="exact"/>
        <w:rPr>
          <w:sz w:val="20"/>
          <w:szCs w:val="20"/>
          <w:color w:val="auto"/>
        </w:rPr>
      </w:pPr>
    </w:p>
    <w:p>
      <w:pPr>
        <w:spacing w:after="0" w:line="251" w:lineRule="exact"/>
        <w:rPr>
          <w:sz w:val="20"/>
          <w:szCs w:val="20"/>
          <w:color w:val="auto"/>
        </w:rPr>
      </w:pPr>
    </w:p>
    <w:p>
      <w:pPr>
        <w:jc w:val="both"/>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3C005 High resistivity materials as follows (See List of Items Controlled).</w:t>
      </w:r>
    </w:p>
    <w:p>
      <w:pPr>
        <w:spacing w:after="0" w:line="18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sz w:val="20"/>
          <w:szCs w:val="20"/>
          <w:color w:val="auto"/>
        </w:rPr>
        <w:tab/>
      </w:r>
      <w:r>
        <w:rPr>
          <w:rFonts w:ascii="Times New Roman" w:cs="Times New Roman" w:eastAsia="Times New Roman" w:hAnsi="Times New Roman"/>
          <w:sz w:val="21"/>
          <w:szCs w:val="21"/>
          <w:color w:val="auto"/>
        </w:rPr>
        <w:t>NS, AT</w:t>
      </w:r>
    </w:p>
    <w:p>
      <w:pPr>
        <w:spacing w:after="0" w:line="248" w:lineRule="exact"/>
        <w:rPr>
          <w:sz w:val="20"/>
          <w:szCs w:val="20"/>
          <w:color w:val="auto"/>
        </w:rPr>
      </w:pPr>
    </w:p>
    <w:tbl>
      <w:tblPr>
        <w:tblLayout w:type="fixed"/>
        <w:tblInd w:w="9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82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NS applies to entire entry</w:t>
            </w:r>
          </w:p>
        </w:tc>
        <w:tc>
          <w:tcPr>
            <w:tcW w:w="182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44"/>
        </w:trPr>
        <w:tc>
          <w:tcPr>
            <w:tcW w:w="254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1820" w:type="dxa"/>
            <w:vAlign w:val="bottom"/>
            <w:tcBorders>
              <w:bottom w:val="single" w:sz="8" w:color="auto"/>
              <w:right w:val="single" w:sz="8" w:color="auto"/>
            </w:tcBorders>
          </w:tcPr>
          <w:p>
            <w:pPr>
              <w:ind w:left="10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2" w:lineRule="exact"/>
        <w:rPr>
          <w:sz w:val="20"/>
          <w:szCs w:val="20"/>
          <w:color w:val="auto"/>
        </w:rPr>
      </w:pPr>
    </w:p>
    <w:p>
      <w:pPr>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$3000</w:t>
      </w:r>
    </w:p>
    <w:p>
      <w:pPr>
        <w:spacing w:after="0" w:line="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Yes</w:t>
      </w: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Yes</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180" w:right="120"/>
        <w:spacing w:after="0" w:line="273" w:lineRule="auto"/>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3E001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related development and production</w:t>
      </w:r>
    </w:p>
    <w:p>
      <w:pPr>
        <w:spacing w:after="0" w:line="20" w:lineRule="exact"/>
        <w:rPr>
          <w:sz w:val="20"/>
          <w:szCs w:val="20"/>
          <w:color w:val="auto"/>
        </w:rPr>
      </w:pPr>
      <w:r>
        <w:rPr>
          <w:sz w:val="20"/>
          <w:szCs w:val="20"/>
          <w:color w:val="auto"/>
        </w:rPr>
        <w:br w:type="column"/>
      </w:r>
    </w:p>
    <w:p>
      <w:pPr>
        <w:spacing w:after="0" w:line="225" w:lineRule="exact"/>
        <w:rPr>
          <w:sz w:val="20"/>
          <w:szCs w:val="20"/>
          <w:color w:val="auto"/>
        </w:rPr>
      </w:pPr>
    </w:p>
    <w:p>
      <w:pPr>
        <w:ind w:left="180" w:right="120"/>
        <w:spacing w:after="0" w:line="239" w:lineRule="auto"/>
        <w:rPr>
          <w:sz w:val="20"/>
          <w:szCs w:val="20"/>
          <w:color w:val="auto"/>
        </w:rPr>
      </w:pPr>
      <w:r>
        <w:rPr>
          <w:rFonts w:ascii="Times New Roman" w:cs="Times New Roman" w:eastAsia="Times New Roman" w:hAnsi="Times New Roman"/>
          <w:sz w:val="22"/>
          <w:szCs w:val="22"/>
          <w:color w:val="auto"/>
        </w:rPr>
        <w:t xml:space="preserve">technology, and ECCN </w:t>
      </w:r>
      <w:r>
        <w:rPr>
          <w:rFonts w:ascii="Times New Roman" w:cs="Times New Roman" w:eastAsia="Times New Roman" w:hAnsi="Times New Roman"/>
          <w:sz w:val="22"/>
          <w:szCs w:val="22"/>
          <w:u w:val="single" w:color="auto"/>
          <w:color w:val="0000FF"/>
        </w:rPr>
        <w:t>3B991.b.1.b</w:t>
      </w:r>
      <w:r>
        <w:rPr>
          <w:rFonts w:ascii="Times New Roman" w:cs="Times New Roman" w:eastAsia="Times New Roman" w:hAnsi="Times New Roman"/>
          <w:sz w:val="22"/>
          <w:szCs w:val="22"/>
          <w:color w:val="auto"/>
        </w:rPr>
        <w:t xml:space="preserve"> for related production equipment.</w:t>
      </w:r>
    </w:p>
    <w:p>
      <w:pPr>
        <w:spacing w:after="0" w:line="1"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Related Definition: </w:t>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52" w:lineRule="exact"/>
        <w:rPr>
          <w:sz w:val="20"/>
          <w:szCs w:val="20"/>
          <w:color w:val="auto"/>
        </w:rPr>
      </w:pPr>
    </w:p>
    <w:p>
      <w:pPr>
        <w:jc w:val="both"/>
        <w:ind w:right="120"/>
        <w:spacing w:after="0" w:line="246" w:lineRule="auto"/>
        <w:tabs>
          <w:tab w:leader="none" w:pos="288" w:val="left"/>
        </w:tabs>
        <w:numPr>
          <w:ilvl w:val="0"/>
          <w:numId w:val="7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Silicon carbide (SiC), gallium nitride (GaN), aluminum nitride (AlN) or aluminum gallium nitride (AlGaN) semiconductor “substrates”, or ingots, boules, or other preforms of those materials, having resistivities greater than 10,000 ohm-cm at 20°C;</w:t>
      </w:r>
    </w:p>
    <w:p>
      <w:pPr>
        <w:spacing w:after="0" w:line="214" w:lineRule="exact"/>
        <w:rPr>
          <w:sz w:val="20"/>
          <w:szCs w:val="20"/>
          <w:color w:val="auto"/>
        </w:rPr>
      </w:pPr>
    </w:p>
    <w:p>
      <w:pPr>
        <w:spacing w:after="0"/>
        <w:tabs>
          <w:tab w:leader="none" w:pos="2320" w:val="left"/>
          <w:tab w:leader="none" w:pos="4120" w:val="left"/>
        </w:tabs>
        <w:rPr>
          <w:sz w:val="20"/>
          <w:szCs w:val="20"/>
          <w:color w:val="auto"/>
        </w:rPr>
      </w:pPr>
      <w:r>
        <w:rPr>
          <w:rFonts w:ascii="Times New Roman" w:cs="Times New Roman" w:eastAsia="Times New Roman" w:hAnsi="Times New Roman"/>
          <w:sz w:val="22"/>
          <w:szCs w:val="22"/>
          <w:color w:val="auto"/>
        </w:rPr>
        <w:t>b. Polycrystalline</w:t>
      </w:r>
      <w:r>
        <w:rPr>
          <w:sz w:val="20"/>
          <w:szCs w:val="20"/>
          <w:color w:val="auto"/>
        </w:rPr>
        <w:tab/>
      </w:r>
      <w:r>
        <w:rPr>
          <w:rFonts w:ascii="Times New Roman" w:cs="Times New Roman" w:eastAsia="Times New Roman" w:hAnsi="Times New Roman"/>
          <w:sz w:val="22"/>
          <w:szCs w:val="22"/>
          <w:color w:val="auto"/>
        </w:rPr>
        <w:t>“substrates”</w:t>
      </w:r>
      <w:r>
        <w:rPr>
          <w:sz w:val="20"/>
          <w:szCs w:val="20"/>
          <w:color w:val="auto"/>
        </w:rPr>
        <w:tab/>
      </w:r>
      <w:r>
        <w:rPr>
          <w:rFonts w:ascii="Times New Roman" w:cs="Times New Roman" w:eastAsia="Times New Roman" w:hAnsi="Times New Roman"/>
          <w:sz w:val="21"/>
          <w:szCs w:val="21"/>
          <w:color w:val="auto"/>
        </w:rPr>
        <w:t>or</w:t>
      </w:r>
    </w:p>
    <w:p>
      <w:pPr>
        <w:jc w:val="both"/>
        <w:ind w:right="120"/>
        <w:spacing w:after="0" w:line="245" w:lineRule="auto"/>
        <w:rPr>
          <w:sz w:val="20"/>
          <w:szCs w:val="20"/>
          <w:color w:val="auto"/>
        </w:rPr>
      </w:pPr>
      <w:r>
        <w:rPr>
          <w:rFonts w:ascii="Times New Roman" w:cs="Times New Roman" w:eastAsia="Times New Roman" w:hAnsi="Times New Roman"/>
          <w:sz w:val="22"/>
          <w:szCs w:val="22"/>
          <w:color w:val="auto"/>
        </w:rPr>
        <w:t>polycrystalline ceramic “substrates”, having resistivities greater than 10,000 ohm-cm at 20°C and having at least one non- epitaxial single-crystal layer of silicon (Si), silicon carbide (SiC), gallium nitride (GaN), aluminum nitride (AlN), or aluminum gallium nitride (AlGaN) on the surface of the “substrate”.</w:t>
      </w:r>
    </w:p>
    <w:p>
      <w:pPr>
        <w:spacing w:after="0" w:line="200" w:lineRule="exact"/>
        <w:rPr>
          <w:sz w:val="20"/>
          <w:szCs w:val="20"/>
          <w:color w:val="auto"/>
        </w:rPr>
      </w:pPr>
    </w:p>
    <w:p>
      <w:pPr>
        <w:spacing w:after="0" w:line="267" w:lineRule="exact"/>
        <w:rPr>
          <w:sz w:val="20"/>
          <w:szCs w:val="20"/>
          <w:color w:val="auto"/>
        </w:rPr>
      </w:pPr>
    </w:p>
    <w:p>
      <w:pPr>
        <w:jc w:val="both"/>
        <w:ind w:right="120"/>
        <w:spacing w:after="0" w:line="248" w:lineRule="auto"/>
        <w:rPr>
          <w:sz w:val="20"/>
          <w:szCs w:val="20"/>
          <w:color w:val="auto"/>
        </w:rPr>
      </w:pPr>
      <w:r>
        <w:rPr>
          <w:rFonts w:ascii="Times New Roman" w:cs="Times New Roman" w:eastAsia="Times New Roman" w:hAnsi="Times New Roman"/>
          <w:sz w:val="22"/>
          <w:szCs w:val="22"/>
          <w:b w:val="1"/>
          <w:bCs w:val="1"/>
          <w:color w:val="auto"/>
        </w:rPr>
        <w:t>3C006 Materials, not specified by 3C001, consisting of a “substrate” specified by 3C005 with at least one epitaxial layer of silicon carbide, gallium nitride, aluminum nitride or aluminum gallium nitride.</w:t>
      </w:r>
    </w:p>
    <w:p>
      <w:pPr>
        <w:spacing w:after="0" w:line="21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sz w:val="20"/>
          <w:szCs w:val="20"/>
          <w:color w:val="auto"/>
        </w:rPr>
        <w:tab/>
      </w:r>
      <w:r>
        <w:rPr>
          <w:rFonts w:ascii="Times New Roman" w:cs="Times New Roman" w:eastAsia="Times New Roman" w:hAnsi="Times New Roman"/>
          <w:sz w:val="21"/>
          <w:szCs w:val="21"/>
          <w:color w:val="auto"/>
        </w:rPr>
        <w:t>NS, AT</w:t>
      </w:r>
    </w:p>
    <w:p>
      <w:pPr>
        <w:spacing w:after="0" w:line="248" w:lineRule="exact"/>
        <w:rPr>
          <w:sz w:val="20"/>
          <w:szCs w:val="20"/>
          <w:color w:val="auto"/>
        </w:rPr>
      </w:pPr>
    </w:p>
    <w:tbl>
      <w:tblPr>
        <w:tblLayout w:type="fixed"/>
        <w:tblInd w:w="9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82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NS applies to entire entry</w:t>
            </w:r>
          </w:p>
        </w:tc>
        <w:tc>
          <w:tcPr>
            <w:tcW w:w="182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44"/>
        </w:trPr>
        <w:tc>
          <w:tcPr>
            <w:tcW w:w="254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1820" w:type="dxa"/>
            <w:vAlign w:val="bottom"/>
            <w:tcBorders>
              <w:bottom w:val="single" w:sz="8" w:color="auto"/>
              <w:right w:val="single" w:sz="8" w:color="auto"/>
            </w:tcBorders>
          </w:tcPr>
          <w:p>
            <w:pPr>
              <w:ind w:left="10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2" w:lineRule="exact"/>
        <w:rPr>
          <w:sz w:val="20"/>
          <w:szCs w:val="20"/>
          <w:color w:val="auto"/>
        </w:rPr>
      </w:pPr>
    </w:p>
    <w:p>
      <w:pPr>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$3000</w:t>
      </w:r>
    </w:p>
    <w:p>
      <w:pPr>
        <w:spacing w:after="0" w:line="3"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Yes</w:t>
      </w: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Yes</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180"/>
        <w:spacing w:after="0"/>
        <w:tabs>
          <w:tab w:leader="none" w:pos="1000" w:val="left"/>
          <w:tab w:leader="none" w:pos="2020" w:val="left"/>
          <w:tab w:leader="none" w:pos="2520" w:val="left"/>
          <w:tab w:leader="none" w:pos="3280" w:val="left"/>
          <w:tab w:leader="none" w:pos="4040" w:val="left"/>
        </w:tabs>
        <w:rPr>
          <w:sz w:val="20"/>
          <w:szCs w:val="20"/>
          <w:color w:val="auto"/>
        </w:rPr>
      </w:pPr>
      <w:r>
        <w:rPr>
          <w:rFonts w:ascii="Times New Roman" w:cs="Times New Roman" w:eastAsia="Times New Roman" w:hAnsi="Times New Roman"/>
          <w:sz w:val="22"/>
          <w:szCs w:val="22"/>
          <w:i w:val="1"/>
          <w:iCs w:val="1"/>
          <w:color w:val="auto"/>
        </w:rPr>
        <w:t>Related</w:t>
        <w:tab/>
        <w:t>Controls:</w:t>
      </w:r>
      <w:r>
        <w:rPr>
          <w:sz w:val="20"/>
          <w:szCs w:val="20"/>
          <w:color w:val="auto"/>
        </w:rPr>
        <w:tab/>
      </w:r>
      <w:r>
        <w:rPr>
          <w:rFonts w:ascii="Times New Roman" w:cs="Times New Roman" w:eastAsia="Times New Roman" w:hAnsi="Times New Roman"/>
          <w:sz w:val="22"/>
          <w:szCs w:val="22"/>
          <w:color w:val="auto"/>
        </w:rPr>
        <w:t>See</w:t>
        <w:tab/>
        <w:t>ECCN</w:t>
      </w:r>
      <w:r>
        <w:rPr>
          <w:sz w:val="20"/>
          <w:szCs w:val="20"/>
          <w:color w:val="auto"/>
        </w:rPr>
        <w:tab/>
      </w:r>
      <w:r>
        <w:rPr>
          <w:rFonts w:ascii="Times New Roman" w:cs="Times New Roman" w:eastAsia="Times New Roman" w:hAnsi="Times New Roman"/>
          <w:sz w:val="22"/>
          <w:szCs w:val="22"/>
          <w:u w:val="single" w:color="auto"/>
          <w:color w:val="0000FF"/>
        </w:rPr>
        <w:t>3D001</w:t>
      </w:r>
      <w:r>
        <w:rPr>
          <w:sz w:val="20"/>
          <w:szCs w:val="20"/>
          <w:color w:val="auto"/>
        </w:rPr>
        <w:tab/>
      </w:r>
      <w:r>
        <w:rPr>
          <w:rFonts w:ascii="Times New Roman" w:cs="Times New Roman" w:eastAsia="Times New Roman" w:hAnsi="Times New Roman"/>
          <w:sz w:val="22"/>
          <w:szCs w:val="22"/>
          <w:color w:val="auto"/>
        </w:rPr>
        <w:t>for</w:t>
      </w:r>
    </w:p>
    <w:p>
      <w:pPr>
        <w:spacing w:after="0" w:line="300" w:lineRule="exact"/>
        <w:rPr>
          <w:sz w:val="20"/>
          <w:szCs w:val="20"/>
          <w:color w:val="auto"/>
        </w:rPr>
      </w:pPr>
    </w:p>
    <w:p>
      <w:pPr>
        <w:sectPr>
          <w:pgSz w:w="12240" w:h="15840" w:orient="portrait"/>
          <w:cols w:equalWidth="0" w:num="2">
            <w:col w:w="4440" w:space="600"/>
            <w:col w:w="4440"/>
          </w:cols>
          <w:pgMar w:left="1440" w:top="1062" w:right="1320" w:bottom="892" w:gutter="0" w:footer="0" w:header="0"/>
          <w:type w:val="continuous"/>
        </w:sectPr>
      </w:pPr>
    </w:p>
    <w:p>
      <w:pPr>
        <w:spacing w:after="0" w:line="183"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062" w:right="1320" w:bottom="892" w:gutter="0" w:footer="0" w:header="0"/>
          <w:type w:val="continuous"/>
        </w:sectPr>
      </w:pPr>
    </w:p>
    <w:bookmarkStart w:id="49" w:name="page50"/>
    <w:bookmarkEnd w:id="49"/>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3—page 50</w:t>
      </w:r>
    </w:p>
    <w:p>
      <w:pPr>
        <w:sectPr>
          <w:pgSz w:w="12240" w:h="15840" w:orient="portrait"/>
          <w:cols w:equalWidth="0" w:num="1">
            <w:col w:w="9460"/>
          </w:cols>
          <w:pgMar w:left="1440" w:top="1062" w:right="1340" w:bottom="892" w:gutter="0" w:footer="0" w:header="0"/>
        </w:sectPr>
      </w:pPr>
    </w:p>
    <w:p>
      <w:pPr>
        <w:spacing w:after="0" w:line="245" w:lineRule="exact"/>
        <w:rPr>
          <w:sz w:val="20"/>
          <w:szCs w:val="20"/>
          <w:color w:val="auto"/>
        </w:rPr>
      </w:pPr>
    </w:p>
    <w:p>
      <w:pPr>
        <w:jc w:val="both"/>
        <w:ind w:left="180" w:right="120"/>
        <w:spacing w:after="0" w:line="239" w:lineRule="auto"/>
        <w:rPr>
          <w:sz w:val="20"/>
          <w:szCs w:val="20"/>
          <w:color w:val="auto"/>
        </w:rPr>
      </w:pPr>
      <w:r>
        <w:rPr>
          <w:rFonts w:ascii="Times New Roman" w:cs="Times New Roman" w:eastAsia="Times New Roman" w:hAnsi="Times New Roman"/>
          <w:sz w:val="22"/>
          <w:szCs w:val="22"/>
          <w:color w:val="auto"/>
        </w:rPr>
        <w:t xml:space="preserve">related “development” or “production” “software”, ECCN </w:t>
      </w:r>
      <w:r>
        <w:rPr>
          <w:rFonts w:ascii="Times New Roman" w:cs="Times New Roman" w:eastAsia="Times New Roman" w:hAnsi="Times New Roman"/>
          <w:sz w:val="22"/>
          <w:szCs w:val="22"/>
          <w:u w:val="single" w:color="auto"/>
          <w:color w:val="0000FF"/>
        </w:rPr>
        <w:t>3E001</w:t>
      </w:r>
      <w:r>
        <w:rPr>
          <w:rFonts w:ascii="Times New Roman" w:cs="Times New Roman" w:eastAsia="Times New Roman" w:hAnsi="Times New Roman"/>
          <w:sz w:val="22"/>
          <w:szCs w:val="22"/>
          <w:color w:val="auto"/>
        </w:rPr>
        <w:t xml:space="preserve"> for related</w:t>
      </w:r>
    </w:p>
    <w:p>
      <w:pPr>
        <w:spacing w:after="0" w:line="1" w:lineRule="exact"/>
        <w:rPr>
          <w:sz w:val="20"/>
          <w:szCs w:val="20"/>
          <w:color w:val="auto"/>
        </w:rPr>
      </w:pPr>
    </w:p>
    <w:p>
      <w:pPr>
        <w:jc w:val="both"/>
        <w:ind w:left="180" w:right="120"/>
        <w:spacing w:after="0" w:line="255" w:lineRule="auto"/>
        <w:rPr>
          <w:sz w:val="20"/>
          <w:szCs w:val="20"/>
          <w:color w:val="auto"/>
        </w:rPr>
      </w:pPr>
      <w:r>
        <w:rPr>
          <w:rFonts w:ascii="Times New Roman" w:cs="Times New Roman" w:eastAsia="Times New Roman" w:hAnsi="Times New Roman"/>
          <w:sz w:val="22"/>
          <w:szCs w:val="22"/>
          <w:color w:val="auto"/>
        </w:rPr>
        <w:t xml:space="preserve">“development” and “production” “technology”, and ECCN </w:t>
      </w:r>
      <w:r>
        <w:rPr>
          <w:rFonts w:ascii="Times New Roman" w:cs="Times New Roman" w:eastAsia="Times New Roman" w:hAnsi="Times New Roman"/>
          <w:sz w:val="22"/>
          <w:szCs w:val="22"/>
          <w:u w:val="single" w:color="auto"/>
          <w:color w:val="0000FF"/>
        </w:rPr>
        <w:t>3B991.b.1.b</w:t>
      </w:r>
      <w:r>
        <w:rPr>
          <w:rFonts w:ascii="Times New Roman" w:cs="Times New Roman" w:eastAsia="Times New Roman" w:hAnsi="Times New Roman"/>
          <w:sz w:val="22"/>
          <w:szCs w:val="22"/>
          <w:color w:val="auto"/>
        </w:rPr>
        <w:t xml:space="preserve"> for related “production” equipment.</w:t>
      </w:r>
    </w:p>
    <w:p>
      <w:pPr>
        <w:spacing w:after="0" w:line="20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Related Definition: </w:t>
      </w:r>
      <w:r>
        <w:rPr>
          <w:rFonts w:ascii="Times New Roman" w:cs="Times New Roman" w:eastAsia="Times New Roman" w:hAnsi="Times New Roman"/>
          <w:sz w:val="22"/>
          <w:szCs w:val="22"/>
          <w:color w:val="auto"/>
        </w:rPr>
        <w:t>N/A</w:t>
      </w:r>
    </w:p>
    <w:p>
      <w:pPr>
        <w:spacing w:after="0" w:line="5"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51" w:lineRule="exact"/>
        <w:rPr>
          <w:sz w:val="20"/>
          <w:szCs w:val="20"/>
          <w:color w:val="auto"/>
        </w:rPr>
      </w:pPr>
    </w:p>
    <w:p>
      <w:pPr>
        <w:jc w:val="both"/>
        <w:ind w:right="120"/>
        <w:spacing w:after="0" w:line="271"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237" w:lineRule="exact"/>
        <w:rPr>
          <w:sz w:val="20"/>
          <w:szCs w:val="20"/>
          <w:color w:val="auto"/>
        </w:rPr>
      </w:pPr>
    </w:p>
    <w:p>
      <w:pPr>
        <w:jc w:val="both"/>
        <w:ind w:right="120"/>
        <w:spacing w:after="0" w:line="251" w:lineRule="auto"/>
        <w:rPr>
          <w:sz w:val="20"/>
          <w:szCs w:val="20"/>
          <w:color w:val="auto"/>
        </w:rPr>
      </w:pPr>
      <w:r>
        <w:rPr>
          <w:rFonts w:ascii="Times New Roman" w:cs="Times New Roman" w:eastAsia="Times New Roman" w:hAnsi="Times New Roman"/>
          <w:sz w:val="22"/>
          <w:szCs w:val="22"/>
          <w:b w:val="1"/>
          <w:bCs w:val="1"/>
          <w:color w:val="auto"/>
        </w:rPr>
        <w:t>3C992 Positive resists designed for semiconductor lithography specially adjusted (optimized) for use at wavelengths between 370 and 193 nm.</w:t>
      </w:r>
    </w:p>
    <w:p>
      <w:pPr>
        <w:spacing w:after="0" w:line="20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AT</w:t>
      </w:r>
    </w:p>
    <w:p>
      <w:pPr>
        <w:spacing w:after="0" w:line="248" w:lineRule="exact"/>
        <w:rPr>
          <w:sz w:val="20"/>
          <w:szCs w:val="20"/>
          <w:color w:val="auto"/>
        </w:rPr>
      </w:pPr>
    </w:p>
    <w:tbl>
      <w:tblPr>
        <w:tblLayout w:type="fixed"/>
        <w:tblInd w:w="90" w:type="dxa"/>
        <w:tblCellMar>
          <w:top w:w="0" w:type="dxa"/>
          <w:left w:w="0" w:type="dxa"/>
          <w:bottom w:w="0" w:type="dxa"/>
          <w:right w:w="0" w:type="dxa"/>
        </w:tblCellMar>
      </w:tblPr>
      <w:tr>
        <w:trPr>
          <w:trHeight w:val="249"/>
        </w:trPr>
        <w:tc>
          <w:tcPr>
            <w:tcW w:w="2640" w:type="dxa"/>
            <w:vAlign w:val="bottom"/>
            <w:tcBorders>
              <w:top w:val="single" w:sz="8" w:color="auto"/>
              <w:left w:val="single" w:sz="8" w:color="auto"/>
              <w:right w:val="single" w:sz="8" w:color="auto"/>
            </w:tcBorders>
          </w:tcPr>
          <w:p>
            <w:pPr>
              <w:spacing w:after="0"/>
              <w:rPr>
                <w:sz w:val="21"/>
                <w:szCs w:val="21"/>
                <w:color w:val="auto"/>
              </w:rPr>
            </w:pPr>
          </w:p>
        </w:tc>
        <w:tc>
          <w:tcPr>
            <w:tcW w:w="172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640" w:type="dxa"/>
            <w:vAlign w:val="bottom"/>
            <w:tcBorders>
              <w:left w:val="single" w:sz="8" w:color="auto"/>
              <w:right w:val="single" w:sz="8" w:color="auto"/>
            </w:tcBorders>
          </w:tcPr>
          <w:p>
            <w:pPr>
              <w:ind w:left="8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7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72"/>
        </w:trPr>
        <w:tc>
          <w:tcPr>
            <w:tcW w:w="2640" w:type="dxa"/>
            <w:vAlign w:val="bottom"/>
            <w:tcBorders>
              <w:left w:val="single" w:sz="8" w:color="auto"/>
              <w:bottom w:val="single" w:sz="8" w:color="auto"/>
              <w:right w:val="single" w:sz="8" w:color="auto"/>
            </w:tcBorders>
          </w:tcPr>
          <w:p>
            <w:pPr>
              <w:spacing w:after="0"/>
              <w:rPr>
                <w:sz w:val="23"/>
                <w:szCs w:val="23"/>
                <w:color w:val="auto"/>
              </w:rPr>
            </w:pPr>
          </w:p>
        </w:tc>
        <w:tc>
          <w:tcPr>
            <w:tcW w:w="17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3"/>
        </w:trPr>
        <w:tc>
          <w:tcPr>
            <w:tcW w:w="264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72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1"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1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1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ind w:right="120"/>
        <w:spacing w:after="0" w:line="271"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239" w:lineRule="exact"/>
        <w:rPr>
          <w:sz w:val="20"/>
          <w:szCs w:val="20"/>
          <w:color w:val="auto"/>
        </w:rPr>
      </w:pPr>
    </w:p>
    <w:p>
      <w:pPr>
        <w:jc w:val="center"/>
        <w:ind w:right="120"/>
        <w:spacing w:after="0"/>
        <w:rPr>
          <w:sz w:val="20"/>
          <w:szCs w:val="20"/>
          <w:color w:val="auto"/>
        </w:rPr>
      </w:pPr>
      <w:r>
        <w:rPr>
          <w:rFonts w:ascii="Times New Roman" w:cs="Times New Roman" w:eastAsia="Times New Roman" w:hAnsi="Times New Roman"/>
          <w:sz w:val="22"/>
          <w:szCs w:val="22"/>
          <w:b w:val="1"/>
          <w:bCs w:val="1"/>
          <w:color w:val="auto"/>
        </w:rPr>
        <w:t>D. “SOFTWARE”</w:t>
      </w:r>
    </w:p>
    <w:p>
      <w:pPr>
        <w:spacing w:after="0" w:line="252" w:lineRule="exact"/>
        <w:rPr>
          <w:sz w:val="20"/>
          <w:szCs w:val="20"/>
          <w:color w:val="auto"/>
        </w:rPr>
      </w:pPr>
    </w:p>
    <w:p>
      <w:pPr>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3D001 “Software” “specially designed” for the “development” or “production” of</w:t>
      </w:r>
    </w:p>
    <w:p>
      <w:pPr>
        <w:spacing w:after="0" w:line="20" w:lineRule="exact"/>
        <w:rPr>
          <w:sz w:val="20"/>
          <w:szCs w:val="20"/>
          <w:color w:val="auto"/>
        </w:rPr>
      </w:pPr>
      <w:r>
        <w:rPr>
          <w:sz w:val="20"/>
          <w:szCs w:val="20"/>
          <w:color w:val="auto"/>
        </w:rPr>
        <w:br w:type="column"/>
      </w:r>
    </w:p>
    <w:p>
      <w:pPr>
        <w:spacing w:after="0" w:line="222" w:lineRule="exact"/>
        <w:rPr>
          <w:sz w:val="20"/>
          <w:szCs w:val="20"/>
          <w:color w:val="auto"/>
        </w:rPr>
      </w:pPr>
    </w:p>
    <w:p>
      <w:pPr>
        <w:ind w:right="100"/>
        <w:spacing w:after="0" w:line="274" w:lineRule="auto"/>
        <w:rPr>
          <w:sz w:val="20"/>
          <w:szCs w:val="20"/>
          <w:color w:val="auto"/>
        </w:rPr>
      </w:pPr>
      <w:r>
        <w:rPr>
          <w:rFonts w:ascii="Times New Roman" w:cs="Times New Roman" w:eastAsia="Times New Roman" w:hAnsi="Times New Roman"/>
          <w:sz w:val="22"/>
          <w:szCs w:val="22"/>
          <w:b w:val="1"/>
          <w:bCs w:val="1"/>
          <w:color w:val="auto"/>
        </w:rPr>
        <w:t>equipment controlled by 3A001.b to 3A002.h or 3B (except 3B991 and 3B992).</w:t>
      </w:r>
    </w:p>
    <w:p>
      <w:pPr>
        <w:spacing w:after="0" w:line="18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140"/>
        <w:spacing w:after="0"/>
        <w:tabs>
          <w:tab w:leader="none" w:pos="20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3080" w:type="dxa"/>
            <w:vAlign w:val="bottom"/>
            <w:tcBorders>
              <w:top w:val="single" w:sz="8" w:color="auto"/>
              <w:left w:val="single" w:sz="8" w:color="auto"/>
              <w:right w:val="single" w:sz="8" w:color="auto"/>
            </w:tcBorders>
          </w:tcPr>
          <w:p>
            <w:pPr>
              <w:spacing w:after="0"/>
              <w:rPr>
                <w:sz w:val="21"/>
                <w:szCs w:val="21"/>
                <w:color w:val="auto"/>
              </w:rPr>
            </w:pPr>
          </w:p>
        </w:tc>
        <w:tc>
          <w:tcPr>
            <w:tcW w:w="1360" w:type="dxa"/>
            <w:vAlign w:val="bottom"/>
            <w:tcBorders>
              <w:top w:val="single" w:sz="8" w:color="auto"/>
              <w:right w:val="single" w:sz="8" w:color="auto"/>
            </w:tcBorders>
          </w:tcPr>
          <w:p>
            <w:pPr>
              <w:ind w:left="20"/>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2"/>
        </w:trPr>
        <w:tc>
          <w:tcPr>
            <w:tcW w:w="3080" w:type="dxa"/>
            <w:vAlign w:val="bottom"/>
            <w:tcBorders>
              <w:left w:val="single" w:sz="8" w:color="auto"/>
              <w:right w:val="single" w:sz="8" w:color="auto"/>
            </w:tcBorders>
          </w:tcPr>
          <w:p>
            <w:pPr>
              <w:ind w:left="108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360" w:type="dxa"/>
            <w:vAlign w:val="bottom"/>
            <w:tcBorders>
              <w:right w:val="single" w:sz="8" w:color="auto"/>
            </w:tcBorders>
          </w:tcPr>
          <w:p>
            <w:pPr>
              <w:ind w:left="20"/>
              <w:spacing w:after="0"/>
              <w:rPr>
                <w:sz w:val="20"/>
                <w:szCs w:val="20"/>
                <w:color w:val="auto"/>
              </w:rPr>
            </w:pPr>
            <w:r>
              <w:rPr>
                <w:rFonts w:ascii="Times New Roman" w:cs="Times New Roman" w:eastAsia="Times New Roman" w:hAnsi="Times New Roman"/>
                <w:sz w:val="22"/>
                <w:szCs w:val="22"/>
                <w:i w:val="1"/>
                <w:iCs w:val="1"/>
                <w:color w:val="auto"/>
              </w:rPr>
              <w:t>(See Supp. No.</w:t>
            </w:r>
          </w:p>
        </w:tc>
      </w:tr>
      <w:tr>
        <w:trPr>
          <w:trHeight w:val="272"/>
        </w:trPr>
        <w:tc>
          <w:tcPr>
            <w:tcW w:w="3080" w:type="dxa"/>
            <w:vAlign w:val="bottom"/>
            <w:tcBorders>
              <w:left w:val="single" w:sz="8" w:color="auto"/>
              <w:bottom w:val="single" w:sz="8" w:color="auto"/>
              <w:right w:val="single" w:sz="8" w:color="auto"/>
            </w:tcBorders>
          </w:tcPr>
          <w:p>
            <w:pPr>
              <w:spacing w:after="0"/>
              <w:rPr>
                <w:sz w:val="23"/>
                <w:szCs w:val="23"/>
                <w:color w:val="auto"/>
              </w:rPr>
            </w:pPr>
          </w:p>
        </w:tc>
        <w:tc>
          <w:tcPr>
            <w:tcW w:w="1360" w:type="dxa"/>
            <w:vAlign w:val="bottom"/>
            <w:tcBorders>
              <w:bottom w:val="single" w:sz="8" w:color="auto"/>
              <w:right w:val="single" w:sz="8" w:color="auto"/>
            </w:tcBorders>
          </w:tcPr>
          <w:p>
            <w:pPr>
              <w:ind w:left="60"/>
              <w:spacing w:after="0"/>
              <w:rPr>
                <w:sz w:val="20"/>
                <w:szCs w:val="20"/>
                <w:color w:val="auto"/>
              </w:rPr>
            </w:pPr>
            <w:r>
              <w:rPr>
                <w:rFonts w:ascii="Times New Roman" w:cs="Times New Roman" w:eastAsia="Times New Roman" w:hAnsi="Times New Roman"/>
                <w:sz w:val="22"/>
                <w:szCs w:val="22"/>
                <w:i w:val="1"/>
                <w:iCs w:val="1"/>
                <w:color w:val="auto"/>
              </w:rPr>
              <w:t>1 to part 738)</w:t>
            </w:r>
          </w:p>
        </w:tc>
      </w:tr>
      <w:tr>
        <w:trPr>
          <w:trHeight w:val="227"/>
        </w:trPr>
        <w:tc>
          <w:tcPr>
            <w:tcW w:w="3080" w:type="dxa"/>
            <w:vAlign w:val="bottom"/>
            <w:tcBorders>
              <w:left w:val="single" w:sz="8" w:color="auto"/>
              <w:right w:val="single" w:sz="8" w:color="auto"/>
            </w:tcBorders>
          </w:tcPr>
          <w:p>
            <w:pPr>
              <w:ind w:left="20"/>
              <w:spacing w:after="0" w:line="227" w:lineRule="exact"/>
              <w:rPr>
                <w:sz w:val="20"/>
                <w:szCs w:val="20"/>
                <w:color w:val="auto"/>
              </w:rPr>
            </w:pPr>
            <w:r>
              <w:rPr>
                <w:rFonts w:ascii="Times New Roman" w:cs="Times New Roman" w:eastAsia="Times New Roman" w:hAnsi="Times New Roman"/>
                <w:sz w:val="22"/>
                <w:szCs w:val="22"/>
                <w:color w:val="auto"/>
              </w:rPr>
              <w:t>NS  applies  to  “software”  for</w:t>
            </w:r>
          </w:p>
        </w:tc>
        <w:tc>
          <w:tcPr>
            <w:tcW w:w="1360" w:type="dxa"/>
            <w:vAlign w:val="bottom"/>
            <w:tcBorders>
              <w:right w:val="single" w:sz="8" w:color="auto"/>
            </w:tcBorders>
          </w:tcPr>
          <w:p>
            <w:pPr>
              <w:spacing w:after="0"/>
              <w:rPr>
                <w:sz w:val="19"/>
                <w:szCs w:val="19"/>
                <w:color w:val="auto"/>
              </w:rPr>
            </w:pPr>
          </w:p>
        </w:tc>
      </w:tr>
      <w:tr>
        <w:trPr>
          <w:trHeight w:val="253"/>
        </w:trPr>
        <w:tc>
          <w:tcPr>
            <w:tcW w:w="3080" w:type="dxa"/>
            <w:vAlign w:val="bottom"/>
            <w:tcBorders>
              <w:left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equipment controlled by 3A001.b</w:t>
            </w:r>
          </w:p>
        </w:tc>
        <w:tc>
          <w:tcPr>
            <w:tcW w:w="136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NS Column 1</w:t>
            </w:r>
          </w:p>
        </w:tc>
      </w:tr>
      <w:tr>
        <w:trPr>
          <w:trHeight w:val="269"/>
        </w:trPr>
        <w:tc>
          <w:tcPr>
            <w:tcW w:w="3080" w:type="dxa"/>
            <w:vAlign w:val="bottom"/>
            <w:tcBorders>
              <w:left w:val="single" w:sz="8" w:color="auto"/>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to 3A001.h, 3A002, and 3B</w:t>
            </w:r>
          </w:p>
        </w:tc>
        <w:tc>
          <w:tcPr>
            <w:tcW w:w="1360" w:type="dxa"/>
            <w:vAlign w:val="bottom"/>
            <w:tcBorders>
              <w:bottom w:val="single" w:sz="8" w:color="auto"/>
              <w:right w:val="single" w:sz="8" w:color="auto"/>
            </w:tcBorders>
          </w:tcPr>
          <w:p>
            <w:pPr>
              <w:spacing w:after="0"/>
              <w:rPr>
                <w:sz w:val="23"/>
                <w:szCs w:val="23"/>
                <w:color w:val="auto"/>
              </w:rPr>
            </w:pPr>
          </w:p>
        </w:tc>
      </w:tr>
      <w:tr>
        <w:trPr>
          <w:trHeight w:val="244"/>
        </w:trPr>
        <w:tc>
          <w:tcPr>
            <w:tcW w:w="3080" w:type="dxa"/>
            <w:vAlign w:val="bottom"/>
            <w:tcBorders>
              <w:left w:val="single" w:sz="8" w:color="auto"/>
              <w:bottom w:val="single" w:sz="8" w:color="auto"/>
              <w:right w:val="single" w:sz="8" w:color="auto"/>
            </w:tcBorders>
          </w:tcPr>
          <w:p>
            <w:pPr>
              <w:ind w:left="20"/>
              <w:spacing w:after="0" w:line="244" w:lineRule="exact"/>
              <w:rPr>
                <w:sz w:val="20"/>
                <w:szCs w:val="20"/>
                <w:color w:val="auto"/>
              </w:rPr>
            </w:pPr>
            <w:r>
              <w:rPr>
                <w:rFonts w:ascii="Times New Roman" w:cs="Times New Roman" w:eastAsia="Times New Roman" w:hAnsi="Times New Roman"/>
                <w:sz w:val="22"/>
                <w:szCs w:val="22"/>
                <w:color w:val="auto"/>
              </w:rPr>
              <w:t>AT applies to entire entry</w:t>
            </w:r>
          </w:p>
        </w:tc>
        <w:tc>
          <w:tcPr>
            <w:tcW w:w="1360" w:type="dxa"/>
            <w:vAlign w:val="bottom"/>
            <w:tcBorders>
              <w:bottom w:val="single" w:sz="8" w:color="auto"/>
              <w:right w:val="single" w:sz="8" w:color="auto"/>
            </w:tcBorders>
          </w:tcPr>
          <w:p>
            <w:pPr>
              <w:spacing w:after="0" w:line="244" w:lineRule="exact"/>
              <w:rPr>
                <w:sz w:val="20"/>
                <w:szCs w:val="20"/>
                <w:color w:val="auto"/>
              </w:rPr>
            </w:pPr>
            <w:r>
              <w:rPr>
                <w:rFonts w:ascii="Times New Roman" w:cs="Times New Roman" w:eastAsia="Times New Roman" w:hAnsi="Times New Roman"/>
                <w:sz w:val="22"/>
                <w:szCs w:val="22"/>
                <w:color w:val="auto"/>
              </w:rPr>
              <w:t>AT Column 1</w:t>
            </w:r>
          </w:p>
        </w:tc>
      </w:tr>
      <w:tr>
        <w:trPr>
          <w:trHeight w:val="513"/>
        </w:trPr>
        <w:tc>
          <w:tcPr>
            <w:tcW w:w="3080" w:type="dxa"/>
            <w:vAlign w:val="bottom"/>
          </w:tcPr>
          <w:p>
            <w:pPr>
              <w:ind w:left="140"/>
              <w:spacing w:after="0"/>
              <w:rPr>
                <w:sz w:val="20"/>
                <w:szCs w:val="20"/>
                <w:color w:val="auto"/>
              </w:rPr>
            </w:pPr>
            <w:r>
              <w:rPr>
                <w:rFonts w:ascii="Times New Roman" w:cs="Times New Roman" w:eastAsia="Times New Roman" w:hAnsi="Times New Roman"/>
                <w:sz w:val="22"/>
                <w:szCs w:val="22"/>
                <w:b w:val="1"/>
                <w:bCs w:val="1"/>
                <w:color w:val="auto"/>
              </w:rPr>
              <w:t>Reporting Requirements</w:t>
            </w:r>
          </w:p>
        </w:tc>
        <w:tc>
          <w:tcPr>
            <w:tcW w:w="1360" w:type="dxa"/>
            <w:vAlign w:val="bottom"/>
          </w:tcPr>
          <w:p>
            <w:pPr>
              <w:spacing w:after="0"/>
              <w:rPr>
                <w:sz w:val="24"/>
                <w:szCs w:val="24"/>
                <w:color w:val="auto"/>
              </w:rPr>
            </w:pPr>
          </w:p>
        </w:tc>
      </w:tr>
    </w:tbl>
    <w:p>
      <w:pPr>
        <w:spacing w:after="0" w:line="242" w:lineRule="exact"/>
        <w:rPr>
          <w:sz w:val="20"/>
          <w:szCs w:val="20"/>
          <w:color w:val="auto"/>
        </w:rPr>
      </w:pPr>
    </w:p>
    <w:p>
      <w:pPr>
        <w:jc w:val="both"/>
        <w:ind w:left="360" w:right="100"/>
        <w:spacing w:after="0"/>
        <w:rPr>
          <w:sz w:val="20"/>
          <w:szCs w:val="20"/>
          <w:color w:val="auto"/>
        </w:rPr>
      </w:pPr>
      <w:r>
        <w:rPr>
          <w:rFonts w:ascii="Times New Roman" w:cs="Times New Roman" w:eastAsia="Times New Roman" w:hAnsi="Times New Roman"/>
          <w:sz w:val="22"/>
          <w:szCs w:val="22"/>
          <w:color w:val="auto"/>
        </w:rPr>
        <w:t>See § 743.1 of the EAR for reporting requirements for exports under License</w:t>
      </w:r>
    </w:p>
    <w:p>
      <w:pPr>
        <w:jc w:val="both"/>
        <w:ind w:left="360" w:right="100"/>
        <w:spacing w:after="0" w:line="255" w:lineRule="auto"/>
        <w:rPr>
          <w:sz w:val="20"/>
          <w:szCs w:val="20"/>
          <w:color w:val="auto"/>
        </w:rPr>
      </w:pPr>
      <w:r>
        <w:rPr>
          <w:rFonts w:ascii="Times New Roman" w:cs="Times New Roman" w:eastAsia="Times New Roman" w:hAnsi="Times New Roman"/>
          <w:sz w:val="22"/>
          <w:szCs w:val="22"/>
          <w:color w:val="auto"/>
        </w:rPr>
        <w:t>Exceptions, Special Comprehensive Licenses, and Validated End-User authorizations.</w:t>
      </w:r>
    </w:p>
    <w:p>
      <w:pPr>
        <w:spacing w:after="0" w:line="201" w:lineRule="exact"/>
        <w:rPr>
          <w:sz w:val="20"/>
          <w:szCs w:val="20"/>
          <w:color w:val="auto"/>
        </w:rPr>
      </w:pPr>
    </w:p>
    <w:p>
      <w:pPr>
        <w:ind w:right="10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2" w:lineRule="exact"/>
        <w:rPr>
          <w:sz w:val="20"/>
          <w:szCs w:val="20"/>
          <w:color w:val="auto"/>
        </w:rPr>
      </w:pPr>
    </w:p>
    <w:p>
      <w:pPr>
        <w:ind w:left="18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2" w:lineRule="exact"/>
        <w:rPr>
          <w:sz w:val="20"/>
          <w:szCs w:val="20"/>
          <w:color w:val="auto"/>
        </w:rPr>
      </w:pPr>
    </w:p>
    <w:p>
      <w:pPr>
        <w:jc w:val="both"/>
        <w:ind w:left="1080" w:right="100" w:hanging="899"/>
        <w:spacing w:after="0" w:line="245" w:lineRule="auto"/>
        <w:tabs>
          <w:tab w:leader="none" w:pos="1060" w:val="left"/>
        </w:tabs>
        <w:rPr>
          <w:sz w:val="20"/>
          <w:szCs w:val="20"/>
          <w:color w:val="auto"/>
        </w:rPr>
      </w:pPr>
      <w:r>
        <w:rPr>
          <w:rFonts w:ascii="Times New Roman" w:cs="Times New Roman" w:eastAsia="Times New Roman" w:hAnsi="Times New Roman"/>
          <w:sz w:val="22"/>
          <w:szCs w:val="22"/>
          <w:i w:val="1"/>
          <w:iCs w:val="1"/>
          <w:color w:val="auto"/>
        </w:rPr>
        <w:t>TSR:</w:t>
      </w:r>
      <w:r>
        <w:rPr>
          <w:sz w:val="20"/>
          <w:szCs w:val="20"/>
          <w:color w:val="auto"/>
        </w:rPr>
        <w:tab/>
      </w:r>
      <w:r>
        <w:rPr>
          <w:rFonts w:ascii="Times New Roman" w:cs="Times New Roman" w:eastAsia="Times New Roman" w:hAnsi="Times New Roman"/>
          <w:sz w:val="22"/>
          <w:szCs w:val="22"/>
          <w:color w:val="auto"/>
        </w:rPr>
        <w:t>Yes, except for “software” “specially designed” for the “development” or “production” of Traveling Wave Tube Amplifiers described in 3A001.b.8 having operating frequencies exceeding 18 GHz.</w:t>
      </w:r>
    </w:p>
    <w:p>
      <w:pPr>
        <w:spacing w:after="0" w:line="21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51" w:lineRule="exact"/>
        <w:rPr>
          <w:sz w:val="20"/>
          <w:szCs w:val="20"/>
          <w:color w:val="auto"/>
        </w:rPr>
      </w:pPr>
    </w:p>
    <w:p>
      <w:pPr>
        <w:jc w:val="both"/>
        <w:ind w:left="1000" w:right="100" w:hanging="719"/>
        <w:spacing w:after="0" w:line="243" w:lineRule="auto"/>
        <w:tabs>
          <w:tab w:leader="none" w:pos="980" w:val="left"/>
        </w:tabs>
        <w:rPr>
          <w:sz w:val="20"/>
          <w:szCs w:val="20"/>
          <w:color w:val="auto"/>
        </w:rPr>
      </w:pPr>
      <w:r>
        <w:rPr>
          <w:rFonts w:ascii="Times New Roman" w:cs="Times New Roman" w:eastAsia="Times New Roman" w:hAnsi="Times New Roman"/>
          <w:sz w:val="22"/>
          <w:szCs w:val="22"/>
          <w:i w:val="1"/>
          <w:iCs w:val="1"/>
          <w:color w:val="auto"/>
        </w:rPr>
        <w:t>STA:</w:t>
      </w:r>
      <w:r>
        <w:rPr>
          <w:sz w:val="20"/>
          <w:szCs w:val="20"/>
          <w:color w:val="auto"/>
        </w:rPr>
        <w:tab/>
      </w:r>
      <w:r>
        <w:rPr>
          <w:rFonts w:ascii="Times New Roman" w:cs="Times New Roman" w:eastAsia="Times New Roman" w:hAnsi="Times New Roman"/>
          <w:sz w:val="22"/>
          <w:szCs w:val="22"/>
          <w:color w:val="auto"/>
        </w:rPr>
        <w:t>License Exception STA may not be used to ship or transmit “software” “specially designed” for the “development” or “production” of equipment specified by 3A002.g.1 or 3B001.a.2 to any of the destinations listed in Country Group A:6 (See Supplement No.1 to part 740 of the EAR).</w:t>
      </w:r>
    </w:p>
    <w:p>
      <w:pPr>
        <w:spacing w:after="0" w:line="464" w:lineRule="exact"/>
        <w:rPr>
          <w:sz w:val="20"/>
          <w:szCs w:val="20"/>
          <w:color w:val="auto"/>
        </w:rPr>
      </w:pPr>
    </w:p>
    <w:p>
      <w:pPr>
        <w:sectPr>
          <w:pgSz w:w="12240" w:h="15840" w:orient="portrait"/>
          <w:cols w:equalWidth="0" w:num="2">
            <w:col w:w="4440" w:space="600"/>
            <w:col w:w="4420"/>
          </w:cols>
          <w:pgMar w:left="1440" w:top="1062" w:right="1340" w:bottom="892" w:gutter="0" w:footer="0" w:header="0"/>
          <w:type w:val="continuous"/>
        </w:sectPr>
      </w:pPr>
    </w:p>
    <w:p>
      <w:pPr>
        <w:spacing w:after="0" w:line="221"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sectPr>
      <w:pgSz w:w="12240" w:h="15840" w:orient="portrait"/>
      <w:cols w:equalWidth="0" w:num="1">
        <w:col w:w="9460"/>
      </w:cols>
      <w:pgMar w:left="1440" w:top="1062" w:right="1340" w:bottom="892"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A1"/>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http://schemas.openxmlformats.org/wordprocessingml/2006/main">
  <w:abstractNum w:abstractNumId="0">
    <w:nsid w:val="2463B9EA"/>
    <w:multiLevelType w:val="hybridMultilevel"/>
    <w:lvl w:ilvl="0">
      <w:lvlJc w:val="left"/>
      <w:lvlText w:val="%1."/>
      <w:numFmt w:val="upperLetter"/>
      <w:start w:val="1"/>
    </w:lvl>
  </w:abstractNum>
  <w:abstractNum w:abstractNumId="1">
    <w:nsid w:val="5E884ADC"/>
    <w:multiLevelType w:val="hybridMultilevel"/>
    <w:lvl w:ilvl="0">
      <w:lvlJc w:val="left"/>
      <w:lvlText w:val="%1."/>
      <w:numFmt w:val="lowerLetter"/>
      <w:start w:val="1"/>
    </w:lvl>
  </w:abstractNum>
  <w:abstractNum w:abstractNumId="2">
    <w:nsid w:val="51EAD36B"/>
    <w:multiLevelType w:val="hybridMultilevel"/>
    <w:lvl w:ilvl="0">
      <w:lvlJc w:val="left"/>
      <w:lvlText w:val="-"/>
      <w:numFmt w:val="bullet"/>
      <w:start w:val="1"/>
    </w:lvl>
    <w:lvl w:ilvl="1">
      <w:lvlJc w:val="left"/>
      <w:lvlText w:val="-"/>
      <w:numFmt w:val="bullet"/>
      <w:start w:val="1"/>
    </w:lvl>
    <w:lvl w:ilvl="2">
      <w:lvlJc w:val="left"/>
      <w:lvlText w:val="-"/>
      <w:numFmt w:val="bullet"/>
      <w:start w:val="1"/>
    </w:lvl>
  </w:abstractNum>
  <w:abstractNum w:abstractNumId="3">
    <w:nsid w:val="2D517796"/>
    <w:multiLevelType w:val="hybridMultilevel"/>
    <w:lvl w:ilvl="0">
      <w:lvlJc w:val="left"/>
      <w:lvlText w:val="%1."/>
      <w:numFmt w:val="decimal"/>
      <w:start w:val="2"/>
    </w:lvl>
  </w:abstractNum>
  <w:abstractNum w:abstractNumId="4">
    <w:nsid w:val="580BD78F"/>
    <w:multiLevelType w:val="hybridMultilevel"/>
    <w:lvl w:ilvl="0">
      <w:lvlJc w:val="left"/>
      <w:lvlText w:val="%1."/>
      <w:numFmt w:val="decimal"/>
      <w:start w:val="3"/>
    </w:lvl>
  </w:abstractNum>
  <w:abstractNum w:abstractNumId="5">
    <w:nsid w:val="153EA438"/>
    <w:multiLevelType w:val="hybridMultilevel"/>
    <w:lvl w:ilvl="0">
      <w:lvlJc w:val="left"/>
      <w:lvlText w:val="%1."/>
      <w:numFmt w:val="decimal"/>
      <w:start w:val="1"/>
    </w:lvl>
  </w:abstractNum>
  <w:abstractNum w:abstractNumId="6">
    <w:nsid w:val="3855585C"/>
    <w:multiLevelType w:val="hybridMultilevel"/>
    <w:lvl w:ilvl="0">
      <w:lvlJc w:val="left"/>
      <w:lvlText w:val="%1."/>
      <w:numFmt w:val="decimal"/>
      <w:start w:val="3"/>
    </w:lvl>
    <w:lvl w:ilvl="1">
      <w:lvlJc w:val="left"/>
      <w:lvlText w:val="%2."/>
      <w:numFmt w:val="decimal"/>
      <w:start w:val="4"/>
    </w:lvl>
    <w:lvl w:ilvl="2">
      <w:lvlJc w:val="left"/>
      <w:lvlText w:val="%3."/>
      <w:numFmt w:val="lowerLetter"/>
      <w:start w:val="1"/>
    </w:lvl>
  </w:abstractNum>
  <w:abstractNum w:abstractNumId="7">
    <w:nsid w:val="70A64E2A"/>
    <w:multiLevelType w:val="hybridMultilevel"/>
    <w:lvl w:ilvl="0">
      <w:lvlJc w:val="left"/>
      <w:lvlText w:val="•"/>
      <w:numFmt w:val="bullet"/>
      <w:start w:val="1"/>
    </w:lvl>
  </w:abstractNum>
  <w:abstractNum w:abstractNumId="8">
    <w:nsid w:val="6A2342EC"/>
    <w:multiLevelType w:val="hybridMultilevel"/>
    <w:lvl w:ilvl="0">
      <w:lvlJc w:val="left"/>
      <w:lvlText w:val="%1."/>
      <w:numFmt w:val="decimal"/>
      <w:start w:val="1"/>
    </w:lvl>
  </w:abstractNum>
  <w:abstractNum w:abstractNumId="9">
    <w:nsid w:val="2A487CB0"/>
    <w:multiLevelType w:val="hybridMultilevel"/>
    <w:lvl w:ilvl="0">
      <w:lvlJc w:val="left"/>
      <w:lvlText w:val="%1."/>
      <w:numFmt w:val="lowerLetter"/>
      <w:start w:val="2"/>
    </w:lvl>
  </w:abstractNum>
  <w:abstractNum w:abstractNumId="10">
    <w:nsid w:val="1D4ED43B"/>
    <w:multiLevelType w:val="hybridMultilevel"/>
    <w:lvl w:ilvl="0">
      <w:lvlJc w:val="left"/>
      <w:lvlText w:val="%1."/>
      <w:numFmt w:val="decimal"/>
      <w:start w:val="1"/>
    </w:lvl>
    <w:lvl w:ilvl="1">
      <w:lvlJc w:val="left"/>
      <w:lvlText w:val="%2."/>
      <w:numFmt w:val="decimal"/>
      <w:start w:val="2"/>
    </w:lvl>
  </w:abstractNum>
  <w:abstractNum w:abstractNumId="11">
    <w:nsid w:val="725A06FB"/>
    <w:multiLevelType w:val="hybridMultilevel"/>
    <w:lvl w:ilvl="0">
      <w:lvlJc w:val="left"/>
      <w:lvlText w:val="%1."/>
      <w:numFmt w:val="decimal"/>
      <w:start w:val="1"/>
    </w:lvl>
  </w:abstractNum>
  <w:abstractNum w:abstractNumId="12">
    <w:nsid w:val="2CD89A32"/>
    <w:multiLevelType w:val="hybridMultilevel"/>
    <w:lvl w:ilvl="0">
      <w:lvlJc w:val="left"/>
      <w:lvlText w:val="%1."/>
      <w:numFmt w:val="decimal"/>
      <w:start w:val="1"/>
    </w:lvl>
  </w:abstractNum>
  <w:abstractNum w:abstractNumId="13">
    <w:nsid w:val="57E4CCAF"/>
    <w:multiLevelType w:val="hybridMultilevel"/>
    <w:lvl w:ilvl="0">
      <w:lvlJc w:val="left"/>
      <w:lvlText w:val="%1."/>
      <w:numFmt w:val="decimal"/>
      <w:start w:val="1"/>
    </w:lvl>
  </w:abstractNum>
  <w:abstractNum w:abstractNumId="14">
    <w:nsid w:val="7A6D8D3C"/>
    <w:multiLevelType w:val="hybridMultilevel"/>
    <w:lvl w:ilvl="0">
      <w:lvlJc w:val="left"/>
      <w:lvlText w:val="%1."/>
      <w:numFmt w:val="decimal"/>
      <w:start w:val="1"/>
    </w:lvl>
  </w:abstractNum>
  <w:abstractNum w:abstractNumId="15">
    <w:nsid w:val="4B588F54"/>
    <w:multiLevelType w:val="hybridMultilevel"/>
    <w:lvl w:ilvl="0">
      <w:lvlJc w:val="left"/>
      <w:lvlText w:val="%1"/>
      <w:numFmt w:val="lowerLetter"/>
      <w:start w:val="1"/>
    </w:lvl>
    <w:lvl w:ilvl="1">
      <w:lvlJc w:val="left"/>
      <w:lvlText w:val="%2."/>
      <w:numFmt w:val="decimal"/>
      <w:start w:val="7"/>
    </w:lvl>
  </w:abstractNum>
  <w:abstractNum w:abstractNumId="16">
    <w:nsid w:val="542289EC"/>
    <w:multiLevelType w:val="hybridMultilevel"/>
    <w:lvl w:ilvl="0">
      <w:lvlJc w:val="left"/>
      <w:lvlText w:val="%1."/>
      <w:numFmt w:val="lowerLetter"/>
      <w:start w:val="3"/>
    </w:lvl>
    <w:lvl w:ilvl="1">
      <w:lvlJc w:val="left"/>
      <w:lvlText w:val="%2"/>
      <w:numFmt w:val="decimal"/>
      <w:start w:val="1"/>
    </w:lvl>
  </w:abstractNum>
  <w:abstractNum w:abstractNumId="17">
    <w:nsid w:val="6DE91B18"/>
    <w:multiLevelType w:val="hybridMultilevel"/>
    <w:lvl w:ilvl="0">
      <w:lvlJc w:val="left"/>
      <w:lvlText w:val="%1."/>
      <w:numFmt w:val="lowerLetter"/>
      <w:start w:val="4"/>
    </w:lvl>
  </w:abstractNum>
  <w:abstractNum w:abstractNumId="18">
    <w:nsid w:val="38437FDB"/>
    <w:multiLevelType w:val="hybridMultilevel"/>
    <w:lvl w:ilvl="0">
      <w:lvlJc w:val="left"/>
      <w:lvlText w:val="%1."/>
      <w:numFmt w:val="decimal"/>
      <w:start w:val="1"/>
    </w:lvl>
  </w:abstractNum>
  <w:abstractNum w:abstractNumId="19">
    <w:nsid w:val="7644A45C"/>
    <w:multiLevelType w:val="hybridMultilevel"/>
    <w:lvl w:ilvl="0">
      <w:lvlJc w:val="left"/>
      <w:lvlText w:val="%1."/>
      <w:numFmt w:val="lowerLetter"/>
      <w:start w:val="6"/>
    </w:lvl>
  </w:abstractNum>
  <w:abstractNum w:abstractNumId="20">
    <w:nsid w:val="32FFF902"/>
    <w:multiLevelType w:val="hybridMultilevel"/>
    <w:lvl w:ilvl="0">
      <w:lvlJc w:val="left"/>
      <w:lvlText w:val="-"/>
      <w:numFmt w:val="bullet"/>
      <w:start w:val="1"/>
    </w:lvl>
  </w:abstractNum>
  <w:abstractNum w:abstractNumId="21">
    <w:nsid w:val="684A481A"/>
    <w:multiLevelType w:val="hybridMultilevel"/>
    <w:lvl w:ilvl="0">
      <w:lvlJc w:val="left"/>
      <w:lvlText w:val="%1."/>
      <w:numFmt w:val="lowerLetter"/>
      <w:start w:val="8"/>
    </w:lvl>
  </w:abstractNum>
  <w:abstractNum w:abstractNumId="22">
    <w:nsid w:val="579478FE"/>
    <w:multiLevelType w:val="hybridMultilevel"/>
    <w:lvl w:ilvl="0">
      <w:lvlJc w:val="left"/>
      <w:lvlText w:val="-"/>
      <w:numFmt w:val="bullet"/>
      <w:start w:val="1"/>
    </w:lvl>
  </w:abstractNum>
  <w:abstractNum w:abstractNumId="23">
    <w:nsid w:val="749ABB43"/>
    <w:multiLevelType w:val="hybridMultilevel"/>
    <w:lvl w:ilvl="0">
      <w:lvlJc w:val="left"/>
      <w:lvlText w:val="%1"/>
      <w:numFmt w:val="lowerLetter"/>
      <w:start w:val="1"/>
    </w:lvl>
  </w:abstractNum>
  <w:abstractNum w:abstractNumId="24">
    <w:nsid w:val="3DC240FB"/>
    <w:multiLevelType w:val="hybridMultilevel"/>
    <w:lvl w:ilvl="0">
      <w:lvlJc w:val="left"/>
      <w:lvlText w:val="%1."/>
      <w:numFmt w:val="decimal"/>
      <w:start w:val="1"/>
    </w:lvl>
  </w:abstractNum>
  <w:abstractNum w:abstractNumId="25">
    <w:nsid w:val="1BA026FA"/>
    <w:multiLevelType w:val="hybridMultilevel"/>
    <w:lvl w:ilvl="0">
      <w:lvlJc w:val="left"/>
      <w:lvlText w:val="%1."/>
      <w:numFmt w:val="lowerLetter"/>
      <w:start w:val="2"/>
    </w:lvl>
  </w:abstractNum>
  <w:abstractNum w:abstractNumId="26">
    <w:nsid w:val="79A1DEAA"/>
    <w:multiLevelType w:val="hybridMultilevel"/>
    <w:lvl w:ilvl="0">
      <w:lvlJc w:val="left"/>
      <w:lvlText w:val="-"/>
      <w:numFmt w:val="bullet"/>
      <w:start w:val="1"/>
    </w:lvl>
  </w:abstractNum>
  <w:abstractNum w:abstractNumId="27">
    <w:nsid w:val="75C6C33A"/>
    <w:multiLevelType w:val="hybridMultilevel"/>
    <w:lvl w:ilvl="0">
      <w:lvlJc w:val="left"/>
      <w:lvlText w:val="%1."/>
      <w:numFmt w:val="decimal"/>
      <w:start w:val="1"/>
    </w:lvl>
  </w:abstractNum>
  <w:abstractNum w:abstractNumId="28">
    <w:nsid w:val="12E685FB"/>
    <w:multiLevelType w:val="hybridMultilevel"/>
    <w:lvl w:ilvl="0">
      <w:lvlJc w:val="left"/>
      <w:lvlText w:val="%1"/>
      <w:numFmt w:val="lowerLetter"/>
      <w:start w:val="1"/>
    </w:lvl>
    <w:lvl w:ilvl="1">
      <w:lvlJc w:val="left"/>
      <w:lvlText w:val="%2."/>
      <w:numFmt w:val="decimal"/>
      <w:start w:val="1"/>
    </w:lvl>
  </w:abstractNum>
  <w:abstractNum w:abstractNumId="29">
    <w:nsid w:val="70C6A529"/>
    <w:multiLevelType w:val="hybridMultilevel"/>
    <w:lvl w:ilvl="0">
      <w:lvlJc w:val="left"/>
      <w:lvlText w:val="%1."/>
      <w:numFmt w:val="lowerLetter"/>
      <w:start w:val="5"/>
    </w:lvl>
    <w:lvl w:ilvl="1">
      <w:lvlJc w:val="left"/>
      <w:lvlText w:val="%2"/>
      <w:numFmt w:val="decimal"/>
      <w:start w:val="1"/>
    </w:lvl>
  </w:abstractNum>
  <w:abstractNum w:abstractNumId="30">
    <w:nsid w:val="520EEDD1"/>
    <w:multiLevelType w:val="hybridMultilevel"/>
    <w:lvl w:ilvl="0">
      <w:lvlJc w:val="left"/>
      <w:lvlText w:val="%1."/>
      <w:numFmt w:val="decimal"/>
      <w:start w:val="1"/>
    </w:lvl>
  </w:abstractNum>
  <w:abstractNum w:abstractNumId="31">
    <w:nsid w:val="374A3FE6"/>
    <w:multiLevelType w:val="hybridMultilevel"/>
    <w:lvl w:ilvl="0">
      <w:lvlJc w:val="left"/>
      <w:lvlText w:val="%1."/>
      <w:numFmt w:val="decimal"/>
      <w:start w:val="3"/>
    </w:lvl>
  </w:abstractNum>
  <w:abstractNum w:abstractNumId="32">
    <w:nsid w:val="4F4EF005"/>
    <w:multiLevelType w:val="hybridMultilevel"/>
    <w:lvl w:ilvl="0">
      <w:lvlJc w:val="left"/>
      <w:lvlText w:val="%1."/>
      <w:numFmt w:val="lowerLetter"/>
      <w:start w:val="1"/>
    </w:lvl>
  </w:abstractNum>
  <w:abstractNum w:abstractNumId="33">
    <w:nsid w:val="23F9C13C"/>
    <w:multiLevelType w:val="hybridMultilevel"/>
    <w:lvl w:ilvl="0">
      <w:lvlJc w:val="left"/>
      <w:lvlText w:val="%1."/>
      <w:numFmt w:val="lowerLetter"/>
      <w:start w:val="2"/>
    </w:lvl>
  </w:abstractNum>
  <w:abstractNum w:abstractNumId="34">
    <w:nsid w:val="649BB77C"/>
    <w:multiLevelType w:val="hybridMultilevel"/>
    <w:lvl w:ilvl="0">
      <w:lvlJc w:val="left"/>
      <w:lvlText w:val="%1."/>
      <w:numFmt w:val="lowerLetter"/>
      <w:start w:val="3"/>
    </w:lvl>
  </w:abstractNum>
  <w:abstractNum w:abstractNumId="35">
    <w:nsid w:val="275AC794"/>
    <w:multiLevelType w:val="hybridMultilevel"/>
    <w:lvl w:ilvl="0">
      <w:lvlJc w:val="left"/>
      <w:lvlText w:val="%1."/>
      <w:numFmt w:val="decimal"/>
      <w:start w:val="1"/>
    </w:lvl>
  </w:abstractNum>
  <w:abstractNum w:abstractNumId="36">
    <w:nsid w:val="39386575"/>
    <w:multiLevelType w:val="hybridMultilevel"/>
    <w:lvl w:ilvl="0">
      <w:lvlJc w:val="left"/>
      <w:lvlText w:val="%1."/>
      <w:numFmt w:val="decimal"/>
      <w:start w:val="2"/>
    </w:lvl>
  </w:abstractNum>
  <w:abstractNum w:abstractNumId="37">
    <w:nsid w:val="1CF10FD8"/>
    <w:multiLevelType w:val="hybridMultilevel"/>
    <w:lvl w:ilvl="0">
      <w:lvlJc w:val="left"/>
      <w:lvlText w:val="%1."/>
      <w:numFmt w:val="decimal"/>
      <w:start w:val="4"/>
    </w:lvl>
  </w:abstractNum>
  <w:abstractNum w:abstractNumId="38">
    <w:nsid w:val="180115BE"/>
    <w:multiLevelType w:val="hybridMultilevel"/>
    <w:lvl w:ilvl="0">
      <w:lvlJc w:val="left"/>
      <w:lvlText w:val="%1."/>
      <w:numFmt w:val="lowerLetter"/>
      <w:start w:val="1"/>
    </w:lvl>
  </w:abstractNum>
  <w:abstractNum w:abstractNumId="39">
    <w:nsid w:val="235BA861"/>
    <w:multiLevelType w:val="hybridMultilevel"/>
    <w:lvl w:ilvl="0">
      <w:lvlJc w:val="left"/>
      <w:lvlText w:val="%1."/>
      <w:numFmt w:val="decimal"/>
      <w:start w:val="1"/>
    </w:lvl>
  </w:abstractNum>
  <w:abstractNum w:abstractNumId="40">
    <w:nsid w:val="47398C89"/>
    <w:multiLevelType w:val="hybridMultilevel"/>
    <w:lvl w:ilvl="0">
      <w:lvlJc w:val="left"/>
      <w:lvlText w:val="%1."/>
      <w:numFmt w:val="decimal"/>
      <w:start w:val="1"/>
    </w:lvl>
  </w:abstractNum>
  <w:abstractNum w:abstractNumId="41">
    <w:nsid w:val="354FE9F9"/>
    <w:multiLevelType w:val="hybridMultilevel"/>
    <w:lvl w:ilvl="0">
      <w:lvlJc w:val="left"/>
      <w:lvlText w:val="%1."/>
      <w:numFmt w:val="decimal"/>
      <w:start w:val="2"/>
    </w:lvl>
  </w:abstractNum>
  <w:abstractNum w:abstractNumId="42">
    <w:nsid w:val="15B5AF5C"/>
    <w:multiLevelType w:val="hybridMultilevel"/>
    <w:lvl w:ilvl="0">
      <w:lvlJc w:val="left"/>
      <w:lvlText w:val="(%1)"/>
      <w:numFmt w:val="decimal"/>
      <w:start w:val="3"/>
    </w:lvl>
  </w:abstractNum>
  <w:abstractNum w:abstractNumId="43">
    <w:nsid w:val="741226BB"/>
    <w:multiLevelType w:val="hybridMultilevel"/>
    <w:lvl w:ilvl="0">
      <w:lvlJc w:val="left"/>
      <w:lvlText w:val="%1."/>
      <w:numFmt w:val="lowerLetter"/>
      <w:start w:val="1"/>
    </w:lvl>
  </w:abstractNum>
  <w:abstractNum w:abstractNumId="44">
    <w:nsid w:val="D34B6A8"/>
    <w:multiLevelType w:val="hybridMultilevel"/>
    <w:lvl w:ilvl="0">
      <w:lvlJc w:val="left"/>
      <w:lvlText w:val="(%1)"/>
      <w:numFmt w:val="decimal"/>
      <w:start w:val="3"/>
    </w:lvl>
  </w:abstractNum>
  <w:abstractNum w:abstractNumId="45">
    <w:nsid w:val="10233C99"/>
    <w:multiLevelType w:val="hybridMultilevel"/>
    <w:lvl w:ilvl="0">
      <w:lvlJc w:val="left"/>
      <w:lvlText w:val="%1."/>
      <w:numFmt w:val="lowerLetter"/>
      <w:start w:val="1"/>
    </w:lvl>
  </w:abstractNum>
  <w:abstractNum w:abstractNumId="46">
    <w:nsid w:val="3F6AB60F"/>
    <w:multiLevelType w:val="hybridMultilevel"/>
    <w:lvl w:ilvl="0">
      <w:lvlJc w:val="left"/>
      <w:lvlText w:val="%1."/>
      <w:numFmt w:val="lowerLetter"/>
      <w:start w:val="1"/>
    </w:lvl>
  </w:abstractNum>
  <w:abstractNum w:abstractNumId="47">
    <w:nsid w:val="61574095"/>
    <w:multiLevelType w:val="hybridMultilevel"/>
    <w:lvl w:ilvl="0">
      <w:lvlJc w:val="left"/>
      <w:lvlText w:val="%1."/>
      <w:numFmt w:val="lowerLetter"/>
      <w:start w:val="2"/>
    </w:lvl>
  </w:abstractNum>
  <w:abstractNum w:abstractNumId="48">
    <w:nsid w:val="7E0C57B1"/>
    <w:multiLevelType w:val="hybridMultilevel"/>
    <w:lvl w:ilvl="0">
      <w:lvlJc w:val="left"/>
      <w:lvlText w:val="%1."/>
      <w:numFmt w:val="lowerLetter"/>
      <w:start w:val="3"/>
    </w:lvl>
  </w:abstractNum>
  <w:abstractNum w:abstractNumId="49">
    <w:nsid w:val="77AE35EB"/>
    <w:multiLevelType w:val="hybridMultilevel"/>
    <w:lvl w:ilvl="0">
      <w:lvlJc w:val="left"/>
      <w:lvlText w:val="%1."/>
      <w:numFmt w:val="lowerLetter"/>
      <w:start w:val="1"/>
    </w:lvl>
  </w:abstractNum>
  <w:abstractNum w:abstractNumId="50">
    <w:nsid w:val="579BE4F1"/>
    <w:multiLevelType w:val="hybridMultilevel"/>
    <w:lvl w:ilvl="0">
      <w:lvlJc w:val="left"/>
      <w:lvlText w:val="%1."/>
      <w:numFmt w:val="lowerLetter"/>
      <w:start w:val="3"/>
    </w:lvl>
  </w:abstractNum>
  <w:abstractNum w:abstractNumId="51">
    <w:nsid w:val="310C50B3"/>
    <w:multiLevelType w:val="hybridMultilevel"/>
    <w:lvl w:ilvl="0">
      <w:lvlJc w:val="left"/>
      <w:lvlText w:val="%1."/>
      <w:numFmt w:val="lowerLetter"/>
      <w:start w:val="1"/>
    </w:lvl>
  </w:abstractNum>
  <w:abstractNum w:abstractNumId="52">
    <w:nsid w:val="5FF87E05"/>
    <w:multiLevelType w:val="hybridMultilevel"/>
    <w:lvl w:ilvl="0">
      <w:lvlJc w:val="left"/>
      <w:lvlText w:val="%1."/>
      <w:numFmt w:val="lowerLetter"/>
      <w:start w:val="4"/>
    </w:lvl>
  </w:abstractNum>
  <w:abstractNum w:abstractNumId="53">
    <w:nsid w:val="2F305DEF"/>
    <w:multiLevelType w:val="hybridMultilevel"/>
    <w:lvl w:ilvl="0">
      <w:lvlJc w:val="left"/>
      <w:lvlText w:val="%1."/>
      <w:numFmt w:val="decimal"/>
      <w:start w:val="1"/>
    </w:lvl>
  </w:abstractNum>
  <w:abstractNum w:abstractNumId="54">
    <w:nsid w:val="25A70BF7"/>
    <w:multiLevelType w:val="hybridMultilevel"/>
    <w:lvl w:ilvl="0">
      <w:lvlJc w:val="left"/>
      <w:lvlText w:val="%1."/>
      <w:numFmt w:val="lowerLetter"/>
      <w:start w:val="2"/>
    </w:lvl>
  </w:abstractNum>
  <w:abstractNum w:abstractNumId="55">
    <w:nsid w:val="1DBABF00"/>
    <w:multiLevelType w:val="hybridMultilevel"/>
    <w:lvl w:ilvl="0">
      <w:lvlJc w:val="left"/>
      <w:lvlText w:val="%1."/>
      <w:numFmt w:val="lowerRoman"/>
      <w:start w:val="10"/>
    </w:lvl>
  </w:abstractNum>
  <w:abstractNum w:abstractNumId="56">
    <w:nsid w:val="4AD084E9"/>
    <w:multiLevelType w:val="hybridMultilevel"/>
    <w:lvl w:ilvl="0">
      <w:lvlJc w:val="left"/>
      <w:lvlText w:val="%1."/>
      <w:numFmt w:val="lowerLetter"/>
      <w:start w:val="25"/>
    </w:lvl>
  </w:abstractNum>
  <w:abstractNum w:abstractNumId="57">
    <w:nsid w:val="1F48EAA1"/>
    <w:multiLevelType w:val="hybridMultilevel"/>
    <w:lvl w:ilvl="0">
      <w:lvlJc w:val="left"/>
      <w:lvlText w:val="%1"/>
      <w:numFmt w:val="lowerLetter"/>
      <w:start w:val="1"/>
    </w:lvl>
    <w:lvl w:ilvl="1">
      <w:lvlJc w:val="left"/>
      <w:lvlText w:val="%2."/>
      <w:numFmt w:val="decimal"/>
      <w:start w:val="1"/>
    </w:lvl>
  </w:abstractNum>
  <w:abstractNum w:abstractNumId="58">
    <w:nsid w:val="1381823A"/>
    <w:multiLevelType w:val="hybridMultilevel"/>
    <w:lvl w:ilvl="0">
      <w:lvlJc w:val="left"/>
      <w:lvlText w:val="%1."/>
      <w:numFmt w:val="lowerLetter"/>
      <w:start w:val="11"/>
    </w:lvl>
    <w:lvl w:ilvl="1">
      <w:lvlJc w:val="left"/>
      <w:lvlText w:val="%2"/>
      <w:numFmt w:val="decimal"/>
      <w:start w:val="1"/>
    </w:lvl>
  </w:abstractNum>
  <w:abstractNum w:abstractNumId="59">
    <w:nsid w:val="5DB70AE5"/>
    <w:multiLevelType w:val="hybridMultilevel"/>
    <w:lvl w:ilvl="0">
      <w:lvlJc w:val="left"/>
      <w:lvlText w:val="%1."/>
      <w:numFmt w:val="lowerLetter"/>
      <w:start w:val="13"/>
    </w:lvl>
  </w:abstractNum>
  <w:abstractNum w:abstractNumId="60">
    <w:nsid w:val="100F8FCA"/>
    <w:multiLevelType w:val="hybridMultilevel"/>
    <w:lvl w:ilvl="0">
      <w:lvlJc w:val="left"/>
      <w:lvlText w:val="%1."/>
      <w:numFmt w:val="lowerLetter"/>
      <w:start w:val="4"/>
    </w:lvl>
  </w:abstractNum>
  <w:abstractNum w:abstractNumId="61">
    <w:nsid w:val="6590700B"/>
    <w:multiLevelType w:val="hybridMultilevel"/>
    <w:lvl w:ilvl="0">
      <w:lvlJc w:val="left"/>
      <w:lvlText w:val="%1."/>
      <w:numFmt w:val="decimal"/>
      <w:start w:val="1"/>
    </w:lvl>
  </w:abstractNum>
  <w:abstractNum w:abstractNumId="62">
    <w:nsid w:val="15014ACB"/>
    <w:multiLevelType w:val="hybridMultilevel"/>
    <w:lvl w:ilvl="0">
      <w:lvlJc w:val="left"/>
      <w:lvlText w:val="%1."/>
      <w:numFmt w:val="lowerLetter"/>
      <w:start w:val="3"/>
    </w:lvl>
  </w:abstractNum>
  <w:abstractNum w:abstractNumId="63">
    <w:nsid w:val="5F5E7FD0"/>
    <w:multiLevelType w:val="hybridMultilevel"/>
    <w:lvl w:ilvl="0">
      <w:lvlJc w:val="left"/>
      <w:lvlText w:val="%1."/>
      <w:numFmt w:val="upperLetter"/>
      <w:start w:val="2"/>
    </w:lvl>
  </w:abstractNum>
  <w:abstractNum w:abstractNumId="64">
    <w:nsid w:val="98A3148"/>
    <w:multiLevelType w:val="hybridMultilevel"/>
    <w:lvl w:ilvl="0">
      <w:lvlJc w:val="left"/>
      <w:lvlText w:val="%1."/>
      <w:numFmt w:val="lowerLetter"/>
      <w:start w:val="3"/>
    </w:lvl>
  </w:abstractNum>
  <w:abstractNum w:abstractNumId="65">
    <w:nsid w:val="799D0247"/>
    <w:multiLevelType w:val="hybridMultilevel"/>
    <w:lvl w:ilvl="0">
      <w:lvlJc w:val="left"/>
      <w:lvlText w:val="%1."/>
      <w:numFmt w:val="decimal"/>
      <w:start w:val="2"/>
    </w:lvl>
  </w:abstractNum>
  <w:abstractNum w:abstractNumId="66">
    <w:nsid w:val="6B94764"/>
    <w:multiLevelType w:val="hybridMultilevel"/>
    <w:lvl w:ilvl="0">
      <w:lvlJc w:val="left"/>
      <w:lvlText w:val="-"/>
      <w:numFmt w:val="bullet"/>
      <w:start w:val="1"/>
    </w:lvl>
  </w:abstractNum>
  <w:abstractNum w:abstractNumId="67">
    <w:nsid w:val="42C296BD"/>
    <w:multiLevelType w:val="hybridMultilevel"/>
    <w:lvl w:ilvl="0">
      <w:lvlJc w:val="left"/>
      <w:lvlText w:val="%1."/>
      <w:numFmt w:val="lowerLetter"/>
      <w:start w:val="1"/>
    </w:lvl>
  </w:abstractNum>
  <w:abstractNum w:abstractNumId="68">
    <w:nsid w:val="168E121F"/>
    <w:multiLevelType w:val="hybridMultilevel"/>
    <w:lvl w:ilvl="0">
      <w:lvlJc w:val="left"/>
      <w:lvlText w:val="%1."/>
      <w:numFmt w:val="lowerRoman"/>
      <w:start w:val="10"/>
    </w:lvl>
  </w:abstractNum>
  <w:abstractNum w:abstractNumId="69">
    <w:nsid w:val="1EBA5D23"/>
    <w:multiLevelType w:val="hybridMultilevel"/>
    <w:lvl w:ilvl="0">
      <w:lvlJc w:val="left"/>
      <w:lvlText w:val="%1."/>
      <w:numFmt w:val="decimal"/>
      <w:start w:val="2"/>
    </w:lvl>
  </w:abstractNum>
  <w:abstractNum w:abstractNumId="70">
    <w:nsid w:val="661E3F1E"/>
    <w:multiLevelType w:val="hybridMultilevel"/>
    <w:lvl w:ilvl="0">
      <w:lvlJc w:val="left"/>
      <w:lvlText w:val="%1"/>
      <w:numFmt w:val="decimal"/>
      <w:start w:val="1"/>
    </w:lvl>
    <w:lvl w:ilvl="1">
      <w:lvlJc w:val="left"/>
      <w:lvlText w:val="%2."/>
      <w:numFmt w:val="decimal"/>
      <w:start w:val="1"/>
    </w:lvl>
  </w:abstractNum>
  <w:abstractNum w:abstractNumId="71">
    <w:nsid w:val="5DC79EA8"/>
    <w:multiLevelType w:val="hybridMultilevel"/>
    <w:lvl w:ilvl="0">
      <w:lvlJc w:val="left"/>
      <w:lvlText w:val="%1."/>
      <w:numFmt w:val="decimal"/>
      <w:start w:val="2"/>
    </w:lvl>
    <w:lvl w:ilvl="1">
      <w:lvlJc w:val="left"/>
      <w:lvlText w:val="%2"/>
      <w:numFmt w:val="decimal"/>
      <w:start w:val="1"/>
    </w:lvl>
  </w:abstractNum>
  <w:abstractNum w:abstractNumId="72">
    <w:nsid w:val="540A471C"/>
    <w:multiLevelType w:val="hybridMultilevel"/>
    <w:lvl w:ilvl="0">
      <w:lvlJc w:val="left"/>
      <w:lvlText w:val="%1."/>
      <w:numFmt w:val="lowerLetter"/>
      <w:start w:val="1"/>
    </w:lvl>
  </w:abstractNum>
  <w:abstractNum w:abstractNumId="73">
    <w:nsid w:val="7BD3EE7B"/>
    <w:multiLevelType w:val="hybridMultilevel"/>
    <w:lvl w:ilvl="0">
      <w:lvlJc w:val="left"/>
      <w:lvlText w:val="%1."/>
      <w:numFmt w:val="lowerLetter"/>
      <w:start w:val="3"/>
    </w:lvl>
  </w:abstractNum>
  <w:abstractNum w:abstractNumId="74">
    <w:nsid w:val="51D9C564"/>
    <w:multiLevelType w:val="hybridMultilevel"/>
    <w:lvl w:ilvl="0">
      <w:lvlJc w:val="left"/>
      <w:lvlText w:val="%1."/>
      <w:numFmt w:val="lowerLetter"/>
      <w:start w:val="1"/>
    </w:lvl>
  </w:abstractNum>
  <w:abstractNum w:abstractNumId="75">
    <w:nsid w:val="613EFDC5"/>
    <w:multiLevelType w:val="hybridMultilevel"/>
    <w:lvl w:ilvl="0">
      <w:lvlJc w:val="left"/>
      <w:lvlText w:val="%1."/>
      <w:numFmt w:val="lowerLetter"/>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2020-05-27T05:27:17Z</dcterms:created>
  <dcterms:modified xsi:type="dcterms:W3CDTF">2020-05-27T05:27:17Z</dcterms:modified>
</cp:coreProperties>
</file>