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tabs>
          <w:tab w:leader="none" w:pos="3580" w:val="left"/>
          <w:tab w:leader="none" w:pos="77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4—page 1</w:t>
      </w:r>
    </w:p>
    <w:p>
      <w:pPr>
        <w:sectPr>
          <w:pgSz w:w="12240" w:h="15840" w:orient="portrait"/>
          <w:cols w:equalWidth="0" w:num="1">
            <w:col w:w="9480"/>
          </w:cols>
          <w:pgMar w:left="1440" w:top="1422" w:right="1320" w:bottom="892" w:gutter="0" w:footer="0" w:header="0"/>
        </w:sectPr>
      </w:pPr>
    </w:p>
    <w:p>
      <w:pPr>
        <w:spacing w:after="0" w:line="209" w:lineRule="exact"/>
        <w:rPr>
          <w:sz w:val="24"/>
          <w:szCs w:val="24"/>
          <w:color w:val="auto"/>
        </w:rPr>
      </w:pPr>
    </w:p>
    <w:p>
      <w:pPr>
        <w:ind w:left="720"/>
        <w:spacing w:after="0"/>
        <w:rPr>
          <w:sz w:val="20"/>
          <w:szCs w:val="20"/>
          <w:color w:val="auto"/>
        </w:rPr>
      </w:pPr>
      <w:r>
        <w:rPr>
          <w:rFonts w:ascii="Times New Roman" w:cs="Times New Roman" w:eastAsia="Times New Roman" w:hAnsi="Times New Roman"/>
          <w:sz w:val="22"/>
          <w:szCs w:val="22"/>
          <w:b w:val="1"/>
          <w:bCs w:val="1"/>
          <w:i w:val="1"/>
          <w:iCs w:val="1"/>
          <w:color w:val="auto"/>
        </w:rPr>
        <w:t>CATEGORY 4 - COMPUTERS</w:t>
      </w:r>
    </w:p>
    <w:p>
      <w:pPr>
        <w:spacing w:after="0" w:line="253" w:lineRule="exact"/>
        <w:rPr>
          <w:sz w:val="24"/>
          <w:szCs w:val="24"/>
          <w:color w:val="auto"/>
        </w:rPr>
      </w:pPr>
    </w:p>
    <w:p>
      <w:pPr>
        <w:jc w:val="both"/>
        <w:ind w:right="120" w:firstLine="360"/>
        <w:spacing w:after="0" w:line="241"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Computers, related equipment and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“software” performing telecommunications or “local area network” functions must also be</w:t>
      </w:r>
    </w:p>
    <w:p>
      <w:pPr>
        <w:spacing w:after="0" w:line="2" w:lineRule="exact"/>
        <w:rPr>
          <w:sz w:val="24"/>
          <w:szCs w:val="24"/>
          <w:color w:val="auto"/>
        </w:rPr>
      </w:pPr>
    </w:p>
    <w:p>
      <w:pPr>
        <w:jc w:val="both"/>
        <w:ind w:right="120"/>
        <w:spacing w:after="0" w:line="255" w:lineRule="auto"/>
        <w:rPr>
          <w:sz w:val="20"/>
          <w:szCs w:val="20"/>
          <w:color w:val="auto"/>
        </w:rPr>
      </w:pPr>
      <w:r>
        <w:rPr>
          <w:rFonts w:ascii="Times New Roman" w:cs="Times New Roman" w:eastAsia="Times New Roman" w:hAnsi="Times New Roman"/>
          <w:sz w:val="22"/>
          <w:szCs w:val="22"/>
          <w:i w:val="1"/>
          <w:iCs w:val="1"/>
          <w:color w:val="auto"/>
        </w:rPr>
        <w:t>evaluated against the performance characteristics of Category 5, Part 1 (Telecommunications).</w:t>
      </w:r>
    </w:p>
    <w:p>
      <w:pPr>
        <w:spacing w:after="0" w:line="199" w:lineRule="exact"/>
        <w:rPr>
          <w:sz w:val="24"/>
          <w:szCs w:val="24"/>
          <w:color w:val="auto"/>
        </w:rPr>
      </w:pPr>
    </w:p>
    <w:p>
      <w:pPr>
        <w:jc w:val="both"/>
        <w:ind w:right="120" w:firstLine="360"/>
        <w:spacing w:after="0" w:line="24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 Control units that directly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interconnect the buses or channels of central processing units, ‘main storage’ or disk</w:t>
      </w:r>
    </w:p>
    <w:p>
      <w:pPr>
        <w:jc w:val="both"/>
        <w:ind w:right="120"/>
        <w:spacing w:after="0" w:line="255" w:lineRule="auto"/>
        <w:rPr>
          <w:sz w:val="20"/>
          <w:szCs w:val="20"/>
          <w:color w:val="auto"/>
        </w:rPr>
      </w:pPr>
      <w:r>
        <w:rPr>
          <w:rFonts w:ascii="Times New Roman" w:cs="Times New Roman" w:eastAsia="Times New Roman" w:hAnsi="Times New Roman"/>
          <w:sz w:val="22"/>
          <w:szCs w:val="22"/>
          <w:i w:val="1"/>
          <w:iCs w:val="1"/>
          <w:color w:val="auto"/>
        </w:rPr>
        <w:t>controllers are not regarded as telecommunications equipment described in Category 5, Part 1 (Telecommunications).</w:t>
      </w:r>
    </w:p>
    <w:p>
      <w:pPr>
        <w:spacing w:after="0" w:line="199" w:lineRule="exact"/>
        <w:rPr>
          <w:sz w:val="24"/>
          <w:szCs w:val="24"/>
          <w:color w:val="auto"/>
        </w:rPr>
      </w:pPr>
    </w:p>
    <w:p>
      <w:pPr>
        <w:jc w:val="both"/>
        <w:ind w:right="120"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N.B</w:t>
      </w:r>
      <w:r>
        <w:rPr>
          <w:rFonts w:ascii="Times New Roman" w:cs="Times New Roman" w:eastAsia="Times New Roman" w:hAnsi="Times New Roman"/>
          <w:sz w:val="22"/>
          <w:szCs w:val="22"/>
          <w:i w:val="1"/>
          <w:iCs w:val="1"/>
          <w:color w:val="auto"/>
        </w:rPr>
        <w:t>.: For the control status of “software”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“specially designed” for packet switching, see ECCN 5D001. (Telecommunications).</w:t>
      </w:r>
    </w:p>
    <w:p>
      <w:pPr>
        <w:spacing w:after="0" w:line="196" w:lineRule="exact"/>
        <w:rPr>
          <w:sz w:val="24"/>
          <w:szCs w:val="24"/>
          <w:color w:val="auto"/>
        </w:rPr>
      </w:pPr>
    </w:p>
    <w:p>
      <w:pPr>
        <w:jc w:val="both"/>
        <w:ind w:right="120" w:firstLine="360"/>
        <w:spacing w:after="0" w:line="246"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‘Main storage’ is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primary storage for data or instructions for rapid access by a central processing unit. It consists of the internal storage of a “digital computer” and any hierarchical extension thereto, such as cache storage or non-sequentially accessed extended storage.</w:t>
      </w:r>
    </w:p>
    <w:p>
      <w:pPr>
        <w:spacing w:after="0" w:line="200" w:lineRule="exact"/>
        <w:rPr>
          <w:sz w:val="24"/>
          <w:szCs w:val="24"/>
          <w:color w:val="auto"/>
        </w:rPr>
      </w:pPr>
    </w:p>
    <w:p>
      <w:pPr>
        <w:spacing w:after="0" w:line="264" w:lineRule="exact"/>
        <w:rPr>
          <w:sz w:val="24"/>
          <w:szCs w:val="24"/>
          <w:color w:val="auto"/>
        </w:rPr>
      </w:pPr>
    </w:p>
    <w:p>
      <w:pPr>
        <w:ind w:left="220" w:right="340" w:firstLine="183"/>
        <w:spacing w:after="0" w:line="253" w:lineRule="auto"/>
        <w:tabs>
          <w:tab w:leader="none" w:pos="729" w:val="left"/>
        </w:tabs>
        <w:numPr>
          <w:ilvl w:val="0"/>
          <w:numId w:val="1"/>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“END ITEMS,” “EQUIPMENT,” “ACCESSORIES,” “ATTACHMENTS,”</w:t>
      </w:r>
    </w:p>
    <w:p>
      <w:pPr>
        <w:ind w:left="440"/>
        <w:spacing w:after="0"/>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2"/>
          <w:szCs w:val="22"/>
          <w:b w:val="1"/>
          <w:bCs w:val="1"/>
          <w:color w:val="auto"/>
        </w:rPr>
        <w:t>“PARTS,” “COMPONENTS,” AND</w:t>
      </w:r>
    </w:p>
    <w:p>
      <w:pPr>
        <w:ind w:left="1540"/>
        <w:spacing w:after="0"/>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2"/>
          <w:szCs w:val="22"/>
          <w:b w:val="1"/>
          <w:bCs w:val="1"/>
          <w:color w:val="auto"/>
        </w:rPr>
        <w:t>“SYSTEMS”</w:t>
      </w:r>
    </w:p>
    <w:p>
      <w:pPr>
        <w:spacing w:after="0" w:line="200" w:lineRule="exact"/>
        <w:rPr>
          <w:sz w:val="24"/>
          <w:szCs w:val="24"/>
          <w:color w:val="auto"/>
        </w:rPr>
      </w:pPr>
    </w:p>
    <w:p>
      <w:pPr>
        <w:spacing w:after="0" w:line="303" w:lineRule="exact"/>
        <w:rPr>
          <w:sz w:val="24"/>
          <w:szCs w:val="24"/>
          <w:color w:val="auto"/>
        </w:rPr>
      </w:pPr>
    </w:p>
    <w:p>
      <w:pPr>
        <w:jc w:val="both"/>
        <w:ind w:right="120"/>
        <w:spacing w:after="0" w:line="248" w:lineRule="auto"/>
        <w:rPr>
          <w:sz w:val="20"/>
          <w:szCs w:val="20"/>
          <w:color w:val="auto"/>
        </w:rPr>
      </w:pPr>
      <w:r>
        <w:rPr>
          <w:rFonts w:ascii="Times New Roman" w:cs="Times New Roman" w:eastAsia="Times New Roman" w:hAnsi="Times New Roman"/>
          <w:sz w:val="22"/>
          <w:szCs w:val="22"/>
          <w:b w:val="1"/>
          <w:bCs w:val="1"/>
          <w:color w:val="auto"/>
        </w:rPr>
        <w:t>4A001 Electronic computers and related equipment, having any of the following (see List of Items Controlled), and “electronic assemblies” and “specially designed” “components” therefor.</w:t>
      </w:r>
    </w:p>
    <w:p>
      <w:pPr>
        <w:spacing w:after="0" w:line="210"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4"/>
          <w:szCs w:val="24"/>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MT, AT, NP</w:t>
      </w:r>
    </w:p>
    <w:p>
      <w:pPr>
        <w:spacing w:after="0" w:line="248" w:lineRule="exact"/>
        <w:rPr>
          <w:sz w:val="24"/>
          <w:szCs w:val="24"/>
          <w:color w:val="auto"/>
        </w:rPr>
      </w:pPr>
    </w:p>
    <w:tbl>
      <w:tblPr>
        <w:tblLayout w:type="fixed"/>
        <w:tblInd w:w="10" w:type="dxa"/>
        <w:tblCellMar>
          <w:top w:w="0" w:type="dxa"/>
          <w:left w:w="0" w:type="dxa"/>
          <w:bottom w:w="0" w:type="dxa"/>
          <w:right w:w="0" w:type="dxa"/>
        </w:tblCellMar>
      </w:tblPr>
      <w:tr>
        <w:trPr>
          <w:trHeight w:val="249"/>
        </w:trPr>
        <w:tc>
          <w:tcPr>
            <w:tcW w:w="2900" w:type="dxa"/>
            <w:vAlign w:val="bottom"/>
            <w:tcBorders>
              <w:top w:val="single" w:sz="8" w:color="auto"/>
              <w:left w:val="single" w:sz="8" w:color="auto"/>
              <w:right w:val="single" w:sz="8" w:color="auto"/>
            </w:tcBorders>
            <w:vMerge w:val="restart"/>
          </w:tcPr>
          <w:p>
            <w:pPr>
              <w:ind w:left="98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540" w:type="dxa"/>
            <w:vAlign w:val="bottom"/>
            <w:tcBorders>
              <w:top w:val="single" w:sz="8" w:color="auto"/>
              <w:right w:val="single" w:sz="8" w:color="auto"/>
            </w:tcBorders>
          </w:tcPr>
          <w:p>
            <w:pPr>
              <w:ind w:left="10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c>
          <w:tcPr>
            <w:tcW w:w="0" w:type="dxa"/>
            <w:vAlign w:val="bottom"/>
          </w:tcPr>
          <w:p>
            <w:pPr>
              <w:spacing w:after="0"/>
              <w:rPr>
                <w:sz w:val="1"/>
                <w:szCs w:val="1"/>
                <w:color w:val="auto"/>
              </w:rPr>
            </w:pPr>
          </w:p>
        </w:tc>
      </w:tr>
      <w:tr>
        <w:trPr>
          <w:trHeight w:val="162"/>
        </w:trPr>
        <w:tc>
          <w:tcPr>
            <w:tcW w:w="2900" w:type="dxa"/>
            <w:vAlign w:val="bottom"/>
            <w:tcBorders>
              <w:left w:val="single" w:sz="8" w:color="auto"/>
              <w:right w:val="single" w:sz="8" w:color="auto"/>
            </w:tcBorders>
            <w:vMerge w:val="continue"/>
          </w:tcPr>
          <w:p>
            <w:pPr>
              <w:spacing w:after="0"/>
              <w:rPr>
                <w:sz w:val="14"/>
                <w:szCs w:val="14"/>
                <w:color w:val="auto"/>
              </w:rPr>
            </w:pPr>
          </w:p>
        </w:tc>
        <w:tc>
          <w:tcPr>
            <w:tcW w:w="1540" w:type="dxa"/>
            <w:vAlign w:val="bottom"/>
            <w:tcBorders>
              <w:right w:val="single" w:sz="8" w:color="auto"/>
            </w:tcBorders>
            <w:vMerge w:val="restart"/>
          </w:tcPr>
          <w:p>
            <w:pPr>
              <w:ind w:left="100"/>
              <w:spacing w:after="0"/>
              <w:rPr>
                <w:sz w:val="20"/>
                <w:szCs w:val="20"/>
                <w:color w:val="auto"/>
              </w:rPr>
            </w:pPr>
            <w:r>
              <w:rPr>
                <w:rFonts w:ascii="Times New Roman" w:cs="Times New Roman" w:eastAsia="Times New Roman" w:hAnsi="Times New Roman"/>
                <w:sz w:val="22"/>
                <w:szCs w:val="22"/>
                <w:i w:val="1"/>
                <w:iCs w:val="1"/>
                <w:color w:val="auto"/>
              </w:rPr>
              <w:t>(See Supp. No.</w:t>
            </w:r>
          </w:p>
        </w:tc>
        <w:tc>
          <w:tcPr>
            <w:tcW w:w="0" w:type="dxa"/>
            <w:vAlign w:val="bottom"/>
          </w:tcPr>
          <w:p>
            <w:pPr>
              <w:spacing w:after="0"/>
              <w:rPr>
                <w:sz w:val="1"/>
                <w:szCs w:val="1"/>
                <w:color w:val="auto"/>
              </w:rPr>
            </w:pPr>
          </w:p>
        </w:tc>
      </w:tr>
      <w:tr>
        <w:trPr>
          <w:trHeight w:val="109"/>
        </w:trPr>
        <w:tc>
          <w:tcPr>
            <w:tcW w:w="2900" w:type="dxa"/>
            <w:vAlign w:val="bottom"/>
            <w:tcBorders>
              <w:left w:val="single" w:sz="8" w:color="auto"/>
              <w:bottom w:val="single" w:sz="8" w:color="auto"/>
              <w:right w:val="single" w:sz="8" w:color="auto"/>
            </w:tcBorders>
          </w:tcPr>
          <w:p>
            <w:pPr>
              <w:spacing w:after="0"/>
              <w:rPr>
                <w:sz w:val="9"/>
                <w:szCs w:val="9"/>
                <w:color w:val="auto"/>
              </w:rPr>
            </w:pPr>
          </w:p>
        </w:tc>
        <w:tc>
          <w:tcPr>
            <w:tcW w:w="1540" w:type="dxa"/>
            <w:vAlign w:val="bottom"/>
            <w:tcBorders>
              <w:bottom w:val="single" w:sz="8" w:color="auto"/>
              <w:right w:val="single" w:sz="8" w:color="auto"/>
            </w:tcBorders>
            <w:vMerge w:val="continue"/>
          </w:tcPr>
          <w:p>
            <w:pPr>
              <w:spacing w:after="0"/>
              <w:rPr>
                <w:sz w:val="9"/>
                <w:szCs w:val="9"/>
                <w:color w:val="auto"/>
              </w:rPr>
            </w:pPr>
          </w:p>
        </w:tc>
        <w:tc>
          <w:tcPr>
            <w:tcW w:w="0" w:type="dxa"/>
            <w:vAlign w:val="bottom"/>
          </w:tcPr>
          <w:p>
            <w:pPr>
              <w:spacing w:after="0"/>
              <w:rPr>
                <w:sz w:val="1"/>
                <w:szCs w:val="1"/>
                <w:color w:val="auto"/>
              </w:rPr>
            </w:pPr>
          </w:p>
        </w:tc>
      </w:tr>
    </w:tbl>
    <w:p>
      <w:pPr>
        <w:spacing w:after="0" w:line="20" w:lineRule="exact"/>
        <w:rPr>
          <w:sz w:val="24"/>
          <w:szCs w:val="24"/>
          <w:color w:val="auto"/>
        </w:rPr>
      </w:pPr>
      <w:r>
        <w:rPr>
          <w:sz w:val="24"/>
          <w:szCs w:val="24"/>
          <w:color w:val="auto"/>
        </w:rPr>
        <w:br w:type="column"/>
      </w:r>
    </w:p>
    <w:p>
      <w:pPr>
        <w:spacing w:after="0" w:line="184" w:lineRule="exact"/>
        <w:rPr>
          <w:sz w:val="24"/>
          <w:szCs w:val="24"/>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268"/>
        </w:trPr>
        <w:tc>
          <w:tcPr>
            <w:tcW w:w="1320" w:type="dxa"/>
            <w:vAlign w:val="bottom"/>
            <w:tcBorders>
              <w:top w:val="single" w:sz="8" w:color="auto"/>
              <w:left w:val="single" w:sz="8" w:color="auto"/>
              <w:bottom w:val="single" w:sz="8" w:color="auto"/>
            </w:tcBorders>
          </w:tcPr>
          <w:p>
            <w:pPr>
              <w:spacing w:after="0"/>
              <w:rPr>
                <w:sz w:val="23"/>
                <w:szCs w:val="23"/>
                <w:color w:val="auto"/>
              </w:rPr>
            </w:pPr>
          </w:p>
        </w:tc>
        <w:tc>
          <w:tcPr>
            <w:tcW w:w="1580" w:type="dxa"/>
            <w:vAlign w:val="bottom"/>
            <w:tcBorders>
              <w:top w:val="single" w:sz="8" w:color="auto"/>
              <w:bottom w:val="single" w:sz="8" w:color="auto"/>
              <w:right w:val="single" w:sz="8" w:color="auto"/>
            </w:tcBorders>
          </w:tcPr>
          <w:p>
            <w:pPr>
              <w:spacing w:after="0"/>
              <w:rPr>
                <w:sz w:val="23"/>
                <w:szCs w:val="23"/>
                <w:color w:val="auto"/>
              </w:rPr>
            </w:pPr>
          </w:p>
        </w:tc>
        <w:tc>
          <w:tcPr>
            <w:tcW w:w="1540" w:type="dxa"/>
            <w:vAlign w:val="bottom"/>
            <w:tcBorders>
              <w:top w:val="single" w:sz="8" w:color="auto"/>
              <w:bottom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83"/>
        </w:trPr>
        <w:tc>
          <w:tcPr>
            <w:tcW w:w="2900" w:type="dxa"/>
            <w:vAlign w:val="bottom"/>
            <w:tcBorders>
              <w:left w:val="single" w:sz="8" w:color="auto"/>
              <w:bottom w:val="single" w:sz="8" w:color="auto"/>
              <w:righ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NS applies to entire entry</w:t>
            </w:r>
          </w:p>
        </w:tc>
        <w:tc>
          <w:tcPr>
            <w:tcW w:w="1540" w:type="dxa"/>
            <w:vAlign w:val="bottom"/>
            <w:tcBorders>
              <w:bottom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NS Column 2</w:t>
            </w:r>
          </w:p>
        </w:tc>
      </w:tr>
      <w:tr>
        <w:trPr>
          <w:trHeight w:val="235"/>
        </w:trPr>
        <w:tc>
          <w:tcPr>
            <w:tcW w:w="2900" w:type="dxa"/>
            <w:vAlign w:val="bottom"/>
            <w:tcBorders>
              <w:left w:val="single" w:sz="8" w:color="auto"/>
              <w:right w:val="single" w:sz="8" w:color="auto"/>
            </w:tcBorders>
            <w:gridSpan w:val="2"/>
          </w:tcPr>
          <w:p>
            <w:pPr>
              <w:ind w:left="100"/>
              <w:spacing w:after="0" w:line="235" w:lineRule="exact"/>
              <w:rPr>
                <w:sz w:val="20"/>
                <w:szCs w:val="20"/>
                <w:color w:val="auto"/>
              </w:rPr>
            </w:pPr>
            <w:r>
              <w:rPr>
                <w:rFonts w:ascii="Times New Roman" w:cs="Times New Roman" w:eastAsia="Times New Roman" w:hAnsi="Times New Roman"/>
                <w:sz w:val="22"/>
                <w:szCs w:val="22"/>
                <w:color w:val="auto"/>
              </w:rPr>
              <w:t>MT  applies  to  items  in</w:t>
            </w:r>
          </w:p>
        </w:tc>
        <w:tc>
          <w:tcPr>
            <w:tcW w:w="1540" w:type="dxa"/>
            <w:vAlign w:val="bottom"/>
            <w:tcBorders>
              <w:right w:val="single" w:sz="8" w:color="auto"/>
            </w:tcBorders>
          </w:tcPr>
          <w:p>
            <w:pPr>
              <w:ind w:left="80"/>
              <w:spacing w:after="0" w:line="235" w:lineRule="exact"/>
              <w:rPr>
                <w:sz w:val="20"/>
                <w:szCs w:val="20"/>
                <w:color w:val="auto"/>
              </w:rPr>
            </w:pPr>
            <w:r>
              <w:rPr>
                <w:rFonts w:ascii="Times New Roman" w:cs="Times New Roman" w:eastAsia="Times New Roman" w:hAnsi="Times New Roman"/>
                <w:sz w:val="22"/>
                <w:szCs w:val="22"/>
                <w:color w:val="auto"/>
              </w:rPr>
              <w:t>MT Column 1</w:t>
            </w:r>
          </w:p>
        </w:tc>
      </w:tr>
      <w:tr>
        <w:trPr>
          <w:trHeight w:val="252"/>
        </w:trPr>
        <w:tc>
          <w:tcPr>
            <w:tcW w:w="2900" w:type="dxa"/>
            <w:vAlign w:val="bottom"/>
            <w:tcBorders>
              <w:left w:val="single" w:sz="8" w:color="auto"/>
              <w:righ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4A001.a when the parameters</w:t>
            </w:r>
          </w:p>
        </w:tc>
        <w:tc>
          <w:tcPr>
            <w:tcW w:w="1540" w:type="dxa"/>
            <w:vAlign w:val="bottom"/>
            <w:tcBorders>
              <w:right w:val="single" w:sz="8" w:color="auto"/>
            </w:tcBorders>
          </w:tcPr>
          <w:p>
            <w:pPr>
              <w:spacing w:after="0"/>
              <w:rPr>
                <w:sz w:val="21"/>
                <w:szCs w:val="21"/>
                <w:color w:val="auto"/>
              </w:rPr>
            </w:pPr>
          </w:p>
        </w:tc>
      </w:tr>
      <w:tr>
        <w:trPr>
          <w:trHeight w:val="295"/>
        </w:trPr>
        <w:tc>
          <w:tcPr>
            <w:tcW w:w="2900" w:type="dxa"/>
            <w:vAlign w:val="bottom"/>
            <w:tcBorders>
              <w:left w:val="single" w:sz="8" w:color="auto"/>
              <w:bottom w:val="single" w:sz="8" w:color="auto"/>
              <w:righ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in 4A101 are met or exceeded</w:t>
            </w:r>
          </w:p>
        </w:tc>
        <w:tc>
          <w:tcPr>
            <w:tcW w:w="1540" w:type="dxa"/>
            <w:vAlign w:val="bottom"/>
            <w:tcBorders>
              <w:bottom w:val="single" w:sz="8" w:color="auto"/>
              <w:right w:val="single" w:sz="8" w:color="auto"/>
            </w:tcBorders>
          </w:tcPr>
          <w:p>
            <w:pPr>
              <w:spacing w:after="0"/>
              <w:rPr>
                <w:sz w:val="24"/>
                <w:szCs w:val="24"/>
                <w:color w:val="auto"/>
              </w:rPr>
            </w:pPr>
          </w:p>
        </w:tc>
      </w:tr>
      <w:tr>
        <w:trPr>
          <w:trHeight w:val="254"/>
        </w:trPr>
        <w:tc>
          <w:tcPr>
            <w:tcW w:w="2900" w:type="dxa"/>
            <w:vAlign w:val="bottom"/>
            <w:tcBorders>
              <w:left w:val="single" w:sz="8" w:color="auto"/>
              <w:bottom w:val="single" w:sz="8" w:color="auto"/>
              <w:righ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AT applies to entire entry</w:t>
            </w:r>
          </w:p>
        </w:tc>
        <w:tc>
          <w:tcPr>
            <w:tcW w:w="1540" w:type="dxa"/>
            <w:vAlign w:val="bottom"/>
            <w:tcBorders>
              <w:bottom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AT Column 1</w:t>
            </w:r>
          </w:p>
        </w:tc>
      </w:tr>
      <w:tr>
        <w:trPr>
          <w:trHeight w:val="227"/>
        </w:trPr>
        <w:tc>
          <w:tcPr>
            <w:tcW w:w="2900" w:type="dxa"/>
            <w:vAlign w:val="bottom"/>
            <w:tcBorders>
              <w:left w:val="single" w:sz="8" w:color="auto"/>
              <w:right w:val="single" w:sz="8" w:color="auto"/>
            </w:tcBorders>
            <w:gridSpan w:val="2"/>
          </w:tcPr>
          <w:p>
            <w:pPr>
              <w:ind w:left="100"/>
              <w:spacing w:after="0" w:line="227" w:lineRule="exact"/>
              <w:rPr>
                <w:sz w:val="20"/>
                <w:szCs w:val="20"/>
                <w:color w:val="auto"/>
              </w:rPr>
            </w:pPr>
            <w:r>
              <w:rPr>
                <w:rFonts w:ascii="Times New Roman" w:cs="Times New Roman" w:eastAsia="Times New Roman" w:hAnsi="Times New Roman"/>
                <w:sz w:val="22"/>
                <w:szCs w:val="22"/>
                <w:color w:val="auto"/>
              </w:rPr>
              <w:t>NP applies, unless a License</w:t>
            </w:r>
          </w:p>
        </w:tc>
        <w:tc>
          <w:tcPr>
            <w:tcW w:w="1540" w:type="dxa"/>
            <w:vAlign w:val="bottom"/>
            <w:tcBorders>
              <w:right w:val="single" w:sz="8" w:color="auto"/>
            </w:tcBorders>
          </w:tcPr>
          <w:p>
            <w:pPr>
              <w:ind w:left="80"/>
              <w:spacing w:after="0" w:line="227" w:lineRule="exact"/>
              <w:rPr>
                <w:sz w:val="20"/>
                <w:szCs w:val="20"/>
                <w:color w:val="auto"/>
              </w:rPr>
            </w:pPr>
            <w:r>
              <w:rPr>
                <w:rFonts w:ascii="Times New Roman" w:cs="Times New Roman" w:eastAsia="Times New Roman" w:hAnsi="Times New Roman"/>
                <w:sz w:val="22"/>
                <w:szCs w:val="22"/>
                <w:color w:val="auto"/>
              </w:rPr>
              <w:t>N/A</w:t>
            </w:r>
          </w:p>
        </w:tc>
      </w:tr>
      <w:tr>
        <w:trPr>
          <w:trHeight w:val="252"/>
        </w:trPr>
        <w:tc>
          <w:tcPr>
            <w:tcW w:w="1320" w:type="dxa"/>
            <w:vAlign w:val="bottom"/>
            <w:tcBorders>
              <w:lef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Exception is</w:t>
            </w:r>
          </w:p>
        </w:tc>
        <w:tc>
          <w:tcPr>
            <w:tcW w:w="158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available.  See</w:t>
            </w:r>
          </w:p>
        </w:tc>
        <w:tc>
          <w:tcPr>
            <w:tcW w:w="1540" w:type="dxa"/>
            <w:vAlign w:val="bottom"/>
            <w:tcBorders>
              <w:right w:val="single" w:sz="8" w:color="auto"/>
            </w:tcBorders>
          </w:tcPr>
          <w:p>
            <w:pPr>
              <w:spacing w:after="0"/>
              <w:rPr>
                <w:sz w:val="21"/>
                <w:szCs w:val="21"/>
                <w:color w:val="auto"/>
              </w:rPr>
            </w:pPr>
          </w:p>
        </w:tc>
      </w:tr>
      <w:tr>
        <w:trPr>
          <w:trHeight w:val="253"/>
        </w:trPr>
        <w:tc>
          <w:tcPr>
            <w:tcW w:w="2900" w:type="dxa"/>
            <w:vAlign w:val="bottom"/>
            <w:tcBorders>
              <w:left w:val="single" w:sz="8" w:color="auto"/>
              <w:righ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§742.3(b)  of  the  EAR  for</w:t>
            </w:r>
          </w:p>
        </w:tc>
        <w:tc>
          <w:tcPr>
            <w:tcW w:w="1540" w:type="dxa"/>
            <w:vAlign w:val="bottom"/>
            <w:tcBorders>
              <w:right w:val="single" w:sz="8" w:color="auto"/>
            </w:tcBorders>
          </w:tcPr>
          <w:p>
            <w:pPr>
              <w:spacing w:after="0"/>
              <w:rPr>
                <w:sz w:val="22"/>
                <w:szCs w:val="22"/>
                <w:color w:val="auto"/>
              </w:rPr>
            </w:pPr>
          </w:p>
        </w:tc>
      </w:tr>
      <w:tr>
        <w:trPr>
          <w:trHeight w:val="253"/>
        </w:trPr>
        <w:tc>
          <w:tcPr>
            <w:tcW w:w="1320" w:type="dxa"/>
            <w:vAlign w:val="bottom"/>
            <w:tcBorders>
              <w:lef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information</w:t>
            </w:r>
          </w:p>
        </w:tc>
        <w:tc>
          <w:tcPr>
            <w:tcW w:w="158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on   applicable</w:t>
            </w:r>
          </w:p>
        </w:tc>
        <w:tc>
          <w:tcPr>
            <w:tcW w:w="1540" w:type="dxa"/>
            <w:vAlign w:val="bottom"/>
            <w:tcBorders>
              <w:right w:val="single" w:sz="8" w:color="auto"/>
            </w:tcBorders>
          </w:tcPr>
          <w:p>
            <w:pPr>
              <w:spacing w:after="0"/>
              <w:rPr>
                <w:sz w:val="22"/>
                <w:szCs w:val="22"/>
                <w:color w:val="auto"/>
              </w:rPr>
            </w:pPr>
          </w:p>
        </w:tc>
      </w:tr>
      <w:tr>
        <w:trPr>
          <w:trHeight w:val="269"/>
        </w:trPr>
        <w:tc>
          <w:tcPr>
            <w:tcW w:w="2900" w:type="dxa"/>
            <w:vAlign w:val="bottom"/>
            <w:tcBorders>
              <w:left w:val="single" w:sz="8" w:color="auto"/>
              <w:bottom w:val="single" w:sz="8" w:color="auto"/>
              <w:righ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licensing review policies.</w:t>
            </w:r>
          </w:p>
        </w:tc>
        <w:tc>
          <w:tcPr>
            <w:tcW w:w="1540" w:type="dxa"/>
            <w:vAlign w:val="bottom"/>
            <w:tcBorders>
              <w:bottom w:val="single" w:sz="8" w:color="auto"/>
              <w:right w:val="single" w:sz="8" w:color="auto"/>
            </w:tcBorders>
          </w:tcPr>
          <w:p>
            <w:pPr>
              <w:spacing w:after="0"/>
              <w:rPr>
                <w:sz w:val="23"/>
                <w:szCs w:val="23"/>
                <w:color w:val="auto"/>
              </w:rPr>
            </w:pPr>
          </w:p>
        </w:tc>
      </w:tr>
    </w:tbl>
    <w:p>
      <w:pPr>
        <w:spacing w:after="0" w:line="232"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R</w:t>
      </w:r>
      <w:r>
        <w:rPr>
          <w:rFonts w:ascii="Times New Roman" w:cs="Times New Roman" w:eastAsia="Times New Roman" w:hAnsi="Times New Roman"/>
          <w:sz w:val="24"/>
          <w:szCs w:val="24"/>
          <w:b w:val="1"/>
          <w:bCs w:val="1"/>
          <w:color w:val="auto"/>
        </w:rPr>
        <w:t>eporting</w:t>
      </w:r>
      <w:r>
        <w:rPr>
          <w:rFonts w:ascii="Times New Roman" w:cs="Times New Roman" w:eastAsia="Times New Roman" w:hAnsi="Times New Roman"/>
          <w:sz w:val="22"/>
          <w:szCs w:val="22"/>
          <w:b w:val="1"/>
          <w:bCs w:val="1"/>
          <w:color w:val="auto"/>
        </w:rPr>
        <w:t xml:space="preserve"> R</w:t>
      </w:r>
      <w:r>
        <w:rPr>
          <w:rFonts w:ascii="Times New Roman" w:cs="Times New Roman" w:eastAsia="Times New Roman" w:hAnsi="Times New Roman"/>
          <w:sz w:val="24"/>
          <w:szCs w:val="24"/>
          <w:b w:val="1"/>
          <w:bCs w:val="1"/>
          <w:color w:val="auto"/>
        </w:rPr>
        <w:t>equirements</w:t>
      </w:r>
    </w:p>
    <w:p>
      <w:pPr>
        <w:spacing w:after="0" w:line="282" w:lineRule="exact"/>
        <w:rPr>
          <w:sz w:val="24"/>
          <w:szCs w:val="24"/>
          <w:color w:val="auto"/>
        </w:rPr>
      </w:pPr>
    </w:p>
    <w:p>
      <w:pPr>
        <w:jc w:val="both"/>
        <w:ind w:left="360" w:right="120"/>
        <w:spacing w:after="0" w:line="250"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07" w:lineRule="exact"/>
        <w:rPr>
          <w:sz w:val="24"/>
          <w:szCs w:val="24"/>
          <w:color w:val="auto"/>
        </w:rPr>
      </w:pPr>
    </w:p>
    <w:p>
      <w:pPr>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5" w:lineRule="exact"/>
        <w:rPr>
          <w:sz w:val="24"/>
          <w:szCs w:val="24"/>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LVS:</w:t>
        <w:tab/>
        <w:t>$5000 for 4A001.a; N/A for MT.</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GBS: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CIV:</w:t>
        <w:tab/>
        <w:t>N/A</w:t>
      </w:r>
    </w:p>
    <w:p>
      <w:pPr>
        <w:spacing w:after="0" w:line="251"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5" w:lineRule="exact"/>
        <w:rPr>
          <w:sz w:val="24"/>
          <w:szCs w:val="24"/>
          <w:color w:val="auto"/>
        </w:rPr>
      </w:pPr>
    </w:p>
    <w:p>
      <w:pPr>
        <w:jc w:val="both"/>
        <w:ind w:left="1080" w:right="120" w:hanging="719"/>
        <w:spacing w:after="0" w:line="246" w:lineRule="auto"/>
        <w:tabs>
          <w:tab w:leader="none" w:pos="1060" w:val="left"/>
        </w:tabs>
        <w:rPr>
          <w:sz w:val="20"/>
          <w:szCs w:val="20"/>
          <w:color w:val="auto"/>
        </w:rPr>
      </w:pPr>
      <w:r>
        <w:rPr>
          <w:rFonts w:ascii="Times New Roman" w:cs="Times New Roman" w:eastAsia="Times New Roman" w:hAnsi="Times New Roman"/>
          <w:sz w:val="22"/>
          <w:szCs w:val="22"/>
          <w:color w:val="auto"/>
        </w:rPr>
        <w:t>STA:</w:t>
        <w:tab/>
        <w:t>License Exception STA may not be used to ship any commodity in 4A001.a.2 to any of the destinations listed in Country Group A:6 (See Supplement No.1 to part 740 of the EAR).</w:t>
      </w:r>
    </w:p>
    <w:p>
      <w:pPr>
        <w:spacing w:after="0" w:line="213"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4"/>
          <w:szCs w:val="24"/>
          <w:color w:val="auto"/>
        </w:rPr>
      </w:pPr>
    </w:p>
    <w:p>
      <w:pPr>
        <w:jc w:val="both"/>
        <w:ind w:left="460" w:right="120" w:hanging="89"/>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 xml:space="preserve"> </w:t>
      </w:r>
      <w:r>
        <w:rPr>
          <w:rFonts w:ascii="Times New Roman" w:cs="Times New Roman" w:eastAsia="Times New Roman" w:hAnsi="Times New Roman"/>
          <w:sz w:val="22"/>
          <w:szCs w:val="22"/>
          <w:color w:val="auto"/>
        </w:rPr>
        <w:t xml:space="preserve">See also </w:t>
      </w:r>
      <w:r>
        <w:rPr>
          <w:rFonts w:ascii="Times New Roman" w:cs="Times New Roman" w:eastAsia="Times New Roman" w:hAnsi="Times New Roman"/>
          <w:sz w:val="22"/>
          <w:szCs w:val="22"/>
          <w:u w:val="single" w:color="auto"/>
          <w:color w:val="0000FF"/>
        </w:rPr>
        <w:t>4A101</w:t>
      </w:r>
      <w:r>
        <w:rPr>
          <w:rFonts w:ascii="Times New Roman" w:cs="Times New Roman" w:eastAsia="Times New Roman" w:hAnsi="Times New Roman"/>
          <w:sz w:val="22"/>
          <w:szCs w:val="22"/>
          <w:color w:val="auto"/>
        </w:rPr>
        <w:t xml:space="preserve"> and </w:t>
      </w:r>
      <w:r>
        <w:rPr>
          <w:rFonts w:ascii="Times New Roman" w:cs="Times New Roman" w:eastAsia="Times New Roman" w:hAnsi="Times New Roman"/>
          <w:sz w:val="22"/>
          <w:szCs w:val="22"/>
          <w:u w:val="single" w:color="auto"/>
          <w:color w:val="0000FF"/>
        </w:rPr>
        <w:t>4A994</w:t>
      </w:r>
      <w:r>
        <w:rPr>
          <w:rFonts w:ascii="Times New Roman" w:cs="Times New Roman" w:eastAsia="Times New Roman" w:hAnsi="Times New Roman"/>
          <w:sz w:val="22"/>
          <w:szCs w:val="22"/>
          <w:color w:val="000000"/>
        </w:rPr>
        <w:t>. Equipment designed or rated for</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transient ionizing radiation is “subject to the ITAR” (see 22 CFR parts 120 through 130).</w:t>
      </w:r>
    </w:p>
    <w:p>
      <w:pPr>
        <w:spacing w:after="0" w:line="257" w:lineRule="exact"/>
        <w:rPr>
          <w:sz w:val="24"/>
          <w:szCs w:val="24"/>
          <w:color w:val="auto"/>
        </w:rPr>
      </w:pPr>
    </w:p>
    <w:p>
      <w:pPr>
        <w:jc w:val="both"/>
        <w:ind w:left="540" w:right="120" w:hanging="179"/>
        <w:spacing w:after="0" w:line="199"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For the purposes of</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integrated circuits in 4A001.a.2, 5 x 10</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Gy(Si) = 5 x 10</w:t>
      </w:r>
      <w:r>
        <w:rPr>
          <w:rFonts w:ascii="Times New Roman" w:cs="Times New Roman" w:eastAsia="Times New Roman" w:hAnsi="Times New Roman"/>
          <w:sz w:val="28"/>
          <w:szCs w:val="28"/>
          <w:color w:val="auto"/>
          <w:vertAlign w:val="superscript"/>
        </w:rPr>
        <w:t>5</w:t>
      </w:r>
      <w:r>
        <w:rPr>
          <w:rFonts w:ascii="Times New Roman" w:cs="Times New Roman" w:eastAsia="Times New Roman" w:hAnsi="Times New Roman"/>
          <w:sz w:val="22"/>
          <w:szCs w:val="22"/>
          <w:color w:val="auto"/>
        </w:rPr>
        <w:t xml:space="preserve"> Rads (Si); 5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Gy (Si)/s = 5 x 10</w:t>
      </w:r>
      <w:r>
        <w:rPr>
          <w:rFonts w:ascii="Times New Roman" w:cs="Times New Roman" w:eastAsia="Times New Roman" w:hAnsi="Times New Roman"/>
          <w:sz w:val="28"/>
          <w:szCs w:val="28"/>
          <w:color w:val="auto"/>
          <w:vertAlign w:val="superscript"/>
        </w:rPr>
        <w:t>8</w:t>
      </w:r>
      <w:r>
        <w:rPr>
          <w:rFonts w:ascii="Times New Roman" w:cs="Times New Roman" w:eastAsia="Times New Roman" w:hAnsi="Times New Roman"/>
          <w:sz w:val="22"/>
          <w:szCs w:val="22"/>
          <w:color w:val="auto"/>
        </w:rPr>
        <w:t xml:space="preserve"> Rads (Si)/s.</w:t>
      </w:r>
    </w:p>
    <w:p>
      <w:pPr>
        <w:spacing w:after="0" w:line="1"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0" w:lineRule="exact"/>
        <w:rPr>
          <w:sz w:val="24"/>
          <w:szCs w:val="24"/>
          <w:color w:val="auto"/>
        </w:rPr>
      </w:pPr>
    </w:p>
    <w:p>
      <w:pPr>
        <w:sectPr>
          <w:pgSz w:w="12240" w:h="15840" w:orient="portrait"/>
          <w:cols w:equalWidth="0" w:num="2">
            <w:col w:w="4440" w:space="600"/>
            <w:col w:w="4440"/>
          </w:cols>
          <w:pgMar w:left="1440" w:top="1422" w:right="1320" w:bottom="892" w:gutter="0" w:footer="0" w:header="0"/>
          <w:type w:val="continuous"/>
        </w:sectPr>
      </w:pPr>
    </w:p>
    <w:p>
      <w:pPr>
        <w:spacing w:after="0" w:line="54" w:lineRule="exact"/>
        <w:rPr>
          <w:sz w:val="24"/>
          <w:szCs w:val="24"/>
          <w:color w:val="auto"/>
        </w:rPr>
      </w:pPr>
    </w:p>
    <w:p>
      <w:pPr>
        <w:spacing w:after="0"/>
        <w:tabs>
          <w:tab w:leader="none" w:pos="342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480"/>
          </w:cols>
          <w:pgMar w:left="1440" w:top="1422" w:right="1320" w:bottom="892" w:gutter="0" w:footer="0" w:header="0"/>
          <w:type w:val="continuous"/>
        </w:sectPr>
      </w:pPr>
    </w:p>
    <w:bookmarkStart w:id="1" w:name="page2"/>
    <w:bookmarkEnd w:id="1"/>
    <w:p>
      <w:pPr>
        <w:spacing w:after="0"/>
        <w:tabs>
          <w:tab w:leader="none" w:pos="3580" w:val="left"/>
          <w:tab w:leader="none" w:pos="77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4—page 2</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67" w:lineRule="exact"/>
        <w:rPr>
          <w:sz w:val="20"/>
          <w:szCs w:val="20"/>
          <w:color w:val="auto"/>
        </w:rPr>
      </w:pPr>
    </w:p>
    <w:p>
      <w:pPr>
        <w:jc w:val="both"/>
        <w:ind w:right="200"/>
        <w:spacing w:after="0" w:line="271" w:lineRule="auto"/>
        <w:rPr>
          <w:sz w:val="20"/>
          <w:szCs w:val="20"/>
          <w:color w:val="auto"/>
        </w:rPr>
      </w:pPr>
      <w:r>
        <w:rPr>
          <w:rFonts w:ascii="Times New Roman" w:cs="Times New Roman" w:eastAsia="Times New Roman" w:hAnsi="Times New Roman"/>
          <w:sz w:val="22"/>
          <w:szCs w:val="22"/>
          <w:color w:val="auto"/>
        </w:rPr>
        <w:t>a. “Specially designed” to have any of the following:</w:t>
      </w:r>
    </w:p>
    <w:p>
      <w:pPr>
        <w:spacing w:after="0" w:line="187" w:lineRule="exact"/>
        <w:rPr>
          <w:sz w:val="20"/>
          <w:szCs w:val="20"/>
          <w:color w:val="auto"/>
        </w:rPr>
      </w:pPr>
    </w:p>
    <w:p>
      <w:pPr>
        <w:jc w:val="both"/>
        <w:ind w:right="200" w:firstLine="360"/>
        <w:spacing w:after="0" w:line="255" w:lineRule="auto"/>
        <w:rPr>
          <w:sz w:val="20"/>
          <w:szCs w:val="20"/>
          <w:color w:val="auto"/>
        </w:rPr>
      </w:pPr>
      <w:r>
        <w:rPr>
          <w:rFonts w:ascii="Times New Roman" w:cs="Times New Roman" w:eastAsia="Times New Roman" w:hAnsi="Times New Roman"/>
          <w:sz w:val="22"/>
          <w:szCs w:val="22"/>
          <w:color w:val="auto"/>
        </w:rPr>
        <w:t>a.1. Rated for operation at an ambient temperature below 228 K (-45˚C) or above 358 K (85˚C); or</w:t>
      </w:r>
    </w:p>
    <w:p>
      <w:pPr>
        <w:spacing w:after="0" w:line="202" w:lineRule="exact"/>
        <w:rPr>
          <w:sz w:val="20"/>
          <w:szCs w:val="20"/>
          <w:color w:val="auto"/>
        </w:rPr>
      </w:pPr>
    </w:p>
    <w:p>
      <w:pPr>
        <w:jc w:val="both"/>
        <w:ind w:right="200"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4A001.a.1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computers “specially designed” for civil automobile, railway train or “civil aircraft” applications.</w:t>
      </w:r>
    </w:p>
    <w:p>
      <w:pPr>
        <w:spacing w:after="0" w:line="207" w:lineRule="exact"/>
        <w:rPr>
          <w:sz w:val="20"/>
          <w:szCs w:val="20"/>
          <w:color w:val="auto"/>
        </w:rPr>
      </w:pPr>
    </w:p>
    <w:p>
      <w:pPr>
        <w:jc w:val="both"/>
        <w:ind w:right="200" w:firstLine="360"/>
        <w:spacing w:after="0" w:line="270" w:lineRule="auto"/>
        <w:rPr>
          <w:sz w:val="20"/>
          <w:szCs w:val="20"/>
          <w:color w:val="auto"/>
        </w:rPr>
      </w:pPr>
      <w:r>
        <w:rPr>
          <w:rFonts w:ascii="Times New Roman" w:cs="Times New Roman" w:eastAsia="Times New Roman" w:hAnsi="Times New Roman"/>
          <w:sz w:val="22"/>
          <w:szCs w:val="22"/>
          <w:color w:val="auto"/>
        </w:rPr>
        <w:t>a.2. Radiation hardened to exceed any of the following specifications:</w:t>
      </w:r>
    </w:p>
    <w:p>
      <w:pPr>
        <w:spacing w:after="0" w:line="178"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a.2.a. A total dose of 5 x 10</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Gy (Si);</w:t>
      </w:r>
    </w:p>
    <w:p>
      <w:pPr>
        <w:spacing w:after="0" w:line="184" w:lineRule="exact"/>
        <w:rPr>
          <w:sz w:val="20"/>
          <w:szCs w:val="20"/>
          <w:color w:val="auto"/>
        </w:rPr>
      </w:pPr>
    </w:p>
    <w:p>
      <w:pPr>
        <w:jc w:val="both"/>
        <w:ind w:right="200" w:firstLine="720"/>
        <w:spacing w:after="0" w:line="228" w:lineRule="auto"/>
        <w:rPr>
          <w:sz w:val="20"/>
          <w:szCs w:val="20"/>
          <w:color w:val="auto"/>
        </w:rPr>
      </w:pPr>
      <w:r>
        <w:rPr>
          <w:rFonts w:ascii="Times New Roman" w:cs="Times New Roman" w:eastAsia="Times New Roman" w:hAnsi="Times New Roman"/>
          <w:sz w:val="22"/>
          <w:szCs w:val="22"/>
          <w:color w:val="auto"/>
        </w:rPr>
        <w:t>a.2.b. A dose rate upset of 5 x 10</w:t>
      </w:r>
      <w:r>
        <w:rPr>
          <w:rFonts w:ascii="Times New Roman" w:cs="Times New Roman" w:eastAsia="Times New Roman" w:hAnsi="Times New Roman"/>
          <w:sz w:val="28"/>
          <w:szCs w:val="28"/>
          <w:color w:val="auto"/>
          <w:vertAlign w:val="superscript"/>
        </w:rPr>
        <w:t>6</w:t>
      </w:r>
      <w:r>
        <w:rPr>
          <w:rFonts w:ascii="Times New Roman" w:cs="Times New Roman" w:eastAsia="Times New Roman" w:hAnsi="Times New Roman"/>
          <w:sz w:val="22"/>
          <w:szCs w:val="22"/>
          <w:color w:val="auto"/>
        </w:rPr>
        <w:t xml:space="preserve"> Gy (Si)/s; </w:t>
      </w:r>
      <w:r>
        <w:rPr>
          <w:rFonts w:ascii="Times New Roman" w:cs="Times New Roman" w:eastAsia="Times New Roman" w:hAnsi="Times New Roman"/>
          <w:sz w:val="22"/>
          <w:szCs w:val="22"/>
          <w:i w:val="1"/>
          <w:iCs w:val="1"/>
          <w:color w:val="auto"/>
        </w:rPr>
        <w:t>or</w:t>
      </w:r>
    </w:p>
    <w:p>
      <w:pPr>
        <w:spacing w:after="0" w:line="212" w:lineRule="exact"/>
        <w:rPr>
          <w:sz w:val="20"/>
          <w:szCs w:val="20"/>
          <w:color w:val="auto"/>
        </w:rPr>
      </w:pPr>
    </w:p>
    <w:p>
      <w:pPr>
        <w:jc w:val="both"/>
        <w:ind w:right="200" w:firstLine="720"/>
        <w:spacing w:after="0" w:line="229" w:lineRule="auto"/>
        <w:rPr>
          <w:sz w:val="20"/>
          <w:szCs w:val="20"/>
          <w:color w:val="auto"/>
        </w:rPr>
      </w:pPr>
      <w:r>
        <w:rPr>
          <w:rFonts w:ascii="Times New Roman" w:cs="Times New Roman" w:eastAsia="Times New Roman" w:hAnsi="Times New Roman"/>
          <w:sz w:val="22"/>
          <w:szCs w:val="22"/>
          <w:color w:val="auto"/>
        </w:rPr>
        <w:t>a.2.c. Single Event Upset of 1 x 10</w:t>
      </w:r>
      <w:r>
        <w:rPr>
          <w:rFonts w:ascii="Times New Roman" w:cs="Times New Roman" w:eastAsia="Times New Roman" w:hAnsi="Times New Roman"/>
          <w:sz w:val="28"/>
          <w:szCs w:val="28"/>
          <w:color w:val="auto"/>
          <w:vertAlign w:val="superscript"/>
        </w:rPr>
        <w:t>-8</w:t>
      </w:r>
      <w:r>
        <w:rPr>
          <w:rFonts w:ascii="Times New Roman" w:cs="Times New Roman" w:eastAsia="Times New Roman" w:hAnsi="Times New Roman"/>
          <w:sz w:val="22"/>
          <w:szCs w:val="22"/>
          <w:color w:val="auto"/>
        </w:rPr>
        <w:t xml:space="preserve"> Error/bit/day;</w:t>
      </w:r>
    </w:p>
    <w:p>
      <w:pPr>
        <w:spacing w:after="0" w:line="217" w:lineRule="exact"/>
        <w:rPr>
          <w:sz w:val="20"/>
          <w:szCs w:val="20"/>
          <w:color w:val="auto"/>
        </w:rPr>
      </w:pPr>
    </w:p>
    <w:p>
      <w:pPr>
        <w:jc w:val="both"/>
        <w:ind w:right="200"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4A001.a.2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computers “specially designed” for “civil aircraft” applications.</w:t>
      </w:r>
    </w:p>
    <w:p>
      <w:pPr>
        <w:spacing w:after="0" w:line="20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[Reserved]</w:t>
      </w:r>
    </w:p>
    <w:p>
      <w:pPr>
        <w:spacing w:after="0" w:line="200" w:lineRule="exact"/>
        <w:rPr>
          <w:sz w:val="20"/>
          <w:szCs w:val="20"/>
          <w:color w:val="auto"/>
        </w:rPr>
      </w:pPr>
    </w:p>
    <w:p>
      <w:pPr>
        <w:spacing w:after="0" w:line="303" w:lineRule="exact"/>
        <w:rPr>
          <w:sz w:val="20"/>
          <w:szCs w:val="20"/>
          <w:color w:val="auto"/>
        </w:rPr>
      </w:pPr>
    </w:p>
    <w:p>
      <w:pPr>
        <w:jc w:val="both"/>
        <w:ind w:right="200"/>
        <w:spacing w:after="0" w:line="251" w:lineRule="auto"/>
        <w:rPr>
          <w:sz w:val="20"/>
          <w:szCs w:val="20"/>
          <w:color w:val="auto"/>
        </w:rPr>
      </w:pPr>
      <w:r>
        <w:rPr>
          <w:rFonts w:ascii="Times New Roman" w:cs="Times New Roman" w:eastAsia="Times New Roman" w:hAnsi="Times New Roman"/>
          <w:sz w:val="22"/>
          <w:szCs w:val="22"/>
          <w:b w:val="1"/>
          <w:bCs w:val="1"/>
          <w:color w:val="auto"/>
        </w:rPr>
        <w:t>4A003 “Digital computers”, “electronic assemblies”, and related equipment therefor, as follows (see List of Items Controlled) and “specially designed” “components” therefor.</w:t>
      </w:r>
    </w:p>
    <w:p>
      <w:pPr>
        <w:spacing w:after="0" w:line="20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Reason for Control</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color w:val="auto"/>
        </w:rPr>
        <w:t>NS, CC, AT</w:t>
      </w:r>
    </w:p>
    <w:p>
      <w:pPr>
        <w:spacing w:after="0" w:line="250"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720" w:type="dxa"/>
            <w:vAlign w:val="bottom"/>
            <w:tcBorders>
              <w:top w:val="single" w:sz="8" w:color="auto"/>
              <w:left w:val="single" w:sz="8" w:color="auto"/>
              <w:right w:val="single" w:sz="8" w:color="auto"/>
            </w:tcBorders>
          </w:tcPr>
          <w:p>
            <w:pPr>
              <w:spacing w:after="0"/>
              <w:rPr>
                <w:sz w:val="21"/>
                <w:szCs w:val="21"/>
                <w:color w:val="auto"/>
              </w:rPr>
            </w:pPr>
          </w:p>
        </w:tc>
        <w:tc>
          <w:tcPr>
            <w:tcW w:w="1800" w:type="dxa"/>
            <w:vAlign w:val="bottom"/>
            <w:tcBorders>
              <w:top w:val="single" w:sz="8" w:color="auto"/>
              <w:right w:val="single" w:sz="8" w:color="auto"/>
            </w:tcBorders>
          </w:tcPr>
          <w:p>
            <w:pPr>
              <w:ind w:left="2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ind w:left="4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720" w:type="dxa"/>
            <w:vAlign w:val="bottom"/>
            <w:tcBorders>
              <w:left w:val="single" w:sz="8" w:color="auto"/>
              <w:bottom w:val="single" w:sz="8" w:color="auto"/>
              <w:right w:val="single" w:sz="8" w:color="auto"/>
            </w:tcBorders>
          </w:tcPr>
          <w:p>
            <w:pPr>
              <w:spacing w:after="0"/>
              <w:rPr>
                <w:sz w:val="23"/>
                <w:szCs w:val="23"/>
                <w:color w:val="auto"/>
              </w:rPr>
            </w:pPr>
          </w:p>
        </w:tc>
        <w:tc>
          <w:tcPr>
            <w:tcW w:w="1800" w:type="dxa"/>
            <w:vAlign w:val="bottom"/>
            <w:tcBorders>
              <w:bottom w:val="single" w:sz="8" w:color="auto"/>
              <w:right w:val="single" w:sz="8" w:color="auto"/>
            </w:tcBorders>
          </w:tcPr>
          <w:p>
            <w:pPr>
              <w:ind w:left="6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3"/>
        </w:trPr>
        <w:tc>
          <w:tcPr>
            <w:tcW w:w="272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NS applies to 4A003.b and .c</w:t>
            </w:r>
          </w:p>
        </w:tc>
        <w:tc>
          <w:tcPr>
            <w:tcW w:w="18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NS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NS applies to 4A003.e and .g</w:t>
            </w:r>
          </w:p>
        </w:tc>
        <w:tc>
          <w:tcPr>
            <w:tcW w:w="18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27"/>
        </w:trPr>
        <w:tc>
          <w:tcPr>
            <w:tcW w:w="2720" w:type="dxa"/>
            <w:vAlign w:val="bottom"/>
            <w:tcBorders>
              <w:left w:val="single" w:sz="8" w:color="auto"/>
              <w:right w:val="single" w:sz="8" w:color="auto"/>
            </w:tcBorders>
          </w:tcPr>
          <w:p>
            <w:pPr>
              <w:ind w:left="20"/>
              <w:spacing w:after="0" w:line="227" w:lineRule="exact"/>
              <w:rPr>
                <w:sz w:val="20"/>
                <w:szCs w:val="20"/>
                <w:color w:val="auto"/>
              </w:rPr>
            </w:pPr>
            <w:r>
              <w:rPr>
                <w:rFonts w:ascii="Times New Roman" w:cs="Times New Roman" w:eastAsia="Times New Roman" w:hAnsi="Times New Roman"/>
                <w:sz w:val="22"/>
                <w:szCs w:val="22"/>
                <w:color w:val="auto"/>
              </w:rPr>
              <w:t>CC   applies   to   “digital</w:t>
            </w:r>
          </w:p>
        </w:tc>
        <w:tc>
          <w:tcPr>
            <w:tcW w:w="1800" w:type="dxa"/>
            <w:vAlign w:val="bottom"/>
            <w:tcBorders>
              <w:right w:val="single" w:sz="8" w:color="auto"/>
            </w:tcBorders>
          </w:tcPr>
          <w:p>
            <w:pPr>
              <w:ind w:left="80"/>
              <w:spacing w:after="0" w:line="227" w:lineRule="exact"/>
              <w:rPr>
                <w:sz w:val="20"/>
                <w:szCs w:val="20"/>
                <w:color w:val="auto"/>
              </w:rPr>
            </w:pPr>
            <w:r>
              <w:rPr>
                <w:rFonts w:ascii="Times New Roman" w:cs="Times New Roman" w:eastAsia="Times New Roman" w:hAnsi="Times New Roman"/>
                <w:sz w:val="22"/>
                <w:szCs w:val="22"/>
                <w:color w:val="auto"/>
              </w:rPr>
              <w:t>CC Column 1</w:t>
            </w:r>
          </w:p>
        </w:tc>
      </w:tr>
      <w:tr>
        <w:trPr>
          <w:trHeight w:val="269"/>
        </w:trPr>
        <w:tc>
          <w:tcPr>
            <w:tcW w:w="272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computers” for computerized</w:t>
            </w:r>
          </w:p>
        </w:tc>
        <w:tc>
          <w:tcPr>
            <w:tcW w:w="1800" w:type="dxa"/>
            <w:vAlign w:val="bottom"/>
            <w:tcBorders>
              <w:bottom w:val="single" w:sz="8" w:color="auto"/>
              <w:right w:val="single" w:sz="8" w:color="auto"/>
            </w:tcBorders>
          </w:tcPr>
          <w:p>
            <w:pPr>
              <w:spacing w:after="0"/>
              <w:rPr>
                <w:sz w:val="23"/>
                <w:szCs w:val="23"/>
                <w:color w:val="auto"/>
              </w:rPr>
            </w:pPr>
          </w:p>
        </w:tc>
      </w:tr>
    </w:tbl>
    <w:p>
      <w:pPr>
        <w:spacing w:after="0" w:line="20" w:lineRule="exact"/>
        <w:rPr>
          <w:sz w:val="20"/>
          <w:szCs w:val="20"/>
          <w:color w:val="auto"/>
        </w:rPr>
      </w:pPr>
      <w:r>
        <w:rPr>
          <w:sz w:val="20"/>
          <w:szCs w:val="20"/>
          <w:color w:val="auto"/>
        </w:rPr>
        <w:br w:type="column"/>
      </w:r>
    </w:p>
    <w:p>
      <w:pPr>
        <w:spacing w:after="0" w:line="203"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color w:val="auto"/>
        </w:rPr>
        <w:t>finger-print equipment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-153670</wp:posOffset>
                </wp:positionV>
                <wp:extent cx="2863850"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38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2.0999pt" to="225.65pt,-12.09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12700</wp:posOffset>
                </wp:positionV>
                <wp:extent cx="2863850"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38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pt" to="225.65pt,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-156210</wp:posOffset>
                </wp:positionV>
                <wp:extent cx="0" cy="821055"/>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105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2.2999pt" to="0.4pt,52.3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1719580</wp:posOffset>
                </wp:positionH>
                <wp:positionV relativeFrom="paragraph">
                  <wp:posOffset>-156210</wp:posOffset>
                </wp:positionV>
                <wp:extent cx="0" cy="821055"/>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105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4pt,-12.2999pt" to="135.4pt,52.3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2862580</wp:posOffset>
                </wp:positionH>
                <wp:positionV relativeFrom="paragraph">
                  <wp:posOffset>-156210</wp:posOffset>
                </wp:positionV>
                <wp:extent cx="0" cy="821055"/>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2105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5.4pt,-12.2999pt" to="225.4pt,52.35pt" o:allowincell="f" strokecolor="#000000" strokeweight="0.48pt"/>
            </w:pict>
          </mc:Fallback>
        </mc:AlternateContent>
      </w:r>
    </w:p>
    <w:p>
      <w:pPr>
        <w:ind w:left="20" w:right="300"/>
        <w:spacing w:after="0"/>
        <w:rPr>
          <w:sz w:val="20"/>
          <w:szCs w:val="20"/>
          <w:color w:val="auto"/>
        </w:rPr>
      </w:pPr>
      <w:r>
        <w:rPr>
          <w:rFonts w:ascii="Times New Roman" w:cs="Times New Roman" w:eastAsia="Times New Roman" w:hAnsi="Times New Roman"/>
          <w:sz w:val="22"/>
          <w:szCs w:val="22"/>
          <w:color w:val="auto"/>
        </w:rPr>
        <w:t>AT applies to entire entry AT Column 1 (refer to 4A994 for controls</w:t>
      </w:r>
    </w:p>
    <w:p>
      <w:pPr>
        <w:ind w:left="20" w:right="1620"/>
        <w:spacing w:after="0" w:line="271" w:lineRule="auto"/>
        <w:rPr>
          <w:sz w:val="20"/>
          <w:szCs w:val="20"/>
          <w:color w:val="auto"/>
        </w:rPr>
      </w:pPr>
      <w:r>
        <w:rPr>
          <w:rFonts w:ascii="Times New Roman" w:cs="Times New Roman" w:eastAsia="Times New Roman" w:hAnsi="Times New Roman"/>
          <w:sz w:val="22"/>
          <w:szCs w:val="22"/>
          <w:color w:val="auto"/>
        </w:rPr>
        <w:t>on “digital computers” with a APP &gt; 0.0128 but ≤ 29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-27940</wp:posOffset>
                </wp:positionV>
                <wp:extent cx="2863850"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38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2.1999pt" to="225.65pt,-2.1999pt" o:allowincell="f" strokecolor="#000000" strokeweight="0.4799pt"/>
            </w:pict>
          </mc:Fallback>
        </mc:AlternateContent>
      </w:r>
    </w:p>
    <w:p>
      <w:pPr>
        <w:spacing w:after="0" w:line="173" w:lineRule="exact"/>
        <w:rPr>
          <w:sz w:val="20"/>
          <w:szCs w:val="20"/>
          <w:color w:val="auto"/>
        </w:rPr>
      </w:pPr>
    </w:p>
    <w:p>
      <w:pPr>
        <w:jc w:val="both"/>
        <w:ind w:firstLine="360"/>
        <w:spacing w:after="0" w:line="243"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 </w:t>
      </w:r>
      <w:r>
        <w:rPr>
          <w:rFonts w:ascii="Times New Roman" w:cs="Times New Roman" w:eastAsia="Times New Roman" w:hAnsi="Times New Roman"/>
          <w:sz w:val="22"/>
          <w:szCs w:val="22"/>
          <w:i w:val="1"/>
          <w:iCs w:val="1"/>
          <w:color w:val="auto"/>
        </w:rPr>
        <w:t>For all destinations, except those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countries in Country Group E:1 or E:2 of Supplement No. 1 to part 740 of the EAR, no license is required (NLR) for computers with an “Adjusted Peak Performance” (“APP”) not exceeding 29 Weighted TeraFLOPS (WT) and for “electronic assemblies” described in 4A003.c that are not capable of exceeding an “Adjusted Peak Performance” (“APP”) exceeding 29 Weighted TeraFLOPS (WT) in aggregation, except certain transfers as set forth in § 746.3 (Iraq).</w:t>
      </w:r>
    </w:p>
    <w:p>
      <w:pPr>
        <w:spacing w:after="0" w:line="21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Reporting Requirements</w:t>
      </w:r>
    </w:p>
    <w:p>
      <w:pPr>
        <w:spacing w:after="0" w:line="256" w:lineRule="exact"/>
        <w:rPr>
          <w:sz w:val="20"/>
          <w:szCs w:val="20"/>
          <w:color w:val="auto"/>
        </w:rPr>
      </w:pPr>
    </w:p>
    <w:p>
      <w:pPr>
        <w:jc w:val="both"/>
        <w:ind w:left="360"/>
        <w:spacing w:after="0" w:line="266" w:lineRule="auto"/>
        <w:rPr>
          <w:sz w:val="20"/>
          <w:szCs w:val="20"/>
          <w:color w:val="auto"/>
        </w:rPr>
      </w:pPr>
      <w:r>
        <w:rPr>
          <w:rFonts w:ascii="Times New Roman" w:cs="Times New Roman" w:eastAsia="Times New Roman" w:hAnsi="Times New Roman"/>
          <w:sz w:val="21"/>
          <w:szCs w:val="21"/>
          <w:color w:val="auto"/>
        </w:rPr>
        <w:t>Special Post Shipment Verification reporting and recordkeeping requirements for exports of computers to destinations in Computer Tier 3 may be found in §743.2 of the EAR.</w:t>
      </w:r>
    </w:p>
    <w:p>
      <w:pPr>
        <w:spacing w:after="0" w:line="190" w:lineRule="exact"/>
        <w:rPr>
          <w:sz w:val="20"/>
          <w:szCs w:val="20"/>
          <w:color w:val="auto"/>
        </w:rPr>
      </w:pPr>
    </w:p>
    <w:p>
      <w:pPr>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LVS:</w:t>
        <w:tab/>
        <w:t>$5000; N/A for 4A003.b and .c.</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GBS:</w:t>
        <w:tab/>
        <w:t>Yes,  for  4A003.g  and  “specially</w:t>
      </w:r>
    </w:p>
    <w:p>
      <w:pPr>
        <w:jc w:val="both"/>
        <w:ind w:left="1080"/>
        <w:spacing w:after="0"/>
        <w:rPr>
          <w:sz w:val="20"/>
          <w:szCs w:val="20"/>
          <w:color w:val="auto"/>
        </w:rPr>
      </w:pPr>
      <w:r>
        <w:rPr>
          <w:rFonts w:ascii="Times New Roman" w:cs="Times New Roman" w:eastAsia="Times New Roman" w:hAnsi="Times New Roman"/>
          <w:sz w:val="22"/>
          <w:szCs w:val="22"/>
          <w:color w:val="auto"/>
        </w:rPr>
        <w:t>designed” “parts” and “components” therefor, exported separately or as part of a system.</w:t>
      </w:r>
    </w:p>
    <w:p>
      <w:pPr>
        <w:spacing w:after="0" w:line="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APP:</w:t>
        <w:tab/>
        <w:t>Yes,  for  computers  controlled  by</w:t>
      </w:r>
    </w:p>
    <w:p>
      <w:pPr>
        <w:jc w:val="both"/>
        <w:ind w:left="1080"/>
        <w:spacing w:after="0" w:line="239" w:lineRule="auto"/>
        <w:rPr>
          <w:sz w:val="20"/>
          <w:szCs w:val="20"/>
          <w:color w:val="auto"/>
        </w:rPr>
      </w:pPr>
      <w:r>
        <w:rPr>
          <w:rFonts w:ascii="Times New Roman" w:cs="Times New Roman" w:eastAsia="Times New Roman" w:hAnsi="Times New Roman"/>
          <w:sz w:val="22"/>
          <w:szCs w:val="22"/>
          <w:color w:val="auto"/>
        </w:rPr>
        <w:t>4A003.b, and “electronic assemblies” controlled by 4A003.c, to the exclusion of other technical parameters. See §740.7 of the EAR.</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CIV:</w:t>
        <w:tab/>
        <w:t>Yes, for 4A003.g.</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line="242"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4A994</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4A980</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36" w:lineRule="exact"/>
        <w:rPr>
          <w:sz w:val="20"/>
          <w:szCs w:val="20"/>
          <w:color w:val="auto"/>
        </w:rPr>
      </w:pPr>
    </w:p>
    <w:p>
      <w:pPr>
        <w:sectPr>
          <w:pgSz w:w="12240" w:h="15840" w:orient="portrait"/>
          <w:cols w:equalWidth="0" w:num="2">
            <w:col w:w="4520" w:space="520"/>
            <w:col w:w="4320"/>
          </w:cols>
          <w:pgMar w:left="1440" w:top="1422" w:right="1440" w:bottom="892" w:gutter="0" w:footer="0" w:header="0"/>
          <w:type w:val="continuous"/>
        </w:sectPr>
      </w:pPr>
    </w:p>
    <w:p>
      <w:pPr>
        <w:spacing w:after="0" w:line="178" w:lineRule="exact"/>
        <w:rPr>
          <w:sz w:val="20"/>
          <w:szCs w:val="20"/>
          <w:color w:val="auto"/>
        </w:rPr>
      </w:pPr>
    </w:p>
    <w:p>
      <w:pPr>
        <w:spacing w:after="0"/>
        <w:tabs>
          <w:tab w:leader="none" w:pos="342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360"/>
          </w:cols>
          <w:pgMar w:left="1440" w:top="1422" w:right="1440" w:bottom="892" w:gutter="0" w:footer="0" w:header="0"/>
          <w:type w:val="continuous"/>
        </w:sectPr>
      </w:pPr>
    </w:p>
    <w:bookmarkStart w:id="2" w:name="page3"/>
    <w:bookmarkEnd w:id="2"/>
    <w:p>
      <w:pPr>
        <w:spacing w:after="0"/>
        <w:tabs>
          <w:tab w:leader="none" w:pos="3580" w:val="left"/>
          <w:tab w:leader="none" w:pos="77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4—page 3</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6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4A003 includes the following:</w:t>
      </w:r>
    </w:p>
    <w:p>
      <w:pPr>
        <w:spacing w:after="0" w:line="254" w:lineRule="exact"/>
        <w:rPr>
          <w:sz w:val="20"/>
          <w:szCs w:val="20"/>
          <w:color w:val="auto"/>
        </w:rPr>
      </w:pPr>
    </w:p>
    <w:p>
      <w:pPr>
        <w:jc w:val="both"/>
        <w:ind w:firstLine="720"/>
        <w:spacing w:after="0" w:line="257" w:lineRule="auto"/>
        <w:tabs>
          <w:tab w:leader="none" w:pos="850"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‘Vector processors’ (as defined in Note 7 of the “Technical Note on “Adjusted Peak Performance” (“APP”)”);</w:t>
      </w:r>
    </w:p>
    <w:p>
      <w:pPr>
        <w:spacing w:after="0" w:line="200" w:lineRule="exact"/>
        <w:rPr>
          <w:rFonts w:ascii="Times New Roman" w:cs="Times New Roman" w:eastAsia="Times New Roman" w:hAnsi="Times New Roman"/>
          <w:sz w:val="22"/>
          <w:szCs w:val="22"/>
          <w:i w:val="1"/>
          <w:iCs w:val="1"/>
          <w:color w:val="auto"/>
        </w:rPr>
      </w:pPr>
    </w:p>
    <w:p>
      <w:pPr>
        <w:ind w:left="840" w:hanging="120"/>
        <w:spacing w:after="0"/>
        <w:tabs>
          <w:tab w:leader="none" w:pos="840"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Array processors;</w:t>
      </w:r>
    </w:p>
    <w:p>
      <w:pPr>
        <w:spacing w:after="0" w:line="252" w:lineRule="exact"/>
        <w:rPr>
          <w:rFonts w:ascii="Times New Roman" w:cs="Times New Roman" w:eastAsia="Times New Roman" w:hAnsi="Times New Roman"/>
          <w:sz w:val="22"/>
          <w:szCs w:val="22"/>
          <w:i w:val="1"/>
          <w:iCs w:val="1"/>
          <w:color w:val="auto"/>
        </w:rPr>
      </w:pPr>
    </w:p>
    <w:p>
      <w:pPr>
        <w:ind w:left="840" w:hanging="120"/>
        <w:spacing w:after="0"/>
        <w:tabs>
          <w:tab w:leader="none" w:pos="840"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Digital signal processors;</w:t>
      </w:r>
    </w:p>
    <w:p>
      <w:pPr>
        <w:spacing w:after="0" w:line="253" w:lineRule="exact"/>
        <w:rPr>
          <w:rFonts w:ascii="Times New Roman" w:cs="Times New Roman" w:eastAsia="Times New Roman" w:hAnsi="Times New Roman"/>
          <w:sz w:val="22"/>
          <w:szCs w:val="22"/>
          <w:i w:val="1"/>
          <w:iCs w:val="1"/>
          <w:color w:val="auto"/>
        </w:rPr>
      </w:pPr>
    </w:p>
    <w:p>
      <w:pPr>
        <w:ind w:left="840" w:hanging="120"/>
        <w:spacing w:after="0"/>
        <w:tabs>
          <w:tab w:leader="none" w:pos="840"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Logic processors;</w:t>
      </w:r>
    </w:p>
    <w:p>
      <w:pPr>
        <w:spacing w:after="0" w:line="253" w:lineRule="exact"/>
        <w:rPr>
          <w:rFonts w:ascii="Times New Roman" w:cs="Times New Roman" w:eastAsia="Times New Roman" w:hAnsi="Times New Roman"/>
          <w:sz w:val="22"/>
          <w:szCs w:val="22"/>
          <w:i w:val="1"/>
          <w:iCs w:val="1"/>
          <w:color w:val="auto"/>
        </w:rPr>
      </w:pPr>
    </w:p>
    <w:p>
      <w:pPr>
        <w:ind w:firstLine="720"/>
        <w:spacing w:after="0" w:line="273" w:lineRule="auto"/>
        <w:tabs>
          <w:tab w:leader="none" w:pos="1012"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Equipment designed for “image enhancement.”</w:t>
      </w:r>
    </w:p>
    <w:p>
      <w:pPr>
        <w:spacing w:after="0" w:line="181"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The control status of the “digital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computers” and related equipment described in 4A003 is determined by the control status of other equipment or systems provided:</w:t>
      </w:r>
    </w:p>
    <w:p>
      <w:pPr>
        <w:spacing w:after="0" w:line="204"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a. The “digital computers” or related equipment are essential for the operation of the other equipment or systems;</w:t>
      </w:r>
    </w:p>
    <w:p>
      <w:pPr>
        <w:spacing w:after="0" w:line="199"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b. The “digital computers” or related equipment are not a “principal element” of the other equipment or systems; and</w:t>
      </w:r>
    </w:p>
    <w:p>
      <w:pPr>
        <w:spacing w:after="0" w:line="198" w:lineRule="exact"/>
        <w:rPr>
          <w:sz w:val="20"/>
          <w:szCs w:val="20"/>
          <w:color w:val="auto"/>
        </w:rPr>
      </w:pPr>
    </w:p>
    <w:p>
      <w:pPr>
        <w:jc w:val="both"/>
        <w:ind w:firstLine="720"/>
        <w:spacing w:after="0" w:line="24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1: </w:t>
      </w:r>
      <w:r>
        <w:rPr>
          <w:rFonts w:ascii="Times New Roman" w:cs="Times New Roman" w:eastAsia="Times New Roman" w:hAnsi="Times New Roman"/>
          <w:sz w:val="22"/>
          <w:szCs w:val="22"/>
          <w:i w:val="1"/>
          <w:iCs w:val="1"/>
          <w:color w:val="auto"/>
        </w:rPr>
        <w:t>The control status of “signal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processing” or “image enhancement” equipment “specially designed” for other equipment with functions limited to those required for the other equipment is determined by the control status of the other equipment even if it exceeds the “principal element” criterion.</w:t>
      </w:r>
    </w:p>
    <w:p>
      <w:pPr>
        <w:spacing w:after="0" w:line="208" w:lineRule="exact"/>
        <w:rPr>
          <w:sz w:val="20"/>
          <w:szCs w:val="20"/>
          <w:color w:val="auto"/>
        </w:rPr>
      </w:pPr>
    </w:p>
    <w:p>
      <w:pPr>
        <w:jc w:val="both"/>
        <w:ind w:firstLine="72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2: </w:t>
      </w:r>
      <w:r>
        <w:rPr>
          <w:rFonts w:ascii="Times New Roman" w:cs="Times New Roman" w:eastAsia="Times New Roman" w:hAnsi="Times New Roman"/>
          <w:sz w:val="22"/>
          <w:szCs w:val="22"/>
          <w:i w:val="1"/>
          <w:iCs w:val="1"/>
          <w:color w:val="auto"/>
        </w:rPr>
        <w:t>For the control status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“digital computers” or related equipment for telecommunications equipment, see Category 5, Part 1 (Telecommunications).</w:t>
      </w:r>
    </w:p>
    <w:p>
      <w:pPr>
        <w:spacing w:after="0" w:line="204" w:lineRule="exact"/>
        <w:rPr>
          <w:sz w:val="20"/>
          <w:szCs w:val="20"/>
          <w:color w:val="auto"/>
        </w:rPr>
      </w:pPr>
    </w:p>
    <w:p>
      <w:pPr>
        <w:jc w:val="both"/>
        <w:ind w:firstLine="360"/>
        <w:spacing w:after="0" w:line="257" w:lineRule="auto"/>
        <w:tabs>
          <w:tab w:leader="none" w:pos="861" w:val="left"/>
        </w:tabs>
        <w:numPr>
          <w:ilvl w:val="1"/>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“technology” for the “digital computers” and related equipment is determined by 4E.</w:t>
      </w:r>
    </w:p>
    <w:p>
      <w:pPr>
        <w:spacing w:after="0" w:line="201" w:lineRule="exact"/>
        <w:rPr>
          <w:rFonts w:ascii="Times New Roman" w:cs="Times New Roman" w:eastAsia="Times New Roman" w:hAnsi="Times New Roman"/>
          <w:sz w:val="22"/>
          <w:szCs w:val="22"/>
          <w:i w:val="1"/>
          <w:iCs w:val="1"/>
          <w:color w:val="auto"/>
        </w:rPr>
      </w:pPr>
    </w:p>
    <w:p>
      <w:pPr>
        <w:ind w:left="200" w:hanging="200"/>
        <w:spacing w:after="0"/>
        <w:tabs>
          <w:tab w:leader="none" w:pos="200" w:val="left"/>
        </w:tabs>
        <w:numPr>
          <w:ilvl w:val="0"/>
          <w:numId w:val="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46" w:lineRule="exact"/>
        <w:rPr>
          <w:sz w:val="20"/>
          <w:szCs w:val="20"/>
          <w:color w:val="auto"/>
        </w:rPr>
      </w:pPr>
    </w:p>
    <w:p>
      <w:pPr>
        <w:jc w:val="both"/>
        <w:spacing w:after="0" w:line="255" w:lineRule="auto"/>
        <w:tabs>
          <w:tab w:leader="none" w:pos="481" w:val="left"/>
        </w:tabs>
        <w:numPr>
          <w:ilvl w:val="0"/>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“Digital computers” having an “Adjusted Peak Performance” (“APP”) exceeding </w:t>
      </w:r>
      <w:r>
        <w:rPr>
          <w:rFonts w:ascii="Times New Roman" w:cs="Times New Roman" w:eastAsia="Times New Roman" w:hAnsi="Times New Roman"/>
          <w:sz w:val="24"/>
          <w:szCs w:val="24"/>
          <w:color w:val="auto"/>
        </w:rPr>
        <w:t>29</w:t>
      </w:r>
      <w:r>
        <w:rPr>
          <w:rFonts w:ascii="Times New Roman" w:cs="Times New Roman" w:eastAsia="Times New Roman" w:hAnsi="Times New Roman"/>
          <w:sz w:val="22"/>
          <w:szCs w:val="22"/>
          <w:color w:val="auto"/>
        </w:rPr>
        <w:t xml:space="preserve"> Weighted TeraFLOPS (WT);</w:t>
      </w:r>
    </w:p>
    <w:p>
      <w:pPr>
        <w:spacing w:after="0" w:line="203" w:lineRule="exact"/>
        <w:rPr>
          <w:rFonts w:ascii="Times New Roman" w:cs="Times New Roman" w:eastAsia="Times New Roman" w:hAnsi="Times New Roman"/>
          <w:sz w:val="22"/>
          <w:szCs w:val="22"/>
          <w:color w:val="auto"/>
        </w:rPr>
      </w:pPr>
    </w:p>
    <w:p>
      <w:pPr>
        <w:jc w:val="both"/>
        <w:spacing w:after="0" w:line="247" w:lineRule="auto"/>
        <w:tabs>
          <w:tab w:leader="none" w:pos="331" w:val="left"/>
        </w:tabs>
        <w:numPr>
          <w:ilvl w:val="0"/>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“Electronic assemblies” “specially designed” or modified to be capable of enhancing performance by aggregation of processors so that the “APP” of the aggregation exceeds the limit in 4A003.b.;</w:t>
      </w:r>
    </w:p>
    <w:p>
      <w:pPr>
        <w:spacing w:after="0" w:line="21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Note 1</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4A003.c applies only to “electronic</w:t>
      </w:r>
    </w:p>
    <w:p>
      <w:pPr>
        <w:spacing w:after="0" w:line="6"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i w:val="1"/>
          <w:iCs w:val="1"/>
          <w:color w:val="auto"/>
        </w:rPr>
        <w:t>assemblies” and programmable interconnections not exceeding the limit in 4A003.b when shipped as unintegrated “electronic assemblies.”</w:t>
      </w:r>
    </w:p>
    <w:p>
      <w:pPr>
        <w:spacing w:after="0" w:line="205" w:lineRule="exact"/>
        <w:rPr>
          <w:sz w:val="20"/>
          <w:szCs w:val="20"/>
          <w:color w:val="auto"/>
        </w:rPr>
      </w:pPr>
    </w:p>
    <w:p>
      <w:pPr>
        <w:jc w:val="both"/>
        <w:ind w:firstLine="36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4A003.c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“electronic assemblies” “specially designed” for a product or family of products whose maximum configuration does not exceed the limit of 4A003.b.</w:t>
      </w:r>
    </w:p>
    <w:p>
      <w:pPr>
        <w:spacing w:after="0" w:line="21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d. to f.  [Reserved]</w:t>
      </w:r>
    </w:p>
    <w:p>
      <w:pPr>
        <w:spacing w:after="0" w:line="249" w:lineRule="exact"/>
        <w:rPr>
          <w:sz w:val="20"/>
          <w:szCs w:val="20"/>
          <w:color w:val="auto"/>
        </w:rPr>
      </w:pPr>
    </w:p>
    <w:p>
      <w:pPr>
        <w:jc w:val="both"/>
        <w:ind w:firstLine="72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“electronic assemblies,”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modules or equipment, performing analog-to-digital conversions, see 3A002.h.</w:t>
      </w:r>
    </w:p>
    <w:p>
      <w:pPr>
        <w:spacing w:after="0" w:line="204" w:lineRule="exact"/>
        <w:rPr>
          <w:sz w:val="20"/>
          <w:szCs w:val="20"/>
          <w:color w:val="auto"/>
        </w:rPr>
      </w:pPr>
    </w:p>
    <w:p>
      <w:pPr>
        <w:jc w:val="both"/>
        <w:spacing w:after="0" w:line="239" w:lineRule="auto"/>
        <w:tabs>
          <w:tab w:leader="none" w:pos="635" w:val="left"/>
        </w:tabs>
        <w:numPr>
          <w:ilvl w:val="0"/>
          <w:numId w:val="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“specially designed” for aggregating the performance of “digital</w:t>
      </w:r>
    </w:p>
    <w:p>
      <w:pPr>
        <w:spacing w:after="0" w:line="1" w:lineRule="exact"/>
        <w:rPr>
          <w:rFonts w:ascii="Times New Roman" w:cs="Times New Roman" w:eastAsia="Times New Roman" w:hAnsi="Times New Roman"/>
          <w:sz w:val="22"/>
          <w:szCs w:val="22"/>
          <w:color w:val="auto"/>
        </w:rPr>
      </w:pPr>
    </w:p>
    <w:p>
      <w:pPr>
        <w:jc w:val="both"/>
        <w:spacing w:after="0" w:line="250"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computers” by providing external interconnections which allow communications at unidirectonal data rates exceeding 2.0 Gbyte/s per link.</w:t>
      </w:r>
    </w:p>
    <w:p>
      <w:pPr>
        <w:spacing w:after="0" w:line="207" w:lineRule="exact"/>
        <w:rPr>
          <w:sz w:val="20"/>
          <w:szCs w:val="20"/>
          <w:color w:val="auto"/>
        </w:rPr>
      </w:pPr>
    </w:p>
    <w:p>
      <w:pPr>
        <w:jc w:val="both"/>
        <w:ind w:firstLine="360"/>
        <w:spacing w:after="0" w:line="241"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4A003.g does not control internal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interconnection equipment (e.g., backplanes, buses) passive interconnection equipment,</w:t>
      </w:r>
    </w:p>
    <w:p>
      <w:pPr>
        <w:spacing w:after="0" w:line="2"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i w:val="1"/>
          <w:iCs w:val="1"/>
          <w:color w:val="auto"/>
        </w:rPr>
        <w:t>“network access controllers” or “communication channel controllers”.</w:t>
      </w:r>
    </w:p>
    <w:p>
      <w:pPr>
        <w:spacing w:after="0" w:line="200" w:lineRule="exact"/>
        <w:rPr>
          <w:sz w:val="20"/>
          <w:szCs w:val="20"/>
          <w:color w:val="auto"/>
        </w:rPr>
      </w:pPr>
    </w:p>
    <w:p>
      <w:pPr>
        <w:spacing w:after="0" w:line="236"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2"/>
          <w:szCs w:val="22"/>
          <w:b w:val="1"/>
          <w:bCs w:val="1"/>
          <w:color w:val="auto"/>
        </w:rPr>
        <w:t>4A004 Computers as follows (see List of Items Controlled) and “specially designed” related equipment, “electronic assemblies” and “components” therefor.</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77" w:lineRule="exact"/>
        <w:rPr>
          <w:sz w:val="20"/>
          <w:szCs w:val="20"/>
          <w:color w:val="auto"/>
        </w:rPr>
      </w:pPr>
    </w:p>
    <w:p>
      <w:pPr>
        <w:spacing w:after="0"/>
        <w:tabs>
          <w:tab w:leader="none" w:pos="342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360"/>
          </w:cols>
          <w:pgMar w:left="1440" w:top="1422" w:right="1440" w:bottom="892" w:gutter="0" w:footer="0" w:header="0"/>
          <w:type w:val="continuous"/>
        </w:sectPr>
      </w:pPr>
    </w:p>
    <w:bookmarkStart w:id="3" w:name="page4"/>
    <w:bookmarkEnd w:id="3"/>
    <w:p>
      <w:pPr>
        <w:spacing w:after="0"/>
        <w:tabs>
          <w:tab w:leader="none" w:pos="3580" w:val="left"/>
          <w:tab w:leader="none" w:pos="77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4—page 4</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6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620" w:type="dxa"/>
            <w:vAlign w:val="bottom"/>
            <w:tcBorders>
              <w:top w:val="single" w:sz="8" w:color="auto"/>
              <w:left w:val="single" w:sz="8" w:color="auto"/>
              <w:right w:val="single" w:sz="8" w:color="auto"/>
            </w:tcBorders>
          </w:tcPr>
          <w:p>
            <w:pPr>
              <w:spacing w:after="0"/>
              <w:rPr>
                <w:sz w:val="21"/>
                <w:szCs w:val="21"/>
                <w:color w:val="auto"/>
              </w:rPr>
            </w:pPr>
          </w:p>
        </w:tc>
        <w:tc>
          <w:tcPr>
            <w:tcW w:w="172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620" w:type="dxa"/>
            <w:vAlign w:val="bottom"/>
            <w:tcBorders>
              <w:left w:val="single" w:sz="8" w:color="auto"/>
              <w:right w:val="single" w:sz="8" w:color="auto"/>
            </w:tcBorders>
          </w:tcPr>
          <w:p>
            <w:pPr>
              <w:ind w:left="8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20" w:type="dxa"/>
            <w:vAlign w:val="bottom"/>
            <w:tcBorders>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620" w:type="dxa"/>
            <w:vAlign w:val="bottom"/>
            <w:tcBorders>
              <w:left w:val="single" w:sz="8" w:color="auto"/>
              <w:bottom w:val="single" w:sz="8" w:color="auto"/>
              <w:right w:val="single" w:sz="8" w:color="auto"/>
            </w:tcBorders>
          </w:tcPr>
          <w:p>
            <w:pPr>
              <w:spacing w:after="0"/>
              <w:rPr>
                <w:sz w:val="23"/>
                <w:szCs w:val="23"/>
                <w:color w:val="auto"/>
              </w:rPr>
            </w:pPr>
          </w:p>
        </w:tc>
        <w:tc>
          <w:tcPr>
            <w:tcW w:w="17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3"/>
        </w:trPr>
        <w:tc>
          <w:tcPr>
            <w:tcW w:w="2620" w:type="dxa"/>
            <w:vAlign w:val="bottom"/>
            <w:tcBorders>
              <w:left w:val="single" w:sz="8" w:color="auto"/>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7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4"/>
        </w:trPr>
        <w:tc>
          <w:tcPr>
            <w:tcW w:w="2620" w:type="dxa"/>
            <w:vAlign w:val="bottom"/>
            <w:tcBorders>
              <w:left w:val="single" w:sz="8" w:color="auto"/>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2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6"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LVS:</w:t>
        <w:tab/>
        <w:t>$5000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GBS: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CIV:</w:t>
        <w:tab/>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right="1720"/>
        <w:spacing w:after="0" w:line="501" w:lineRule="auto"/>
        <w:rPr>
          <w:sz w:val="20"/>
          <w:szCs w:val="20"/>
          <w:color w:val="auto"/>
        </w:rPr>
      </w:pPr>
      <w:r>
        <w:rPr>
          <w:rFonts w:ascii="Times New Roman" w:cs="Times New Roman" w:eastAsia="Times New Roman" w:hAnsi="Times New Roman"/>
          <w:sz w:val="21"/>
          <w:szCs w:val="21"/>
          <w:color w:val="auto"/>
        </w:rPr>
        <w:t xml:space="preserve">a. ‘Systolic array computers’; b. ‘Neural computers’; c. ‘Optical computers’. </w:t>
      </w:r>
      <w:r>
        <w:rPr>
          <w:rFonts w:ascii="Times New Roman" w:cs="Times New Roman" w:eastAsia="Times New Roman" w:hAnsi="Times New Roman"/>
          <w:sz w:val="21"/>
          <w:szCs w:val="21"/>
          <w:b w:val="1"/>
          <w:bCs w:val="1"/>
          <w:i w:val="1"/>
          <w:iCs w:val="1"/>
          <w:color w:val="auto"/>
        </w:rPr>
        <w:t>Technical Notes:</w:t>
      </w:r>
    </w:p>
    <w:p>
      <w:pPr>
        <w:spacing w:after="0" w:line="4" w:lineRule="exact"/>
        <w:rPr>
          <w:sz w:val="20"/>
          <w:szCs w:val="20"/>
          <w:color w:val="auto"/>
        </w:rPr>
      </w:pPr>
    </w:p>
    <w:p>
      <w:pPr>
        <w:jc w:val="both"/>
        <w:ind w:firstLine="360"/>
        <w:spacing w:after="0" w:line="251" w:lineRule="auto"/>
        <w:rPr>
          <w:sz w:val="20"/>
          <w:szCs w:val="20"/>
          <w:color w:val="auto"/>
        </w:rPr>
      </w:pPr>
      <w:r>
        <w:rPr>
          <w:rFonts w:ascii="Times New Roman" w:cs="Times New Roman" w:eastAsia="Times New Roman" w:hAnsi="Times New Roman"/>
          <w:sz w:val="22"/>
          <w:szCs w:val="22"/>
          <w:i w:val="1"/>
          <w:iCs w:val="1"/>
          <w:color w:val="auto"/>
        </w:rPr>
        <w:t>1. ‘Systolic array computers’ are computers where the flow and modification of the data is dynamically controllable at the logic gate level by the user.</w:t>
      </w:r>
    </w:p>
    <w:p>
      <w:pPr>
        <w:spacing w:after="0" w:line="206" w:lineRule="exact"/>
        <w:rPr>
          <w:sz w:val="20"/>
          <w:szCs w:val="20"/>
          <w:color w:val="auto"/>
        </w:rPr>
      </w:pPr>
    </w:p>
    <w:p>
      <w:pPr>
        <w:jc w:val="both"/>
        <w:ind w:firstLine="360"/>
        <w:spacing w:after="0" w:line="244" w:lineRule="auto"/>
        <w:tabs>
          <w:tab w:leader="none" w:pos="720" w:val="left"/>
        </w:tabs>
        <w:numPr>
          <w:ilvl w:val="0"/>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‘Neural computers’ are computational devices designed or modified to mimic the behaviour of a neuron or a collection of neurons, i.e., computational devices which are distinguished by their hardware capability to modulate the weights and numbers of the interconnections of a multiplicity of computational components based on previous data.</w:t>
      </w:r>
    </w:p>
    <w:p>
      <w:pPr>
        <w:spacing w:after="0" w:line="20" w:lineRule="exact"/>
        <w:rPr>
          <w:sz w:val="20"/>
          <w:szCs w:val="20"/>
          <w:color w:val="auto"/>
        </w:rPr>
      </w:pPr>
      <w:r>
        <w:rPr>
          <w:sz w:val="20"/>
          <w:szCs w:val="20"/>
          <w:color w:val="auto"/>
        </w:rPr>
        <w:br w:type="column"/>
      </w:r>
    </w:p>
    <w:p>
      <w:pPr>
        <w:spacing w:after="0" w:line="191" w:lineRule="exact"/>
        <w:rPr>
          <w:sz w:val="20"/>
          <w:szCs w:val="20"/>
          <w:color w:val="auto"/>
        </w:rPr>
      </w:pPr>
    </w:p>
    <w:p>
      <w:pPr>
        <w:jc w:val="both"/>
        <w:ind w:firstLine="360"/>
        <w:spacing w:after="0" w:line="251" w:lineRule="auto"/>
        <w:tabs>
          <w:tab w:leader="none" w:pos="720" w:val="left"/>
        </w:tabs>
        <w:numPr>
          <w:ilvl w:val="0"/>
          <w:numId w:val="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‘Optical computers’ are computers designed or modified to use light to represent data and whose computational logic elements are based on directly coupled optical devices.</w:t>
      </w:r>
    </w:p>
    <w:p>
      <w:pPr>
        <w:spacing w:after="0" w:line="200" w:lineRule="exact"/>
        <w:rPr>
          <w:sz w:val="20"/>
          <w:szCs w:val="20"/>
          <w:color w:val="auto"/>
        </w:rPr>
      </w:pPr>
    </w:p>
    <w:p>
      <w:pPr>
        <w:spacing w:after="0" w:line="260" w:lineRule="exact"/>
        <w:rPr>
          <w:sz w:val="20"/>
          <w:szCs w:val="20"/>
          <w:color w:val="auto"/>
        </w:rPr>
      </w:pPr>
    </w:p>
    <w:p>
      <w:pPr>
        <w:jc w:val="both"/>
        <w:spacing w:after="0" w:line="246" w:lineRule="auto"/>
        <w:rPr>
          <w:sz w:val="20"/>
          <w:szCs w:val="20"/>
          <w:color w:val="auto"/>
        </w:rPr>
      </w:pPr>
      <w:r>
        <w:rPr>
          <w:rFonts w:ascii="Times New Roman" w:cs="Times New Roman" w:eastAsia="Times New Roman" w:hAnsi="Times New Roman"/>
          <w:sz w:val="22"/>
          <w:szCs w:val="22"/>
          <w:b w:val="1"/>
          <w:bCs w:val="1"/>
          <w:color w:val="auto"/>
        </w:rPr>
        <w:t>4A101 Analog computers, “digital computers” or digital differential analyzers, other than those controlled by 4A001 designed or modified for use in “missiles”, having any of the following (see List of Items Controlled).</w:t>
      </w:r>
    </w:p>
    <w:p>
      <w:pPr>
        <w:spacing w:after="0" w:line="21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MT applies to entire entry</w:t>
            </w:r>
          </w:p>
        </w:tc>
        <w:tc>
          <w:tcPr>
            <w:tcW w:w="18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LVS: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GBS: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CIV:</w:t>
        <w:tab/>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spacing w:after="0" w:line="237" w:lineRule="auto"/>
        <w:tabs>
          <w:tab w:leader="none" w:pos="635" w:val="left"/>
        </w:tabs>
        <w:numPr>
          <w:ilvl w:val="0"/>
          <w:numId w:val="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Rated for continuous operation at temperatures from below 228 K (-45</w:t>
      </w:r>
      <w:r>
        <w:rPr>
          <w:rFonts w:ascii="Times New Roman" w:cs="Times New Roman" w:eastAsia="Times New Roman" w:hAnsi="Times New Roman"/>
          <w:sz w:val="28"/>
          <w:szCs w:val="28"/>
          <w:color w:val="auto"/>
          <w:vertAlign w:val="superscript"/>
        </w:rPr>
        <w:t>o</w:t>
      </w:r>
      <w:r>
        <w:rPr>
          <w:rFonts w:ascii="Times New Roman" w:cs="Times New Roman" w:eastAsia="Times New Roman" w:hAnsi="Times New Roman"/>
          <w:sz w:val="22"/>
          <w:szCs w:val="22"/>
          <w:color w:val="auto"/>
        </w:rPr>
        <w:t xml:space="preserve"> C) to above 328 K (+55</w:t>
      </w:r>
      <w:r>
        <w:rPr>
          <w:rFonts w:ascii="Times New Roman" w:cs="Times New Roman" w:eastAsia="Times New Roman" w:hAnsi="Times New Roman"/>
          <w:sz w:val="28"/>
          <w:szCs w:val="28"/>
          <w:color w:val="auto"/>
          <w:vertAlign w:val="superscript"/>
        </w:rPr>
        <w:t>o</w:t>
      </w:r>
      <w:r>
        <w:rPr>
          <w:rFonts w:ascii="Times New Roman" w:cs="Times New Roman" w:eastAsia="Times New Roman" w:hAnsi="Times New Roman"/>
          <w:sz w:val="22"/>
          <w:szCs w:val="22"/>
          <w:color w:val="auto"/>
        </w:rPr>
        <w:t xml:space="preserve">C); </w:t>
      </w:r>
      <w:r>
        <w:rPr>
          <w:rFonts w:ascii="Times New Roman" w:cs="Times New Roman" w:eastAsia="Times New Roman" w:hAnsi="Times New Roman"/>
          <w:sz w:val="22"/>
          <w:szCs w:val="22"/>
          <w:i w:val="1"/>
          <w:iCs w:val="1"/>
          <w:color w:val="auto"/>
        </w:rPr>
        <w:t>or</w:t>
      </w:r>
    </w:p>
    <w:p>
      <w:pPr>
        <w:spacing w:after="0" w:line="125" w:lineRule="exact"/>
        <w:rPr>
          <w:rFonts w:ascii="Times New Roman" w:cs="Times New Roman" w:eastAsia="Times New Roman" w:hAnsi="Times New Roman"/>
          <w:sz w:val="22"/>
          <w:szCs w:val="22"/>
          <w:color w:val="auto"/>
        </w:rPr>
      </w:pPr>
    </w:p>
    <w:p>
      <w:pPr>
        <w:spacing w:after="0" w:line="271" w:lineRule="auto"/>
        <w:tabs>
          <w:tab w:leader="none" w:pos="391" w:val="left"/>
        </w:tabs>
        <w:numPr>
          <w:ilvl w:val="0"/>
          <w:numId w:val="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as ruggedized or ‘radiation hardened’.</w:t>
      </w:r>
    </w:p>
    <w:p>
      <w:pPr>
        <w:spacing w:after="0" w:line="182"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‘Radiation hardened’ means that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“part,” “component” or equipment is designed or rated to withstand radiation levels which meet or exceed a total irradiation dose of 5 X</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58" w:lineRule="exact"/>
        <w:rPr>
          <w:sz w:val="20"/>
          <w:szCs w:val="20"/>
          <w:color w:val="auto"/>
        </w:rPr>
      </w:pPr>
    </w:p>
    <w:p>
      <w:pPr>
        <w:spacing w:after="0"/>
        <w:tabs>
          <w:tab w:leader="none" w:pos="342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360"/>
          </w:cols>
          <w:pgMar w:left="1440" w:top="1422" w:right="1440" w:bottom="892" w:gutter="0" w:footer="0" w:header="0"/>
          <w:type w:val="continuous"/>
        </w:sectPr>
      </w:pPr>
    </w:p>
    <w:bookmarkStart w:id="4" w:name="page5"/>
    <w:bookmarkEnd w:id="4"/>
    <w:p>
      <w:pPr>
        <w:spacing w:after="0"/>
        <w:tabs>
          <w:tab w:leader="none" w:pos="3580" w:val="left"/>
          <w:tab w:leader="none" w:pos="77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4—page 5</w:t>
      </w:r>
    </w:p>
    <w:p>
      <w:pPr>
        <w:sectPr>
          <w:pgSz w:w="12240" w:h="15840" w:orient="portrait"/>
          <w:cols w:equalWidth="0" w:num="1">
            <w:col w:w="9360"/>
          </w:cols>
          <w:pgMar w:left="1440" w:top="1422" w:right="1440" w:bottom="892" w:gutter="0" w:footer="0" w:header="0"/>
        </w:sectPr>
      </w:pPr>
    </w:p>
    <w:p>
      <w:pPr>
        <w:spacing w:after="0" w:line="20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10</w:t>
      </w:r>
      <w:r>
        <w:rPr>
          <w:rFonts w:ascii="Times New Roman" w:cs="Times New Roman" w:eastAsia="Times New Roman" w:hAnsi="Times New Roman"/>
          <w:sz w:val="28"/>
          <w:szCs w:val="28"/>
          <w:i w:val="1"/>
          <w:iCs w:val="1"/>
          <w:color w:val="auto"/>
          <w:vertAlign w:val="superscript"/>
        </w:rPr>
        <w:t>5</w:t>
      </w:r>
      <w:r>
        <w:rPr>
          <w:rFonts w:ascii="Times New Roman" w:cs="Times New Roman" w:eastAsia="Times New Roman" w:hAnsi="Times New Roman"/>
          <w:sz w:val="22"/>
          <w:szCs w:val="22"/>
          <w:i w:val="1"/>
          <w:iCs w:val="1"/>
          <w:color w:val="auto"/>
        </w:rPr>
        <w:t xml:space="preserve"> rads (Si).</w:t>
      </w:r>
    </w:p>
    <w:p>
      <w:pPr>
        <w:spacing w:after="0" w:line="200" w:lineRule="exact"/>
        <w:rPr>
          <w:sz w:val="20"/>
          <w:szCs w:val="20"/>
          <w:color w:val="auto"/>
        </w:rPr>
      </w:pPr>
    </w:p>
    <w:p>
      <w:pPr>
        <w:spacing w:after="0" w:line="245" w:lineRule="exact"/>
        <w:rPr>
          <w:sz w:val="20"/>
          <w:szCs w:val="20"/>
          <w:color w:val="auto"/>
        </w:rPr>
      </w:pPr>
    </w:p>
    <w:p>
      <w:pPr>
        <w:jc w:val="both"/>
        <w:spacing w:after="0" w:line="248" w:lineRule="auto"/>
        <w:rPr>
          <w:sz w:val="20"/>
          <w:szCs w:val="20"/>
          <w:color w:val="auto"/>
        </w:rPr>
      </w:pPr>
      <w:r>
        <w:rPr>
          <w:rFonts w:ascii="Times New Roman" w:cs="Times New Roman" w:eastAsia="Times New Roman" w:hAnsi="Times New Roman"/>
          <w:sz w:val="22"/>
          <w:szCs w:val="22"/>
          <w:b w:val="1"/>
          <w:bCs w:val="1"/>
          <w:color w:val="auto"/>
        </w:rPr>
        <w:t>4A102 “Hybrid computers” “specially designed” for modelling, simulation or design integration of “missiles” or their subsystems. (These items are “subject to the ITAR” See 22 CFR parts 120 through 130.)</w:t>
      </w:r>
    </w:p>
    <w:p>
      <w:pPr>
        <w:spacing w:after="0" w:line="200" w:lineRule="exact"/>
        <w:rPr>
          <w:sz w:val="20"/>
          <w:szCs w:val="20"/>
          <w:color w:val="auto"/>
        </w:rPr>
      </w:pPr>
    </w:p>
    <w:p>
      <w:pPr>
        <w:spacing w:after="0" w:line="264" w:lineRule="exact"/>
        <w:rPr>
          <w:sz w:val="20"/>
          <w:szCs w:val="20"/>
          <w:color w:val="auto"/>
        </w:rPr>
      </w:pPr>
    </w:p>
    <w:p>
      <w:pPr>
        <w:spacing w:after="0"/>
        <w:tabs>
          <w:tab w:leader="none" w:pos="2520" w:val="left"/>
          <w:tab w:leader="none" w:pos="3540" w:val="left"/>
        </w:tabs>
        <w:rPr>
          <w:sz w:val="20"/>
          <w:szCs w:val="20"/>
          <w:color w:val="auto"/>
        </w:rPr>
      </w:pPr>
      <w:r>
        <w:rPr>
          <w:rFonts w:ascii="Times New Roman" w:cs="Times New Roman" w:eastAsia="Times New Roman" w:hAnsi="Times New Roman"/>
          <w:sz w:val="22"/>
          <w:szCs w:val="22"/>
          <w:b w:val="1"/>
          <w:bCs w:val="1"/>
          <w:color w:val="auto"/>
        </w:rPr>
        <w:t>4A611  Computers,</w:t>
      </w:r>
      <w:r>
        <w:rPr>
          <w:sz w:val="20"/>
          <w:szCs w:val="20"/>
          <w:color w:val="auto"/>
        </w:rPr>
        <w:tab/>
      </w:r>
      <w:r>
        <w:rPr>
          <w:rFonts w:ascii="Times New Roman" w:cs="Times New Roman" w:eastAsia="Times New Roman" w:hAnsi="Times New Roman"/>
          <w:sz w:val="22"/>
          <w:szCs w:val="22"/>
          <w:b w:val="1"/>
          <w:bCs w:val="1"/>
          <w:color w:val="auto"/>
        </w:rPr>
        <w:t>and</w:t>
      </w:r>
      <w:r>
        <w:rPr>
          <w:sz w:val="20"/>
          <w:szCs w:val="20"/>
          <w:color w:val="auto"/>
        </w:rPr>
        <w:tab/>
      </w:r>
      <w:r>
        <w:rPr>
          <w:rFonts w:ascii="Times New Roman" w:cs="Times New Roman" w:eastAsia="Times New Roman" w:hAnsi="Times New Roman"/>
          <w:sz w:val="21"/>
          <w:szCs w:val="21"/>
          <w:b w:val="1"/>
          <w:bCs w:val="1"/>
          <w:color w:val="auto"/>
        </w:rPr>
        <w:t>“parts,”</w:t>
      </w:r>
    </w:p>
    <w:p>
      <w:pPr>
        <w:spacing w:after="0" w:line="4" w:lineRule="exact"/>
        <w:rPr>
          <w:sz w:val="20"/>
          <w:szCs w:val="20"/>
          <w:color w:val="auto"/>
        </w:rPr>
      </w:pPr>
    </w:p>
    <w:p>
      <w:pPr>
        <w:spacing w:after="0"/>
        <w:tabs>
          <w:tab w:leader="none" w:pos="2020" w:val="left"/>
          <w:tab w:leader="none" w:pos="3940" w:val="left"/>
        </w:tabs>
        <w:rPr>
          <w:sz w:val="20"/>
          <w:szCs w:val="20"/>
          <w:color w:val="auto"/>
        </w:rPr>
      </w:pPr>
      <w:r>
        <w:rPr>
          <w:rFonts w:ascii="Times New Roman" w:cs="Times New Roman" w:eastAsia="Times New Roman" w:hAnsi="Times New Roman"/>
          <w:sz w:val="22"/>
          <w:szCs w:val="22"/>
          <w:b w:val="1"/>
          <w:bCs w:val="1"/>
          <w:color w:val="auto"/>
        </w:rPr>
        <w:t>“components,”</w:t>
      </w:r>
      <w:r>
        <w:rPr>
          <w:sz w:val="20"/>
          <w:szCs w:val="20"/>
          <w:color w:val="auto"/>
        </w:rPr>
        <w:tab/>
      </w:r>
      <w:r>
        <w:rPr>
          <w:rFonts w:ascii="Times New Roman" w:cs="Times New Roman" w:eastAsia="Times New Roman" w:hAnsi="Times New Roman"/>
          <w:sz w:val="22"/>
          <w:szCs w:val="22"/>
          <w:b w:val="1"/>
          <w:bCs w:val="1"/>
          <w:color w:val="auto"/>
        </w:rPr>
        <w:t>“accessories,”</w:t>
      </w:r>
      <w:r>
        <w:rPr>
          <w:sz w:val="20"/>
          <w:szCs w:val="20"/>
          <w:color w:val="auto"/>
        </w:rPr>
        <w:tab/>
      </w:r>
      <w:r>
        <w:rPr>
          <w:rFonts w:ascii="Times New Roman" w:cs="Times New Roman" w:eastAsia="Times New Roman" w:hAnsi="Times New Roman"/>
          <w:sz w:val="22"/>
          <w:szCs w:val="22"/>
          <w:b w:val="1"/>
          <w:bCs w:val="1"/>
          <w:color w:val="auto"/>
        </w:rPr>
        <w:t>and</w:t>
      </w:r>
    </w:p>
    <w:p>
      <w:pPr>
        <w:jc w:val="both"/>
        <w:spacing w:after="0" w:line="247" w:lineRule="auto"/>
        <w:rPr>
          <w:sz w:val="20"/>
          <w:szCs w:val="20"/>
          <w:color w:val="auto"/>
        </w:rPr>
      </w:pPr>
      <w:r>
        <w:rPr>
          <w:rFonts w:ascii="Times New Roman" w:cs="Times New Roman" w:eastAsia="Times New Roman" w:hAnsi="Times New Roman"/>
          <w:sz w:val="22"/>
          <w:szCs w:val="22"/>
          <w:b w:val="1"/>
          <w:bCs w:val="1"/>
          <w:color w:val="auto"/>
        </w:rPr>
        <w:t>“attachments” “specially designed” therefor, “specially designed” for a military application that are not enumerated in any USML category are controlled by ECCN 3A611.</w:t>
      </w:r>
    </w:p>
    <w:p>
      <w:pPr>
        <w:spacing w:after="0" w:line="200" w:lineRule="exact"/>
        <w:rPr>
          <w:sz w:val="20"/>
          <w:szCs w:val="20"/>
          <w:color w:val="auto"/>
        </w:rPr>
      </w:pPr>
    </w:p>
    <w:p>
      <w:pPr>
        <w:spacing w:after="0" w:line="264"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b w:val="1"/>
          <w:bCs w:val="1"/>
          <w:color w:val="auto"/>
        </w:rPr>
        <w:t>4A980 Computers for fingerprint equipment, n.e.s.</w:t>
      </w:r>
    </w:p>
    <w:p>
      <w:pPr>
        <w:spacing w:after="0" w:line="18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CC,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8"/>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00" w:type="dxa"/>
            <w:vAlign w:val="bottom"/>
            <w:tcBorders>
              <w:top w:val="single" w:sz="8" w:color="auto"/>
              <w:right w:val="single" w:sz="8" w:color="auto"/>
            </w:tcBorders>
          </w:tcPr>
          <w:p>
            <w:pPr>
              <w:jc w:val="center"/>
              <w:spacing w:after="0" w:line="248"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CC applies to entire entry</w:t>
            </w:r>
          </w:p>
        </w:tc>
        <w:tc>
          <w:tcPr>
            <w:tcW w:w="18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CC Column 1</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6"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LVS: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GBS: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CIV:</w:t>
        <w:tab/>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42"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4A980 does not control equipment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limited to one finger and designed for user authentication or access control.</w:t>
      </w:r>
    </w:p>
    <w:p>
      <w:pPr>
        <w:spacing w:after="0" w:line="200" w:lineRule="exact"/>
        <w:rPr>
          <w:sz w:val="20"/>
          <w:szCs w:val="20"/>
          <w:color w:val="auto"/>
        </w:rPr>
      </w:pPr>
    </w:p>
    <w:p>
      <w:pPr>
        <w:spacing w:after="0" w:line="254" w:lineRule="exact"/>
        <w:rPr>
          <w:sz w:val="20"/>
          <w:szCs w:val="20"/>
          <w:color w:val="auto"/>
        </w:rPr>
      </w:pPr>
    </w:p>
    <w:p>
      <w:pPr>
        <w:jc w:val="both"/>
        <w:spacing w:after="0" w:line="248" w:lineRule="auto"/>
        <w:rPr>
          <w:sz w:val="20"/>
          <w:szCs w:val="20"/>
          <w:color w:val="auto"/>
        </w:rPr>
      </w:pPr>
      <w:r>
        <w:rPr>
          <w:rFonts w:ascii="Times New Roman" w:cs="Times New Roman" w:eastAsia="Times New Roman" w:hAnsi="Times New Roman"/>
          <w:sz w:val="22"/>
          <w:szCs w:val="22"/>
          <w:b w:val="1"/>
          <w:bCs w:val="1"/>
          <w:color w:val="auto"/>
        </w:rPr>
        <w:t>4A994 Computers, “electronic assemblies” and related equipment, not controlled by 4A001 or 4A003, and “specially designed” “parts” and “components” therefor (see List of Items Controlled).</w:t>
      </w:r>
    </w:p>
    <w:p>
      <w:pPr>
        <w:spacing w:after="0" w:line="21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LVS: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GBS: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CIV:</w:t>
        <w:tab/>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49"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The control status of the “digital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computers” and related equipment described in 4A994 is determined by the control status of other equipment or systems provided:</w:t>
      </w:r>
    </w:p>
    <w:p>
      <w:pPr>
        <w:spacing w:after="0" w:line="204"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a. The “digital computers” or related equipment are essential for the operation of the other equipment or systems;</w:t>
      </w:r>
    </w:p>
    <w:p>
      <w:pPr>
        <w:spacing w:after="0" w:line="199"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b. The “digital computers” or related equipment are not a “principal element” of the other equipment or systems; and</w:t>
      </w:r>
    </w:p>
    <w:p>
      <w:pPr>
        <w:spacing w:after="0" w:line="477"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38" w:lineRule="exact"/>
        <w:rPr>
          <w:sz w:val="20"/>
          <w:szCs w:val="20"/>
          <w:color w:val="auto"/>
        </w:rPr>
      </w:pPr>
    </w:p>
    <w:p>
      <w:pPr>
        <w:spacing w:after="0"/>
        <w:tabs>
          <w:tab w:leader="none" w:pos="342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360"/>
          </w:cols>
          <w:pgMar w:left="1440" w:top="1422" w:right="1440" w:bottom="892" w:gutter="0" w:footer="0" w:header="0"/>
          <w:type w:val="continuous"/>
        </w:sectPr>
      </w:pPr>
    </w:p>
    <w:bookmarkStart w:id="5" w:name="page6"/>
    <w:bookmarkEnd w:id="5"/>
    <w:p>
      <w:pPr>
        <w:spacing w:after="0"/>
        <w:tabs>
          <w:tab w:leader="none" w:pos="3580" w:val="left"/>
          <w:tab w:leader="none" w:pos="77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4—page 6</w:t>
      </w:r>
    </w:p>
    <w:p>
      <w:pPr>
        <w:sectPr>
          <w:pgSz w:w="12240" w:h="15840" w:orient="portrait"/>
          <w:cols w:equalWidth="0" w:num="1">
            <w:col w:w="9360"/>
          </w:cols>
          <w:pgMar w:left="1440" w:top="1422" w:right="1440" w:bottom="892" w:gutter="0" w:footer="0" w:header="0"/>
        </w:sectPr>
      </w:pPr>
    </w:p>
    <w:p>
      <w:pPr>
        <w:spacing w:after="0" w:line="209" w:lineRule="exact"/>
        <w:rPr>
          <w:sz w:val="20"/>
          <w:szCs w:val="20"/>
          <w:color w:val="auto"/>
        </w:rPr>
      </w:pPr>
    </w:p>
    <w:p>
      <w:pPr>
        <w:jc w:val="both"/>
        <w:ind w:firstLine="720"/>
        <w:spacing w:after="0" w:line="24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1: </w:t>
      </w:r>
      <w:r>
        <w:rPr>
          <w:rFonts w:ascii="Times New Roman" w:cs="Times New Roman" w:eastAsia="Times New Roman" w:hAnsi="Times New Roman"/>
          <w:sz w:val="22"/>
          <w:szCs w:val="22"/>
          <w:i w:val="1"/>
          <w:iCs w:val="1"/>
          <w:color w:val="auto"/>
        </w:rPr>
        <w:t>The control status of “signal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processing” or “image enhancement” equipment “specially designed” for other equipment with functions limited to those required for the other equipment is determined by the control status of the other equipment even if it exceeds the “principal element” criterion.</w:t>
      </w:r>
    </w:p>
    <w:p>
      <w:pPr>
        <w:spacing w:after="0" w:line="209" w:lineRule="exact"/>
        <w:rPr>
          <w:sz w:val="20"/>
          <w:szCs w:val="20"/>
          <w:color w:val="auto"/>
        </w:rPr>
      </w:pPr>
    </w:p>
    <w:p>
      <w:pPr>
        <w:jc w:val="both"/>
        <w:ind w:firstLine="72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2: </w:t>
      </w:r>
      <w:r>
        <w:rPr>
          <w:rFonts w:ascii="Times New Roman" w:cs="Times New Roman" w:eastAsia="Times New Roman" w:hAnsi="Times New Roman"/>
          <w:sz w:val="22"/>
          <w:szCs w:val="22"/>
          <w:i w:val="1"/>
          <w:iCs w:val="1"/>
          <w:color w:val="auto"/>
        </w:rPr>
        <w:t>For the control status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“digital computers” or related equipment for telecommunications equipment, see Category 5, Part 1 (Telecommunications).</w:t>
      </w:r>
    </w:p>
    <w:p>
      <w:pPr>
        <w:spacing w:after="0" w:line="204"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c. The “technology” for the “digital computers” and related equipment is determined by 4E.</w:t>
      </w:r>
    </w:p>
    <w:p>
      <w:pPr>
        <w:spacing w:after="0" w:line="202"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a. Electronic computers and related equipment, and “electronic assemblies” and “specially designed” “parts” and “components” therefor, rated for operation at an ambient temperature above 343 K (70°C);</w:t>
      </w:r>
    </w:p>
    <w:p>
      <w:pPr>
        <w:spacing w:after="0" w:line="216"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b. “Digital computers”, including equipment of “signal processing” or image enhancement”, having an “Adjusted Peak Performance” (“APP”) equal to or greater than 0.0128 Weighted TeraFLOPS (WT);</w:t>
      </w:r>
    </w:p>
    <w:p>
      <w:pPr>
        <w:spacing w:after="0" w:line="216"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c. “Electronic assemblies” that are “specially designed” or modified to enhance performance by aggregation of processors, as follows:</w:t>
      </w:r>
    </w:p>
    <w:p>
      <w:pPr>
        <w:spacing w:after="0" w:line="205"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c.1. Designed to be capable of aggregation in configurations of 16 or more processors;</w:t>
      </w:r>
    </w:p>
    <w:p>
      <w:pPr>
        <w:spacing w:after="0" w:line="18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c.2. [Reserved];</w:t>
      </w:r>
    </w:p>
    <w:p>
      <w:pPr>
        <w:spacing w:after="0" w:line="24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4A994.c applies only to “electronic</w:t>
      </w:r>
    </w:p>
    <w:p>
      <w:pPr>
        <w:spacing w:after="0" w:line="6" w:lineRule="exact"/>
        <w:rPr>
          <w:sz w:val="20"/>
          <w:szCs w:val="20"/>
          <w:color w:val="auto"/>
        </w:rPr>
      </w:pPr>
    </w:p>
    <w:p>
      <w:pPr>
        <w:jc w:val="both"/>
        <w:spacing w:after="0" w:line="245" w:lineRule="auto"/>
        <w:rPr>
          <w:sz w:val="20"/>
          <w:szCs w:val="20"/>
          <w:color w:val="auto"/>
        </w:rPr>
      </w:pPr>
      <w:r>
        <w:rPr>
          <w:rFonts w:ascii="Times New Roman" w:cs="Times New Roman" w:eastAsia="Times New Roman" w:hAnsi="Times New Roman"/>
          <w:sz w:val="22"/>
          <w:szCs w:val="22"/>
          <w:i w:val="1"/>
          <w:iCs w:val="1"/>
          <w:color w:val="auto"/>
        </w:rPr>
        <w:t>assemblies” and programmable interconnections with a “APP” not exceeding the limits in 4A994.b, when shipped as unintegrated “electronic assemblies”. It does not apply to “electronic assemblies” inherently limited by nature of their design for use as related equipment controlled by 4A994.k.</w:t>
      </w:r>
    </w:p>
    <w:p>
      <w:pPr>
        <w:spacing w:after="0" w:line="20" w:lineRule="exact"/>
        <w:rPr>
          <w:sz w:val="20"/>
          <w:szCs w:val="20"/>
          <w:color w:val="auto"/>
        </w:rPr>
      </w:pPr>
      <w:r>
        <w:rPr>
          <w:sz w:val="20"/>
          <w:szCs w:val="20"/>
          <w:color w:val="auto"/>
        </w:rPr>
        <w:br w:type="column"/>
      </w:r>
    </w:p>
    <w:p>
      <w:pPr>
        <w:spacing w:after="0" w:line="188" w:lineRule="exact"/>
        <w:rPr>
          <w:sz w:val="20"/>
          <w:szCs w:val="20"/>
          <w:color w:val="auto"/>
        </w:rPr>
      </w:pPr>
    </w:p>
    <w:p>
      <w:pPr>
        <w:jc w:val="both"/>
        <w:ind w:firstLine="36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4A994.c does not control any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“electronic assembly” “specially designed” for a product or family of products whose maximum configuration does not exceed the limits of 4A994.b.</w:t>
      </w:r>
    </w:p>
    <w:p>
      <w:pPr>
        <w:spacing w:after="0" w:line="210" w:lineRule="exact"/>
        <w:rPr>
          <w:sz w:val="20"/>
          <w:szCs w:val="20"/>
          <w:color w:val="auto"/>
        </w:rPr>
      </w:pPr>
    </w:p>
    <w:p>
      <w:pPr>
        <w:ind w:left="280" w:hanging="280"/>
        <w:spacing w:after="0"/>
        <w:tabs>
          <w:tab w:leader="none" w:pos="280"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ind w:left="260" w:hanging="260"/>
        <w:spacing w:after="0"/>
        <w:tabs>
          <w:tab w:leader="none" w:pos="260"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2" w:lineRule="exact"/>
        <w:rPr>
          <w:rFonts w:ascii="Times New Roman" w:cs="Times New Roman" w:eastAsia="Times New Roman" w:hAnsi="Times New Roman"/>
          <w:sz w:val="22"/>
          <w:szCs w:val="22"/>
          <w:color w:val="auto"/>
        </w:rPr>
      </w:pPr>
    </w:p>
    <w:p>
      <w:pPr>
        <w:jc w:val="both"/>
        <w:spacing w:after="0" w:line="250" w:lineRule="auto"/>
        <w:tabs>
          <w:tab w:leader="none" w:pos="312"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for “signal processing” or “image enhancement” having an “Adjusted Peak Performance” (“APP”) equal to or greater than 0.0128 Weighted TeraFLOPS WT;</w:t>
      </w:r>
    </w:p>
    <w:p>
      <w:pPr>
        <w:spacing w:after="0" w:line="210" w:lineRule="exact"/>
        <w:rPr>
          <w:rFonts w:ascii="Times New Roman" w:cs="Times New Roman" w:eastAsia="Times New Roman" w:hAnsi="Times New Roman"/>
          <w:sz w:val="22"/>
          <w:szCs w:val="22"/>
          <w:color w:val="auto"/>
        </w:rPr>
      </w:pPr>
    </w:p>
    <w:p>
      <w:pPr>
        <w:ind w:left="220" w:hanging="220"/>
        <w:spacing w:after="0"/>
        <w:tabs>
          <w:tab w:leader="none" w:pos="220"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ind w:left="220" w:hanging="220"/>
        <w:spacing w:after="0"/>
        <w:tabs>
          <w:tab w:leader="none" w:pos="220"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2" w:lineRule="exact"/>
        <w:rPr>
          <w:rFonts w:ascii="Times New Roman" w:cs="Times New Roman" w:eastAsia="Times New Roman" w:hAnsi="Times New Roman"/>
          <w:sz w:val="22"/>
          <w:szCs w:val="22"/>
          <w:color w:val="auto"/>
        </w:rPr>
      </w:pPr>
    </w:p>
    <w:p>
      <w:pPr>
        <w:spacing w:after="0" w:line="271" w:lineRule="auto"/>
        <w:tabs>
          <w:tab w:leader="none" w:pos="472"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containing “terminal interface equipment” exceeding the limits in 5A991;</w:t>
      </w:r>
    </w:p>
    <w:p>
      <w:pPr>
        <w:spacing w:after="0" w:line="188" w:lineRule="exact"/>
        <w:rPr>
          <w:rFonts w:ascii="Times New Roman" w:cs="Times New Roman" w:eastAsia="Times New Roman" w:hAnsi="Times New Roman"/>
          <w:sz w:val="22"/>
          <w:szCs w:val="22"/>
          <w:color w:val="auto"/>
        </w:rPr>
      </w:pPr>
    </w:p>
    <w:p>
      <w:pPr>
        <w:jc w:val="both"/>
        <w:spacing w:after="0" w:line="247" w:lineRule="auto"/>
        <w:tabs>
          <w:tab w:leader="none" w:pos="244"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Equipment “specially designed” to provide external interconnection of “digital computers” or associated equipment that allows communications at data rates exceeding 80 Mbyte/s.</w:t>
      </w:r>
    </w:p>
    <w:p>
      <w:pPr>
        <w:spacing w:after="0" w:line="211" w:lineRule="exact"/>
        <w:rPr>
          <w:sz w:val="20"/>
          <w:szCs w:val="20"/>
          <w:color w:val="auto"/>
        </w:rPr>
      </w:pPr>
    </w:p>
    <w:p>
      <w:pPr>
        <w:jc w:val="both"/>
        <w:ind w:firstLine="360"/>
        <w:spacing w:after="0" w:line="241"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4A994.j does not control internal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interconnection equipment (e.g., backplanes, buses) passive interconnection equipment,</w:t>
      </w:r>
    </w:p>
    <w:p>
      <w:pPr>
        <w:spacing w:after="0" w:line="2"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i w:val="1"/>
          <w:iCs w:val="1"/>
          <w:color w:val="auto"/>
        </w:rPr>
        <w:t>“network access controllers” or “communication channel controllers”.</w:t>
      </w:r>
    </w:p>
    <w:p>
      <w:pPr>
        <w:spacing w:after="0" w:line="187"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k. “Hybrid computers” and “electronic assemblies” and “specially designed” “parts” and “components” therefor containing analog-to-digital converters having all of the following characteristics:</w:t>
      </w:r>
    </w:p>
    <w:p>
      <w:pPr>
        <w:spacing w:after="0" w:line="21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k.1.  32 channels or more; and</w:t>
      </w:r>
    </w:p>
    <w:p>
      <w:pPr>
        <w:spacing w:after="0" w:line="252"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k.2. A resolution of 14 bit (plus sign bit) or more with a conversion rate of 200,000 conversions/s or more.</w:t>
      </w:r>
    </w:p>
    <w:p>
      <w:pPr>
        <w:spacing w:after="0" w:line="444"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00" w:lineRule="exact"/>
        <w:rPr>
          <w:sz w:val="20"/>
          <w:szCs w:val="20"/>
          <w:color w:val="auto"/>
        </w:rPr>
      </w:pPr>
    </w:p>
    <w:p>
      <w:pPr>
        <w:spacing w:after="0" w:line="258" w:lineRule="exact"/>
        <w:rPr>
          <w:sz w:val="20"/>
          <w:szCs w:val="20"/>
          <w:color w:val="auto"/>
        </w:rPr>
      </w:pPr>
    </w:p>
    <w:p>
      <w:pPr>
        <w:spacing w:after="0"/>
        <w:tabs>
          <w:tab w:leader="none" w:pos="342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sectPr>
      <w:pgSz w:w="12240" w:h="15840" w:orient="portrait"/>
      <w:cols w:equalWidth="0" w:num="1">
        <w:col w:w="9360"/>
      </w:cols>
      <w:pgMar w:left="1440" w:top="1422" w:right="1440" w:bottom="892"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3D1B58BA"/>
    <w:multiLevelType w:val="hybridMultilevel"/>
    <w:lvl w:ilvl="0">
      <w:lvlJc w:val="left"/>
      <w:lvlText w:val="%1."/>
      <w:numFmt w:val="upperLetter"/>
      <w:start w:val="1"/>
    </w:lvl>
  </w:abstractNum>
  <w:abstractNum w:abstractNumId="1">
    <w:nsid w:val="507ED7AB"/>
    <w:multiLevelType w:val="hybridMultilevel"/>
    <w:lvl w:ilvl="0">
      <w:lvlJc w:val="left"/>
      <w:lvlText w:val="-"/>
      <w:numFmt w:val="bullet"/>
      <w:start w:val="1"/>
    </w:lvl>
  </w:abstractNum>
  <w:abstractNum w:abstractNumId="2">
    <w:nsid w:val="2EB141F2"/>
    <w:multiLevelType w:val="hybridMultilevel"/>
    <w:lvl w:ilvl="0">
      <w:lvlJc w:val="left"/>
      <w:lvlText w:val="%1"/>
      <w:numFmt w:val="lowerLetter"/>
      <w:start w:val="1"/>
    </w:lvl>
    <w:lvl w:ilvl="1">
      <w:lvlJc w:val="left"/>
      <w:lvlText w:val="%2."/>
      <w:numFmt w:val="lowerLetter"/>
      <w:start w:val="3"/>
    </w:lvl>
  </w:abstractNum>
  <w:abstractNum w:abstractNumId="3">
    <w:nsid w:val="41B71EFB"/>
    <w:multiLevelType w:val="hybridMultilevel"/>
    <w:lvl w:ilvl="0">
      <w:lvlJc w:val="left"/>
      <w:lvlText w:val="%1."/>
      <w:numFmt w:val="lowerLetter"/>
      <w:start w:val="1"/>
    </w:lvl>
    <w:lvl w:ilvl="1">
      <w:lvlJc w:val="left"/>
      <w:lvlText w:val="%2"/>
      <w:numFmt w:val="lowerLetter"/>
      <w:start w:val="1"/>
    </w:lvl>
  </w:abstractNum>
  <w:abstractNum w:abstractNumId="4">
    <w:nsid w:val="79E2A9E3"/>
    <w:multiLevelType w:val="hybridMultilevel"/>
    <w:lvl w:ilvl="0">
      <w:lvlJc w:val="left"/>
      <w:lvlText w:val="%1."/>
      <w:numFmt w:val="lowerLetter"/>
      <w:start w:val="2"/>
    </w:lvl>
  </w:abstractNum>
  <w:abstractNum w:abstractNumId="5">
    <w:nsid w:val="7545E146"/>
    <w:multiLevelType w:val="hybridMultilevel"/>
    <w:lvl w:ilvl="0">
      <w:lvlJc w:val="left"/>
      <w:lvlText w:val="%1."/>
      <w:numFmt w:val="lowerLetter"/>
      <w:start w:val="7"/>
    </w:lvl>
  </w:abstractNum>
  <w:abstractNum w:abstractNumId="6">
    <w:nsid w:val="515F007C"/>
    <w:multiLevelType w:val="hybridMultilevel"/>
    <w:lvl w:ilvl="0">
      <w:lvlJc w:val="left"/>
      <w:lvlText w:val="%1."/>
      <w:numFmt w:val="decimal"/>
      <w:start w:val="2"/>
    </w:lvl>
  </w:abstractNum>
  <w:abstractNum w:abstractNumId="7">
    <w:nsid w:val="5BD062C2"/>
    <w:multiLevelType w:val="hybridMultilevel"/>
    <w:lvl w:ilvl="0">
      <w:lvlJc w:val="left"/>
      <w:lvlText w:val="%1."/>
      <w:numFmt w:val="decimal"/>
      <w:start w:val="3"/>
    </w:lvl>
  </w:abstractNum>
  <w:abstractNum w:abstractNumId="8">
    <w:nsid w:val="12200854"/>
    <w:multiLevelType w:val="hybridMultilevel"/>
    <w:lvl w:ilvl="0">
      <w:lvlJc w:val="left"/>
      <w:lvlText w:val="%1."/>
      <w:numFmt w:val="lowerLetter"/>
      <w:start w:val="1"/>
    </w:lvl>
  </w:abstractNum>
  <w:abstractNum w:abstractNumId="9">
    <w:nsid w:val="4DB127F8"/>
    <w:multiLevelType w:val="hybridMultilevel"/>
    <w:lvl w:ilvl="0">
      <w:lvlJc w:val="left"/>
      <w:lvlText w:val="%1."/>
      <w:numFmt w:val="lowerLetter"/>
      <w:start w:val="4"/>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2020-05-27T05:27:19Z</dcterms:created>
  <dcterms:modified xsi:type="dcterms:W3CDTF">2020-05-27T05:27:19Z</dcterms:modified>
</cp:coreProperties>
</file>