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120"/>
        <w:spacing w:after="0"/>
        <w:tabs>
          <w:tab w:leader="none" w:pos="3660" w:val="left"/>
          <w:tab w:leader="none" w:pos="620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1</w:t>
      </w:r>
    </w:p>
    <w:p>
      <w:pPr>
        <w:sectPr>
          <w:pgSz w:w="12240" w:h="15840" w:orient="portrait"/>
          <w:cols w:equalWidth="0" w:num="1">
            <w:col w:w="9660"/>
          </w:cols>
          <w:pgMar w:left="1320" w:top="1422" w:right="1260" w:bottom="892" w:gutter="0" w:footer="0" w:header="0"/>
        </w:sectPr>
      </w:pPr>
    </w:p>
    <w:p>
      <w:pPr>
        <w:spacing w:after="0" w:line="209" w:lineRule="exact"/>
        <w:rPr>
          <w:sz w:val="24"/>
          <w:szCs w:val="24"/>
          <w:color w:val="auto"/>
        </w:rPr>
      </w:pPr>
    </w:p>
    <w:p>
      <w:pPr>
        <w:jc w:val="center"/>
        <w:ind w:right="60"/>
        <w:spacing w:after="0"/>
        <w:rPr>
          <w:sz w:val="20"/>
          <w:szCs w:val="20"/>
          <w:color w:val="auto"/>
        </w:rPr>
      </w:pPr>
      <w:r>
        <w:rPr>
          <w:rFonts w:ascii="Times New Roman" w:cs="Times New Roman" w:eastAsia="Times New Roman" w:hAnsi="Times New Roman"/>
          <w:sz w:val="24"/>
          <w:szCs w:val="24"/>
          <w:b w:val="1"/>
          <w:bCs w:val="1"/>
          <w:i w:val="1"/>
          <w:iCs w:val="1"/>
          <w:color w:val="auto"/>
        </w:rPr>
        <w:t>CATEGORY 5 –</w:t>
      </w:r>
    </w:p>
    <w:p>
      <w:pPr>
        <w:spacing w:after="0" w:line="6" w:lineRule="exact"/>
        <w:rPr>
          <w:sz w:val="24"/>
          <w:szCs w:val="24"/>
          <w:color w:val="auto"/>
        </w:rPr>
      </w:pPr>
    </w:p>
    <w:p>
      <w:pPr>
        <w:jc w:val="center"/>
        <w:ind w:right="60"/>
        <w:spacing w:after="0"/>
        <w:rPr>
          <w:sz w:val="20"/>
          <w:szCs w:val="20"/>
          <w:color w:val="auto"/>
        </w:rPr>
      </w:pPr>
      <w:r>
        <w:rPr>
          <w:rFonts w:ascii="Times New Roman" w:cs="Times New Roman" w:eastAsia="Times New Roman" w:hAnsi="Times New Roman"/>
          <w:sz w:val="24"/>
          <w:szCs w:val="24"/>
          <w:b w:val="1"/>
          <w:bCs w:val="1"/>
          <w:i w:val="1"/>
          <w:iCs w:val="1"/>
          <w:color w:val="auto"/>
        </w:rPr>
        <w:t>TELECOMMUNICATIONS AND</w:t>
      </w:r>
    </w:p>
    <w:p>
      <w:pPr>
        <w:jc w:val="center"/>
        <w:ind w:right="60"/>
        <w:spacing w:after="0"/>
        <w:rPr>
          <w:sz w:val="20"/>
          <w:szCs w:val="20"/>
          <w:color w:val="auto"/>
        </w:rPr>
      </w:pPr>
      <w:r>
        <w:rPr>
          <w:rFonts w:ascii="Times New Roman" w:cs="Times New Roman" w:eastAsia="Times New Roman" w:hAnsi="Times New Roman"/>
          <w:sz w:val="24"/>
          <w:szCs w:val="24"/>
          <w:b w:val="1"/>
          <w:bCs w:val="1"/>
          <w:i w:val="1"/>
          <w:iCs w:val="1"/>
          <w:color w:val="auto"/>
        </w:rPr>
        <w:t>“INFORMATION SECURITY”</w:t>
      </w:r>
    </w:p>
    <w:p>
      <w:pPr>
        <w:spacing w:after="0" w:line="1" w:lineRule="exact"/>
        <w:rPr>
          <w:sz w:val="24"/>
          <w:szCs w:val="24"/>
          <w:color w:val="auto"/>
        </w:rPr>
      </w:pPr>
    </w:p>
    <w:p>
      <w:pPr>
        <w:ind w:left="120" w:right="1100"/>
        <w:spacing w:after="0" w:line="477" w:lineRule="auto"/>
        <w:rPr>
          <w:sz w:val="20"/>
          <w:szCs w:val="20"/>
          <w:color w:val="auto"/>
        </w:rPr>
      </w:pPr>
      <w:r>
        <w:rPr>
          <w:rFonts w:ascii="Times New Roman" w:cs="Times New Roman" w:eastAsia="Times New Roman" w:hAnsi="Times New Roman"/>
          <w:sz w:val="22"/>
          <w:szCs w:val="22"/>
          <w:b w:val="1"/>
          <w:bCs w:val="1"/>
          <w:i w:val="1"/>
          <w:iCs w:val="1"/>
          <w:color w:val="auto"/>
        </w:rPr>
        <w:t>Part 1 – TELECOMMUNICATIONS Notes:</w:t>
      </w:r>
    </w:p>
    <w:p>
      <w:pPr>
        <w:spacing w:after="0" w:line="2" w:lineRule="exact"/>
        <w:rPr>
          <w:sz w:val="24"/>
          <w:szCs w:val="24"/>
          <w:color w:val="auto"/>
        </w:rPr>
      </w:pPr>
    </w:p>
    <w:p>
      <w:pPr>
        <w:jc w:val="both"/>
        <w:ind w:left="120" w:right="180" w:firstLine="360"/>
        <w:spacing w:after="0" w:line="248" w:lineRule="auto"/>
        <w:tabs>
          <w:tab w:leader="none" w:pos="784" w:val="left"/>
        </w:tabs>
        <w:numPr>
          <w:ilvl w:val="0"/>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control status of “components,” test and “production” equipment, and “software” therefor which are “specially designed” for telecommunications equipment or systems is determined in Category 5, Part 1.</w:t>
      </w:r>
    </w:p>
    <w:p>
      <w:pPr>
        <w:spacing w:after="0" w:line="209" w:lineRule="exact"/>
        <w:rPr>
          <w:sz w:val="24"/>
          <w:szCs w:val="24"/>
          <w:color w:val="auto"/>
        </w:rPr>
      </w:pPr>
    </w:p>
    <w:p>
      <w:pPr>
        <w:jc w:val="both"/>
        <w:ind w:left="120" w:right="180"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“lasers” “specially designed” for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telecommunications equipment or systems, see ECCN 6A005.</w:t>
      </w:r>
    </w:p>
    <w:p>
      <w:pPr>
        <w:spacing w:after="0" w:line="198" w:lineRule="exact"/>
        <w:rPr>
          <w:sz w:val="24"/>
          <w:szCs w:val="24"/>
          <w:color w:val="auto"/>
        </w:rPr>
      </w:pPr>
    </w:p>
    <w:p>
      <w:pPr>
        <w:jc w:val="both"/>
        <w:ind w:left="120" w:right="180" w:firstLine="360"/>
        <w:spacing w:after="0"/>
        <w:tabs>
          <w:tab w:leader="none" w:pos="811"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“Digital computers”, related equipment or “software”, when essential for the operation and support of telecommunications equipment described in this Category, are regarded as “specially designed” “components,” provided they are the standard models customarily supplied by the manufacturer. This includes</w:t>
      </w:r>
    </w:p>
    <w:p>
      <w:pPr>
        <w:spacing w:after="0" w:line="4" w:lineRule="exact"/>
        <w:rPr>
          <w:rFonts w:ascii="Times New Roman" w:cs="Times New Roman" w:eastAsia="Times New Roman" w:hAnsi="Times New Roman"/>
          <w:sz w:val="22"/>
          <w:szCs w:val="22"/>
          <w:i w:val="1"/>
          <w:iCs w:val="1"/>
          <w:color w:val="auto"/>
        </w:rPr>
      </w:pPr>
    </w:p>
    <w:p>
      <w:pPr>
        <w:ind w:left="120" w:right="180"/>
        <w:spacing w:after="0" w:line="271"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operation, administration, maintenance, engineering or billing computer systems.</w:t>
      </w:r>
    </w:p>
    <w:p>
      <w:pPr>
        <w:spacing w:after="0" w:line="200" w:lineRule="exact"/>
        <w:rPr>
          <w:rFonts w:ascii="Times New Roman" w:cs="Times New Roman" w:eastAsia="Times New Roman" w:hAnsi="Times New Roman"/>
          <w:sz w:val="22"/>
          <w:szCs w:val="22"/>
          <w:i w:val="1"/>
          <w:iCs w:val="1"/>
          <w:color w:val="auto"/>
        </w:rPr>
      </w:pPr>
    </w:p>
    <w:p>
      <w:pPr>
        <w:spacing w:after="0" w:line="236" w:lineRule="exact"/>
        <w:rPr>
          <w:rFonts w:ascii="Times New Roman" w:cs="Times New Roman" w:eastAsia="Times New Roman" w:hAnsi="Times New Roman"/>
          <w:sz w:val="22"/>
          <w:szCs w:val="22"/>
          <w:i w:val="1"/>
          <w:iCs w:val="1"/>
          <w:color w:val="auto"/>
        </w:rPr>
      </w:pPr>
    </w:p>
    <w:p>
      <w:pPr>
        <w:ind w:left="340" w:right="400" w:firstLine="183"/>
        <w:spacing w:after="0" w:line="253" w:lineRule="auto"/>
        <w:tabs>
          <w:tab w:leader="none" w:pos="849" w:val="left"/>
        </w:tabs>
        <w:numPr>
          <w:ilvl w:val="1"/>
          <w:numId w:val="2"/>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“END ITEMS,” “EQUIPMENT,” “ACCESSORIES,” “ATTACHMENTS,”</w:t>
      </w:r>
    </w:p>
    <w:p>
      <w:pPr>
        <w:spacing w:after="0" w:line="1" w:lineRule="exact"/>
        <w:rPr>
          <w:rFonts w:ascii="Times New Roman" w:cs="Times New Roman" w:eastAsia="Times New Roman" w:hAnsi="Times New Roman"/>
          <w:sz w:val="21"/>
          <w:szCs w:val="21"/>
          <w:b w:val="1"/>
          <w:bCs w:val="1"/>
          <w:color w:val="auto"/>
        </w:rPr>
      </w:pPr>
    </w:p>
    <w:p>
      <w:pPr>
        <w:ind w:left="56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“PARTS,” “COMPONENTS,” AND</w:t>
      </w:r>
    </w:p>
    <w:p>
      <w:pPr>
        <w:ind w:left="166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“SYSTEMS”</w:t>
      </w:r>
    </w:p>
    <w:p>
      <w:pPr>
        <w:spacing w:after="0" w:line="200" w:lineRule="exact"/>
        <w:rPr>
          <w:sz w:val="24"/>
          <w:szCs w:val="24"/>
          <w:color w:val="auto"/>
        </w:rPr>
      </w:pPr>
    </w:p>
    <w:p>
      <w:pPr>
        <w:spacing w:after="0" w:line="301" w:lineRule="exact"/>
        <w:rPr>
          <w:sz w:val="24"/>
          <w:szCs w:val="24"/>
          <w:color w:val="auto"/>
        </w:rPr>
      </w:pPr>
    </w:p>
    <w:p>
      <w:pPr>
        <w:jc w:val="both"/>
        <w:ind w:left="120" w:right="180"/>
        <w:spacing w:after="0" w:line="257" w:lineRule="auto"/>
        <w:rPr>
          <w:sz w:val="20"/>
          <w:szCs w:val="20"/>
          <w:color w:val="auto"/>
        </w:rPr>
      </w:pPr>
      <w:r>
        <w:rPr>
          <w:rFonts w:ascii="Times New Roman" w:cs="Times New Roman" w:eastAsia="Times New Roman" w:hAnsi="Times New Roman"/>
          <w:sz w:val="22"/>
          <w:szCs w:val="22"/>
          <w:b w:val="1"/>
          <w:bCs w:val="1"/>
          <w:color w:val="auto"/>
        </w:rPr>
        <w:t>5A001 Telecommunications systems, equipment, “components” and “accessories,” as follows (see List of Items Controlled).</w:t>
      </w:r>
    </w:p>
    <w:p>
      <w:pPr>
        <w:spacing w:after="0" w:line="199"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4"/>
          <w:szCs w:val="24"/>
          <w:color w:val="auto"/>
        </w:rPr>
      </w:pPr>
    </w:p>
    <w:p>
      <w:pPr>
        <w:ind w:left="120"/>
        <w:spacing w:after="0"/>
        <w:tabs>
          <w:tab w:leader="none" w:pos="202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SL, AT</w:t>
      </w:r>
    </w:p>
    <w:p>
      <w:pPr>
        <w:spacing w:after="0" w:line="248" w:lineRule="exact"/>
        <w:rPr>
          <w:sz w:val="24"/>
          <w:szCs w:val="24"/>
          <w:color w:val="auto"/>
        </w:rPr>
      </w:pPr>
    </w:p>
    <w:tbl>
      <w:tblPr>
        <w:tblLayout w:type="fixed"/>
        <w:tblInd w:w="10" w:type="dxa"/>
        <w:tblCellMar>
          <w:top w:w="0" w:type="dxa"/>
          <w:left w:w="0" w:type="dxa"/>
          <w:bottom w:w="0" w:type="dxa"/>
          <w:right w:w="0" w:type="dxa"/>
        </w:tblCellMar>
      </w:tblPr>
      <w:tr>
        <w:trPr>
          <w:trHeight w:val="249"/>
        </w:trPr>
        <w:tc>
          <w:tcPr>
            <w:tcW w:w="2380" w:type="dxa"/>
            <w:vAlign w:val="bottom"/>
            <w:tcBorders>
              <w:top w:val="single" w:sz="8" w:color="auto"/>
              <w:left w:val="single" w:sz="8" w:color="auto"/>
              <w:right w:val="single" w:sz="8" w:color="auto"/>
            </w:tcBorders>
          </w:tcPr>
          <w:p>
            <w:pPr>
              <w:spacing w:after="0"/>
              <w:rPr>
                <w:sz w:val="21"/>
                <w:szCs w:val="21"/>
                <w:color w:val="auto"/>
              </w:rPr>
            </w:pPr>
          </w:p>
        </w:tc>
        <w:tc>
          <w:tcPr>
            <w:tcW w:w="226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380" w:type="dxa"/>
            <w:vAlign w:val="bottom"/>
            <w:tcBorders>
              <w:left w:val="single" w:sz="8" w:color="auto"/>
              <w:right w:val="single" w:sz="8" w:color="auto"/>
            </w:tcBorders>
          </w:tcPr>
          <w:p>
            <w:pPr>
              <w:jc w:val="right"/>
              <w:ind w:right="63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26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Supp. No.1 to part</w:t>
            </w:r>
          </w:p>
        </w:tc>
      </w:tr>
      <w:tr>
        <w:trPr>
          <w:trHeight w:val="272"/>
        </w:trPr>
        <w:tc>
          <w:tcPr>
            <w:tcW w:w="2380" w:type="dxa"/>
            <w:vAlign w:val="bottom"/>
            <w:tcBorders>
              <w:left w:val="single" w:sz="8" w:color="auto"/>
              <w:bottom w:val="single" w:sz="8" w:color="auto"/>
              <w:right w:val="single" w:sz="8" w:color="auto"/>
            </w:tcBorders>
          </w:tcPr>
          <w:p>
            <w:pPr>
              <w:spacing w:after="0"/>
              <w:rPr>
                <w:sz w:val="23"/>
                <w:szCs w:val="23"/>
                <w:color w:val="auto"/>
              </w:rPr>
            </w:pPr>
          </w:p>
        </w:tc>
        <w:tc>
          <w:tcPr>
            <w:tcW w:w="226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26"/>
        </w:trPr>
        <w:tc>
          <w:tcPr>
            <w:tcW w:w="2380" w:type="dxa"/>
            <w:vAlign w:val="bottom"/>
            <w:tcBorders>
              <w:left w:val="single" w:sz="8" w:color="auto"/>
              <w:right w:val="single" w:sz="8" w:color="auto"/>
            </w:tcBorders>
          </w:tcPr>
          <w:p>
            <w:pPr>
              <w:jc w:val="right"/>
              <w:ind w:right="10"/>
              <w:spacing w:after="0" w:line="226" w:lineRule="exact"/>
              <w:rPr>
                <w:sz w:val="20"/>
                <w:szCs w:val="20"/>
                <w:color w:val="auto"/>
              </w:rPr>
            </w:pPr>
            <w:r>
              <w:rPr>
                <w:rFonts w:ascii="Times New Roman" w:cs="Times New Roman" w:eastAsia="Times New Roman" w:hAnsi="Times New Roman"/>
                <w:sz w:val="22"/>
                <w:szCs w:val="22"/>
                <w:color w:val="auto"/>
              </w:rPr>
              <w:t>NS applies to 5A001.a,</w:t>
            </w:r>
          </w:p>
        </w:tc>
        <w:tc>
          <w:tcPr>
            <w:tcW w:w="2260" w:type="dxa"/>
            <w:vAlign w:val="bottom"/>
            <w:tcBorders>
              <w:right w:val="single" w:sz="8" w:color="auto"/>
            </w:tcBorders>
          </w:tcPr>
          <w:p>
            <w:pPr>
              <w:ind w:left="100"/>
              <w:spacing w:after="0" w:line="226" w:lineRule="exact"/>
              <w:rPr>
                <w:sz w:val="20"/>
                <w:szCs w:val="20"/>
                <w:color w:val="auto"/>
              </w:rPr>
            </w:pPr>
            <w:r>
              <w:rPr>
                <w:rFonts w:ascii="Times New Roman" w:cs="Times New Roman" w:eastAsia="Times New Roman" w:hAnsi="Times New Roman"/>
                <w:sz w:val="22"/>
                <w:szCs w:val="22"/>
                <w:color w:val="auto"/>
              </w:rPr>
              <w:t>NS Column 1</w:t>
            </w:r>
          </w:p>
        </w:tc>
      </w:tr>
      <w:tr>
        <w:trPr>
          <w:trHeight w:val="270"/>
        </w:trPr>
        <w:tc>
          <w:tcPr>
            <w:tcW w:w="2380" w:type="dxa"/>
            <w:vAlign w:val="bottom"/>
            <w:tcBorders>
              <w:left w:val="single" w:sz="8" w:color="auto"/>
              <w:bottom w:val="single" w:sz="8" w:color="auto"/>
              <w:right w:val="single" w:sz="8" w:color="auto"/>
            </w:tcBorders>
          </w:tcPr>
          <w:p>
            <w:pPr>
              <w:jc w:val="right"/>
              <w:ind w:right="610"/>
              <w:spacing w:after="0"/>
              <w:rPr>
                <w:sz w:val="20"/>
                <w:szCs w:val="20"/>
                <w:color w:val="auto"/>
              </w:rPr>
            </w:pPr>
            <w:r>
              <w:rPr>
                <w:rFonts w:ascii="Times New Roman" w:cs="Times New Roman" w:eastAsia="Times New Roman" w:hAnsi="Times New Roman"/>
                <w:sz w:val="22"/>
                <w:szCs w:val="22"/>
                <w:color w:val="auto"/>
              </w:rPr>
              <w:t>b.5, .e, .f.3 and .h</w:t>
            </w:r>
          </w:p>
        </w:tc>
        <w:tc>
          <w:tcPr>
            <w:tcW w:w="2260" w:type="dxa"/>
            <w:vAlign w:val="bottom"/>
            <w:tcBorders>
              <w:bottom w:val="single" w:sz="8" w:color="auto"/>
              <w:right w:val="single" w:sz="8" w:color="auto"/>
            </w:tcBorders>
          </w:tcPr>
          <w:p>
            <w:pPr>
              <w:spacing w:after="0"/>
              <w:rPr>
                <w:sz w:val="23"/>
                <w:szCs w:val="23"/>
                <w:color w:val="auto"/>
              </w:rPr>
            </w:pPr>
          </w:p>
        </w:tc>
      </w:tr>
    </w:tbl>
    <w:p>
      <w:pPr>
        <w:spacing w:after="0" w:line="20" w:lineRule="exact"/>
        <w:rPr>
          <w:sz w:val="24"/>
          <w:szCs w:val="24"/>
          <w:color w:val="auto"/>
        </w:rPr>
      </w:pPr>
      <w:r>
        <w:rPr>
          <w:sz w:val="24"/>
          <w:szCs w:val="24"/>
          <w:color w:val="auto"/>
        </w:rPr>
        <w:br w:type="column"/>
      </w:r>
    </w:p>
    <w:p>
      <w:pPr>
        <w:spacing w:after="0" w:line="184" w:lineRule="exact"/>
        <w:rPr>
          <w:sz w:val="24"/>
          <w:szCs w:val="24"/>
          <w:color w:val="auto"/>
        </w:rPr>
      </w:pPr>
    </w:p>
    <w:p>
      <w:pPr>
        <w:spacing w:after="0" w:line="1" w:lineRule="exact"/>
        <w:rPr>
          <w:sz w:val="1"/>
          <w:szCs w:val="1"/>
          <w:color w:val="auto"/>
        </w:rPr>
      </w:pPr>
    </w:p>
    <w:tbl>
      <w:tblPr>
        <w:tblLayout w:type="fixed"/>
        <w:tblInd w:w="10" w:type="dxa"/>
        <w:tblCellMar>
          <w:top w:w="0" w:type="dxa"/>
          <w:left w:w="0" w:type="dxa"/>
          <w:bottom w:w="0" w:type="dxa"/>
          <w:right w:w="0" w:type="dxa"/>
        </w:tblCellMar>
      </w:tblPr>
      <w:tr>
        <w:trPr>
          <w:trHeight w:val="253"/>
        </w:trPr>
        <w:tc>
          <w:tcPr>
            <w:tcW w:w="238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NS applies to 5A001.b</w:t>
            </w:r>
          </w:p>
        </w:tc>
        <w:tc>
          <w:tcPr>
            <w:tcW w:w="1300" w:type="dxa"/>
            <w:vAlign w:val="bottom"/>
            <w:tcBorders>
              <w:top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w w:val="97"/>
              </w:rPr>
              <w:t>NS Column 2</w:t>
            </w:r>
          </w:p>
        </w:tc>
        <w:tc>
          <w:tcPr>
            <w:tcW w:w="440" w:type="dxa"/>
            <w:vAlign w:val="bottom"/>
            <w:tcBorders>
              <w:top w:val="single" w:sz="8" w:color="auto"/>
            </w:tcBorders>
          </w:tcPr>
          <w:p>
            <w:pPr>
              <w:spacing w:after="0"/>
              <w:rPr>
                <w:sz w:val="22"/>
                <w:szCs w:val="22"/>
                <w:color w:val="auto"/>
              </w:rPr>
            </w:pPr>
          </w:p>
        </w:tc>
        <w:tc>
          <w:tcPr>
            <w:tcW w:w="520" w:type="dxa"/>
            <w:vAlign w:val="bottom"/>
            <w:tcBorders>
              <w:top w:val="single" w:sz="8" w:color="auto"/>
              <w:right w:val="single" w:sz="8" w:color="auto"/>
            </w:tcBorders>
          </w:tcPr>
          <w:p>
            <w:pPr>
              <w:spacing w:after="0"/>
              <w:rPr>
                <w:sz w:val="22"/>
                <w:szCs w:val="22"/>
                <w:color w:val="auto"/>
              </w:rPr>
            </w:pPr>
          </w:p>
        </w:tc>
      </w:tr>
      <w:tr>
        <w:trPr>
          <w:trHeight w:val="253"/>
        </w:trPr>
        <w:tc>
          <w:tcPr>
            <w:tcW w:w="238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(except .b.5), .c, .d, .f</w:t>
            </w:r>
          </w:p>
        </w:tc>
        <w:tc>
          <w:tcPr>
            <w:tcW w:w="540" w:type="dxa"/>
            <w:vAlign w:val="bottom"/>
          </w:tcPr>
          <w:p>
            <w:pPr>
              <w:spacing w:after="0"/>
              <w:rPr>
                <w:sz w:val="22"/>
                <w:szCs w:val="22"/>
                <w:color w:val="auto"/>
              </w:rPr>
            </w:pPr>
          </w:p>
        </w:tc>
        <w:tc>
          <w:tcPr>
            <w:tcW w:w="460" w:type="dxa"/>
            <w:vAlign w:val="bottom"/>
          </w:tcPr>
          <w:p>
            <w:pPr>
              <w:spacing w:after="0"/>
              <w:rPr>
                <w:sz w:val="22"/>
                <w:szCs w:val="22"/>
                <w:color w:val="auto"/>
              </w:rPr>
            </w:pPr>
          </w:p>
        </w:tc>
        <w:tc>
          <w:tcPr>
            <w:tcW w:w="300" w:type="dxa"/>
            <w:vAlign w:val="bottom"/>
          </w:tcPr>
          <w:p>
            <w:pPr>
              <w:spacing w:after="0"/>
              <w:rPr>
                <w:sz w:val="22"/>
                <w:szCs w:val="22"/>
                <w:color w:val="auto"/>
              </w:rPr>
            </w:pPr>
          </w:p>
        </w:tc>
        <w:tc>
          <w:tcPr>
            <w:tcW w:w="440" w:type="dxa"/>
            <w:vAlign w:val="bottom"/>
          </w:tcPr>
          <w:p>
            <w:pPr>
              <w:spacing w:after="0"/>
              <w:rPr>
                <w:sz w:val="22"/>
                <w:szCs w:val="22"/>
                <w:color w:val="auto"/>
              </w:rPr>
            </w:pPr>
          </w:p>
        </w:tc>
        <w:tc>
          <w:tcPr>
            <w:tcW w:w="520" w:type="dxa"/>
            <w:vAlign w:val="bottom"/>
            <w:tcBorders>
              <w:right w:val="single" w:sz="8" w:color="auto"/>
            </w:tcBorders>
          </w:tcPr>
          <w:p>
            <w:pPr>
              <w:spacing w:after="0"/>
              <w:rPr>
                <w:sz w:val="22"/>
                <w:szCs w:val="22"/>
                <w:color w:val="auto"/>
              </w:rPr>
            </w:pPr>
          </w:p>
        </w:tc>
      </w:tr>
      <w:tr>
        <w:trPr>
          <w:trHeight w:val="269"/>
        </w:trPr>
        <w:tc>
          <w:tcPr>
            <w:tcW w:w="238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(except f.3), and .g.</w:t>
            </w:r>
          </w:p>
        </w:tc>
        <w:tc>
          <w:tcPr>
            <w:tcW w:w="540" w:type="dxa"/>
            <w:vAlign w:val="bottom"/>
            <w:tcBorders>
              <w:bottom w:val="single" w:sz="8" w:color="auto"/>
            </w:tcBorders>
          </w:tcPr>
          <w:p>
            <w:pPr>
              <w:spacing w:after="0"/>
              <w:rPr>
                <w:sz w:val="23"/>
                <w:szCs w:val="23"/>
                <w:color w:val="auto"/>
              </w:rPr>
            </w:pPr>
          </w:p>
        </w:tc>
        <w:tc>
          <w:tcPr>
            <w:tcW w:w="460" w:type="dxa"/>
            <w:vAlign w:val="bottom"/>
            <w:tcBorders>
              <w:bottom w:val="single" w:sz="8" w:color="auto"/>
            </w:tcBorders>
          </w:tcPr>
          <w:p>
            <w:pPr>
              <w:spacing w:after="0"/>
              <w:rPr>
                <w:sz w:val="23"/>
                <w:szCs w:val="23"/>
                <w:color w:val="auto"/>
              </w:rPr>
            </w:pPr>
          </w:p>
        </w:tc>
        <w:tc>
          <w:tcPr>
            <w:tcW w:w="30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520" w:type="dxa"/>
            <w:vAlign w:val="bottom"/>
            <w:tcBorders>
              <w:bottom w:val="single" w:sz="8" w:color="auto"/>
              <w:right w:val="single" w:sz="8" w:color="auto"/>
            </w:tcBorders>
          </w:tcPr>
          <w:p>
            <w:pPr>
              <w:spacing w:after="0"/>
              <w:rPr>
                <w:sz w:val="23"/>
                <w:szCs w:val="23"/>
                <w:color w:val="auto"/>
              </w:rPr>
            </w:pPr>
          </w:p>
        </w:tc>
      </w:tr>
      <w:tr>
        <w:trPr>
          <w:trHeight w:val="227"/>
        </w:trPr>
        <w:tc>
          <w:tcPr>
            <w:tcW w:w="238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SL applies to 5A001.f.1</w:t>
            </w:r>
          </w:p>
        </w:tc>
        <w:tc>
          <w:tcPr>
            <w:tcW w:w="1000" w:type="dxa"/>
            <w:vAlign w:val="bottom"/>
            <w:gridSpan w:val="2"/>
          </w:tcPr>
          <w:p>
            <w:pPr>
              <w:ind w:left="100"/>
              <w:spacing w:after="0" w:line="227" w:lineRule="exact"/>
              <w:rPr>
                <w:sz w:val="20"/>
                <w:szCs w:val="20"/>
                <w:color w:val="auto"/>
              </w:rPr>
            </w:pPr>
            <w:r>
              <w:rPr>
                <w:rFonts w:ascii="Times New Roman" w:cs="Times New Roman" w:eastAsia="Times New Roman" w:hAnsi="Times New Roman"/>
                <w:sz w:val="22"/>
                <w:szCs w:val="22"/>
                <w:color w:val="auto"/>
              </w:rPr>
              <w:t>A license</w:t>
            </w:r>
          </w:p>
        </w:tc>
        <w:tc>
          <w:tcPr>
            <w:tcW w:w="300" w:type="dxa"/>
            <w:vAlign w:val="bottom"/>
          </w:tcPr>
          <w:p>
            <w:pPr>
              <w:ind w:left="120"/>
              <w:spacing w:after="0" w:line="227" w:lineRule="exact"/>
              <w:rPr>
                <w:sz w:val="20"/>
                <w:szCs w:val="20"/>
                <w:color w:val="auto"/>
              </w:rPr>
            </w:pPr>
            <w:r>
              <w:rPr>
                <w:rFonts w:ascii="Times New Roman" w:cs="Times New Roman" w:eastAsia="Times New Roman" w:hAnsi="Times New Roman"/>
                <w:sz w:val="22"/>
                <w:szCs w:val="22"/>
                <w:color w:val="auto"/>
              </w:rPr>
              <w:t>is</w:t>
            </w:r>
          </w:p>
        </w:tc>
        <w:tc>
          <w:tcPr>
            <w:tcW w:w="960" w:type="dxa"/>
            <w:vAlign w:val="bottom"/>
            <w:tcBorders>
              <w:right w:val="single" w:sz="8" w:color="auto"/>
            </w:tcBorders>
            <w:gridSpan w:val="2"/>
          </w:tcPr>
          <w:p>
            <w:pPr>
              <w:jc w:val="right"/>
              <w:ind w:right="10"/>
              <w:spacing w:after="0" w:line="227" w:lineRule="exact"/>
              <w:rPr>
                <w:sz w:val="20"/>
                <w:szCs w:val="20"/>
                <w:color w:val="auto"/>
              </w:rPr>
            </w:pPr>
            <w:r>
              <w:rPr>
                <w:rFonts w:ascii="Times New Roman" w:cs="Times New Roman" w:eastAsia="Times New Roman" w:hAnsi="Times New Roman"/>
                <w:sz w:val="22"/>
                <w:szCs w:val="22"/>
                <w:color w:val="auto"/>
              </w:rPr>
              <w:t>required</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226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color w:val="auto"/>
              </w:rPr>
              <w:t>for all destinations, as</w:t>
            </w:r>
          </w:p>
        </w:tc>
      </w:tr>
      <w:tr>
        <w:trPr>
          <w:trHeight w:val="252"/>
        </w:trPr>
        <w:tc>
          <w:tcPr>
            <w:tcW w:w="2380" w:type="dxa"/>
            <w:vAlign w:val="bottom"/>
            <w:tcBorders>
              <w:left w:val="single" w:sz="8" w:color="auto"/>
              <w:right w:val="single" w:sz="8" w:color="auto"/>
            </w:tcBorders>
          </w:tcPr>
          <w:p>
            <w:pPr>
              <w:spacing w:after="0"/>
              <w:rPr>
                <w:sz w:val="21"/>
                <w:szCs w:val="21"/>
                <w:color w:val="auto"/>
              </w:rPr>
            </w:pPr>
          </w:p>
        </w:tc>
        <w:tc>
          <w:tcPr>
            <w:tcW w:w="226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color w:val="auto"/>
              </w:rPr>
              <w:t>specified in §742.13 of</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226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color w:val="auto"/>
              </w:rPr>
              <w:t>the EAR. Accordingly,</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000" w:type="dxa"/>
            <w:vAlign w:val="bottom"/>
            <w:gridSpan w:val="2"/>
          </w:tcPr>
          <w:p>
            <w:pPr>
              <w:ind w:left="100"/>
              <w:spacing w:after="0"/>
              <w:rPr>
                <w:sz w:val="20"/>
                <w:szCs w:val="20"/>
                <w:color w:val="auto"/>
              </w:rPr>
            </w:pPr>
            <w:r>
              <w:rPr>
                <w:rFonts w:ascii="Times New Roman" w:cs="Times New Roman" w:eastAsia="Times New Roman" w:hAnsi="Times New Roman"/>
                <w:sz w:val="22"/>
                <w:szCs w:val="22"/>
                <w:color w:val="auto"/>
              </w:rPr>
              <w:t>a  column</w:t>
            </w:r>
          </w:p>
        </w:tc>
        <w:tc>
          <w:tcPr>
            <w:tcW w:w="1260" w:type="dxa"/>
            <w:vAlign w:val="bottom"/>
            <w:tcBorders>
              <w:right w:val="single" w:sz="8" w:color="auto"/>
            </w:tcBorders>
            <w:gridSpan w:val="3"/>
          </w:tcPr>
          <w:p>
            <w:pPr>
              <w:ind w:left="140"/>
              <w:spacing w:after="0"/>
              <w:rPr>
                <w:sz w:val="20"/>
                <w:szCs w:val="20"/>
                <w:color w:val="auto"/>
              </w:rPr>
            </w:pPr>
            <w:r>
              <w:rPr>
                <w:rFonts w:ascii="Times New Roman" w:cs="Times New Roman" w:eastAsia="Times New Roman" w:hAnsi="Times New Roman"/>
                <w:sz w:val="22"/>
                <w:szCs w:val="22"/>
                <w:color w:val="auto"/>
              </w:rPr>
              <w:t>specific  to</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5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this</w:t>
            </w:r>
          </w:p>
        </w:tc>
        <w:tc>
          <w:tcPr>
            <w:tcW w:w="760" w:type="dxa"/>
            <w:vAlign w:val="bottom"/>
            <w:gridSpan w:val="2"/>
          </w:tcPr>
          <w:p>
            <w:pPr>
              <w:ind w:left="20"/>
              <w:spacing w:after="0"/>
              <w:rPr>
                <w:sz w:val="20"/>
                <w:szCs w:val="20"/>
                <w:color w:val="auto"/>
              </w:rPr>
            </w:pPr>
            <w:r>
              <w:rPr>
                <w:rFonts w:ascii="Times New Roman" w:cs="Times New Roman" w:eastAsia="Times New Roman" w:hAnsi="Times New Roman"/>
                <w:sz w:val="22"/>
                <w:szCs w:val="22"/>
                <w:color w:val="auto"/>
              </w:rPr>
              <w:t>control</w:t>
            </w:r>
          </w:p>
        </w:tc>
        <w:tc>
          <w:tcPr>
            <w:tcW w:w="440" w:type="dxa"/>
            <w:vAlign w:val="bottom"/>
          </w:tcPr>
          <w:p>
            <w:pPr>
              <w:ind w:left="20"/>
              <w:spacing w:after="0"/>
              <w:rPr>
                <w:sz w:val="20"/>
                <w:szCs w:val="20"/>
                <w:color w:val="auto"/>
              </w:rPr>
            </w:pPr>
            <w:r>
              <w:rPr>
                <w:rFonts w:ascii="Times New Roman" w:cs="Times New Roman" w:eastAsia="Times New Roman" w:hAnsi="Times New Roman"/>
                <w:sz w:val="22"/>
                <w:szCs w:val="22"/>
                <w:color w:val="auto"/>
                <w:w w:val="99"/>
              </w:rPr>
              <w:t>does</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not</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000" w:type="dxa"/>
            <w:vAlign w:val="bottom"/>
            <w:gridSpan w:val="2"/>
          </w:tcPr>
          <w:p>
            <w:pPr>
              <w:ind w:left="100"/>
              <w:spacing w:after="0"/>
              <w:rPr>
                <w:sz w:val="20"/>
                <w:szCs w:val="20"/>
                <w:color w:val="auto"/>
              </w:rPr>
            </w:pPr>
            <w:r>
              <w:rPr>
                <w:rFonts w:ascii="Times New Roman" w:cs="Times New Roman" w:eastAsia="Times New Roman" w:hAnsi="Times New Roman"/>
                <w:sz w:val="22"/>
                <w:szCs w:val="22"/>
                <w:color w:val="auto"/>
              </w:rPr>
              <w:t>appear</w:t>
            </w:r>
          </w:p>
        </w:tc>
        <w:tc>
          <w:tcPr>
            <w:tcW w:w="740" w:type="dxa"/>
            <w:vAlign w:val="bottom"/>
            <w:gridSpan w:val="2"/>
          </w:tcPr>
          <w:p>
            <w:pPr>
              <w:ind w:left="160"/>
              <w:spacing w:after="0"/>
              <w:rPr>
                <w:sz w:val="20"/>
                <w:szCs w:val="20"/>
                <w:color w:val="auto"/>
              </w:rPr>
            </w:pPr>
            <w:r>
              <w:rPr>
                <w:rFonts w:ascii="Times New Roman" w:cs="Times New Roman" w:eastAsia="Times New Roman" w:hAnsi="Times New Roman"/>
                <w:sz w:val="22"/>
                <w:szCs w:val="22"/>
                <w:color w:val="auto"/>
              </w:rPr>
              <w:t>on</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the</w:t>
            </w:r>
          </w:p>
        </w:tc>
      </w:tr>
      <w:tr>
        <w:trPr>
          <w:trHeight w:val="252"/>
        </w:trPr>
        <w:tc>
          <w:tcPr>
            <w:tcW w:w="2380" w:type="dxa"/>
            <w:vAlign w:val="bottom"/>
            <w:tcBorders>
              <w:left w:val="single" w:sz="8" w:color="auto"/>
              <w:right w:val="single" w:sz="8" w:color="auto"/>
            </w:tcBorders>
          </w:tcPr>
          <w:p>
            <w:pPr>
              <w:spacing w:after="0"/>
              <w:rPr>
                <w:sz w:val="21"/>
                <w:szCs w:val="21"/>
                <w:color w:val="auto"/>
              </w:rPr>
            </w:pPr>
          </w:p>
        </w:tc>
        <w:tc>
          <w:tcPr>
            <w:tcW w:w="1300" w:type="dxa"/>
            <w:vAlign w:val="bottom"/>
            <w:gridSpan w:val="3"/>
          </w:tcPr>
          <w:p>
            <w:pPr>
              <w:ind w:left="100"/>
              <w:spacing w:after="0"/>
              <w:rPr>
                <w:sz w:val="20"/>
                <w:szCs w:val="20"/>
                <w:color w:val="auto"/>
              </w:rPr>
            </w:pPr>
            <w:r>
              <w:rPr>
                <w:rFonts w:ascii="Times New Roman" w:cs="Times New Roman" w:eastAsia="Times New Roman" w:hAnsi="Times New Roman"/>
                <w:sz w:val="22"/>
                <w:szCs w:val="22"/>
                <w:color w:val="auto"/>
              </w:rPr>
              <w:t>Commerce</w:t>
            </w:r>
          </w:p>
        </w:tc>
        <w:tc>
          <w:tcPr>
            <w:tcW w:w="96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Country</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000" w:type="dxa"/>
            <w:vAlign w:val="bottom"/>
            <w:gridSpan w:val="2"/>
          </w:tcPr>
          <w:p>
            <w:pPr>
              <w:ind w:left="100"/>
              <w:spacing w:after="0"/>
              <w:rPr>
                <w:sz w:val="20"/>
                <w:szCs w:val="20"/>
                <w:color w:val="auto"/>
              </w:rPr>
            </w:pPr>
            <w:r>
              <w:rPr>
                <w:rFonts w:ascii="Times New Roman" w:cs="Times New Roman" w:eastAsia="Times New Roman" w:hAnsi="Times New Roman"/>
                <w:sz w:val="22"/>
                <w:szCs w:val="22"/>
                <w:color w:val="auto"/>
              </w:rPr>
              <w:t>Chart</w:t>
            </w:r>
          </w:p>
        </w:tc>
        <w:tc>
          <w:tcPr>
            <w:tcW w:w="126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color w:val="auto"/>
                <w:w w:val="99"/>
              </w:rPr>
              <w:t>(Supplement</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226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color w:val="auto"/>
              </w:rPr>
              <w:t>No. 1 to Part 738 of</w:t>
            </w:r>
          </w:p>
        </w:tc>
      </w:tr>
      <w:tr>
        <w:trPr>
          <w:trHeight w:val="286"/>
        </w:trPr>
        <w:tc>
          <w:tcPr>
            <w:tcW w:w="2380" w:type="dxa"/>
            <w:vAlign w:val="bottom"/>
            <w:tcBorders>
              <w:left w:val="single" w:sz="8" w:color="auto"/>
              <w:right w:val="single" w:sz="8" w:color="auto"/>
            </w:tcBorders>
          </w:tcPr>
          <w:p>
            <w:pPr>
              <w:spacing w:after="0"/>
              <w:rPr>
                <w:sz w:val="24"/>
                <w:szCs w:val="24"/>
                <w:color w:val="auto"/>
              </w:rPr>
            </w:pPr>
          </w:p>
        </w:tc>
        <w:tc>
          <w:tcPr>
            <w:tcW w:w="1000" w:type="dxa"/>
            <w:vAlign w:val="bottom"/>
            <w:gridSpan w:val="2"/>
          </w:tcPr>
          <w:p>
            <w:pPr>
              <w:ind w:left="100"/>
              <w:spacing w:after="0"/>
              <w:rPr>
                <w:sz w:val="20"/>
                <w:szCs w:val="20"/>
                <w:color w:val="auto"/>
              </w:rPr>
            </w:pPr>
            <w:r>
              <w:rPr>
                <w:rFonts w:ascii="Times New Roman" w:cs="Times New Roman" w:eastAsia="Times New Roman" w:hAnsi="Times New Roman"/>
                <w:sz w:val="22"/>
                <w:szCs w:val="22"/>
                <w:color w:val="auto"/>
                <w:w w:val="98"/>
              </w:rPr>
              <w:t>the EAR).</w:t>
            </w:r>
          </w:p>
        </w:tc>
        <w:tc>
          <w:tcPr>
            <w:tcW w:w="3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520" w:type="dxa"/>
            <w:vAlign w:val="bottom"/>
            <w:tcBorders>
              <w:right w:val="single" w:sz="8" w:color="auto"/>
            </w:tcBorders>
          </w:tcPr>
          <w:p>
            <w:pPr>
              <w:spacing w:after="0"/>
              <w:rPr>
                <w:sz w:val="24"/>
                <w:szCs w:val="24"/>
                <w:color w:val="auto"/>
              </w:rPr>
            </w:pPr>
          </w:p>
        </w:tc>
      </w:tr>
      <w:tr>
        <w:trPr>
          <w:trHeight w:val="469"/>
        </w:trPr>
        <w:tc>
          <w:tcPr>
            <w:tcW w:w="2380" w:type="dxa"/>
            <w:vAlign w:val="bottom"/>
            <w:tcBorders>
              <w:left w:val="single" w:sz="8" w:color="auto"/>
              <w:right w:val="single" w:sz="8" w:color="auto"/>
            </w:tcBorders>
          </w:tcPr>
          <w:p>
            <w:pPr>
              <w:spacing w:after="0"/>
              <w:rPr>
                <w:sz w:val="24"/>
                <w:szCs w:val="24"/>
                <w:color w:val="auto"/>
              </w:rPr>
            </w:pPr>
          </w:p>
        </w:tc>
        <w:tc>
          <w:tcPr>
            <w:tcW w:w="540" w:type="dxa"/>
            <w:vAlign w:val="bottom"/>
          </w:tcPr>
          <w:p>
            <w:pPr>
              <w:ind w:left="100"/>
              <w:spacing w:after="0"/>
              <w:rPr>
                <w:sz w:val="20"/>
                <w:szCs w:val="20"/>
                <w:color w:val="auto"/>
              </w:rPr>
            </w:pPr>
            <w:r>
              <w:rPr>
                <w:rFonts w:ascii="Times New Roman" w:cs="Times New Roman" w:eastAsia="Times New Roman" w:hAnsi="Times New Roman"/>
                <w:sz w:val="22"/>
                <w:szCs w:val="22"/>
                <w:b w:val="1"/>
                <w:bCs w:val="1"/>
                <w:i w:val="1"/>
                <w:iCs w:val="1"/>
                <w:color w:val="auto"/>
                <w:w w:val="98"/>
              </w:rPr>
              <w:t>Note</w:t>
            </w:r>
          </w:p>
        </w:tc>
        <w:tc>
          <w:tcPr>
            <w:tcW w:w="460" w:type="dxa"/>
            <w:vAlign w:val="bottom"/>
          </w:tcPr>
          <w:p>
            <w:pPr>
              <w:spacing w:after="0"/>
              <w:rPr>
                <w:sz w:val="24"/>
                <w:szCs w:val="24"/>
                <w:color w:val="auto"/>
              </w:rPr>
            </w:pPr>
          </w:p>
        </w:tc>
        <w:tc>
          <w:tcPr>
            <w:tcW w:w="300" w:type="dxa"/>
            <w:vAlign w:val="bottom"/>
          </w:tcPr>
          <w:p>
            <w:pPr>
              <w:ind w:left="120"/>
              <w:spacing w:after="0"/>
              <w:rPr>
                <w:sz w:val="20"/>
                <w:szCs w:val="20"/>
                <w:color w:val="auto"/>
              </w:rPr>
            </w:pPr>
            <w:r>
              <w:rPr>
                <w:rFonts w:ascii="Times New Roman" w:cs="Times New Roman" w:eastAsia="Times New Roman" w:hAnsi="Times New Roman"/>
                <w:sz w:val="22"/>
                <w:szCs w:val="22"/>
                <w:b w:val="1"/>
                <w:bCs w:val="1"/>
                <w:i w:val="1"/>
                <w:iCs w:val="1"/>
                <w:color w:val="auto"/>
                <w:w w:val="93"/>
              </w:rPr>
              <w:t>to</w:t>
            </w:r>
          </w:p>
        </w:tc>
        <w:tc>
          <w:tcPr>
            <w:tcW w:w="440" w:type="dxa"/>
            <w:vAlign w:val="bottom"/>
          </w:tcPr>
          <w:p>
            <w:pPr>
              <w:spacing w:after="0"/>
              <w:rPr>
                <w:sz w:val="24"/>
                <w:szCs w:val="24"/>
                <w:color w:val="auto"/>
              </w:rPr>
            </w:pP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b w:val="1"/>
                <w:bCs w:val="1"/>
                <w:i w:val="1"/>
                <w:iCs w:val="1"/>
                <w:color w:val="auto"/>
              </w:rPr>
              <w:t>SL</w:t>
            </w:r>
          </w:p>
        </w:tc>
      </w:tr>
      <w:tr>
        <w:trPr>
          <w:trHeight w:val="254"/>
        </w:trPr>
        <w:tc>
          <w:tcPr>
            <w:tcW w:w="2380" w:type="dxa"/>
            <w:vAlign w:val="bottom"/>
            <w:tcBorders>
              <w:left w:val="single" w:sz="8" w:color="auto"/>
              <w:right w:val="single" w:sz="8" w:color="auto"/>
            </w:tcBorders>
          </w:tcPr>
          <w:p>
            <w:pPr>
              <w:spacing w:after="0"/>
              <w:rPr>
                <w:sz w:val="22"/>
                <w:szCs w:val="22"/>
                <w:color w:val="auto"/>
              </w:rPr>
            </w:pPr>
          </w:p>
        </w:tc>
        <w:tc>
          <w:tcPr>
            <w:tcW w:w="1300" w:type="dxa"/>
            <w:vAlign w:val="bottom"/>
            <w:gridSpan w:val="3"/>
          </w:tcPr>
          <w:p>
            <w:pPr>
              <w:ind w:left="100"/>
              <w:spacing w:after="0"/>
              <w:rPr>
                <w:sz w:val="20"/>
                <w:szCs w:val="20"/>
                <w:color w:val="auto"/>
              </w:rPr>
            </w:pPr>
            <w:r>
              <w:rPr>
                <w:rFonts w:ascii="Times New Roman" w:cs="Times New Roman" w:eastAsia="Times New Roman" w:hAnsi="Times New Roman"/>
                <w:sz w:val="22"/>
                <w:szCs w:val="22"/>
                <w:b w:val="1"/>
                <w:bCs w:val="1"/>
                <w:i w:val="1"/>
                <w:iCs w:val="1"/>
                <w:color w:val="auto"/>
              </w:rPr>
              <w:t>paragraph:</w:t>
            </w:r>
          </w:p>
        </w:tc>
        <w:tc>
          <w:tcPr>
            <w:tcW w:w="440" w:type="dxa"/>
            <w:vAlign w:val="bottom"/>
          </w:tcPr>
          <w:p>
            <w:pPr>
              <w:spacing w:after="0"/>
              <w:rPr>
                <w:sz w:val="22"/>
                <w:szCs w:val="22"/>
                <w:color w:val="auto"/>
              </w:rPr>
            </w:pP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This</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0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licensing</w:t>
            </w:r>
          </w:p>
        </w:tc>
        <w:tc>
          <w:tcPr>
            <w:tcW w:w="126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requirement</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540" w:type="dxa"/>
            <w:vAlign w:val="bottom"/>
          </w:tcPr>
          <w:p>
            <w:pPr>
              <w:ind w:left="100"/>
              <w:spacing w:after="0"/>
              <w:rPr>
                <w:sz w:val="20"/>
                <w:szCs w:val="20"/>
                <w:color w:val="auto"/>
              </w:rPr>
            </w:pPr>
            <w:r>
              <w:rPr>
                <w:rFonts w:ascii="Times New Roman" w:cs="Times New Roman" w:eastAsia="Times New Roman" w:hAnsi="Times New Roman"/>
                <w:sz w:val="22"/>
                <w:szCs w:val="22"/>
                <w:i w:val="1"/>
                <w:iCs w:val="1"/>
                <w:color w:val="auto"/>
              </w:rPr>
              <w:t>does</w:t>
            </w:r>
          </w:p>
        </w:tc>
        <w:tc>
          <w:tcPr>
            <w:tcW w:w="460" w:type="dxa"/>
            <w:vAlign w:val="bottom"/>
          </w:tcPr>
          <w:p>
            <w:pPr>
              <w:ind w:left="160"/>
              <w:spacing w:after="0"/>
              <w:rPr>
                <w:sz w:val="20"/>
                <w:szCs w:val="20"/>
                <w:color w:val="auto"/>
              </w:rPr>
            </w:pPr>
            <w:r>
              <w:rPr>
                <w:rFonts w:ascii="Times New Roman" w:cs="Times New Roman" w:eastAsia="Times New Roman" w:hAnsi="Times New Roman"/>
                <w:sz w:val="22"/>
                <w:szCs w:val="22"/>
                <w:i w:val="1"/>
                <w:iCs w:val="1"/>
                <w:color w:val="auto"/>
                <w:w w:val="99"/>
              </w:rPr>
              <w:t>not</w:t>
            </w:r>
          </w:p>
        </w:tc>
        <w:tc>
          <w:tcPr>
            <w:tcW w:w="1260" w:type="dxa"/>
            <w:vAlign w:val="bottom"/>
            <w:tcBorders>
              <w:right w:val="single" w:sz="8" w:color="auto"/>
            </w:tcBorders>
            <w:gridSpan w:val="3"/>
          </w:tcPr>
          <w:p>
            <w:pPr>
              <w:jc w:val="right"/>
              <w:ind w:right="30"/>
              <w:spacing w:after="0"/>
              <w:rPr>
                <w:sz w:val="20"/>
                <w:szCs w:val="20"/>
                <w:color w:val="auto"/>
              </w:rPr>
            </w:pPr>
            <w:r>
              <w:rPr>
                <w:rFonts w:ascii="Times New Roman" w:cs="Times New Roman" w:eastAsia="Times New Roman" w:hAnsi="Times New Roman"/>
                <w:sz w:val="22"/>
                <w:szCs w:val="22"/>
                <w:i w:val="1"/>
                <w:iCs w:val="1"/>
                <w:color w:val="auto"/>
              </w:rPr>
              <w:t>supersede,</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226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nor does it implement,</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300" w:type="dxa"/>
            <w:vAlign w:val="bottom"/>
            <w:gridSpan w:val="3"/>
          </w:tcPr>
          <w:p>
            <w:pPr>
              <w:ind w:left="100"/>
              <w:spacing w:after="0"/>
              <w:rPr>
                <w:sz w:val="20"/>
                <w:szCs w:val="20"/>
                <w:color w:val="auto"/>
              </w:rPr>
            </w:pPr>
            <w:r>
              <w:rPr>
                <w:rFonts w:ascii="Times New Roman" w:cs="Times New Roman" w:eastAsia="Times New Roman" w:hAnsi="Times New Roman"/>
                <w:sz w:val="22"/>
                <w:szCs w:val="22"/>
                <w:i w:val="1"/>
                <w:iCs w:val="1"/>
                <w:color w:val="auto"/>
              </w:rPr>
              <w:t>construe  or</w:t>
            </w:r>
          </w:p>
        </w:tc>
        <w:tc>
          <w:tcPr>
            <w:tcW w:w="440" w:type="dxa"/>
            <w:vAlign w:val="bottom"/>
          </w:tcPr>
          <w:p>
            <w:pPr>
              <w:ind w:left="20"/>
              <w:spacing w:after="0"/>
              <w:rPr>
                <w:sz w:val="20"/>
                <w:szCs w:val="20"/>
                <w:color w:val="auto"/>
              </w:rPr>
            </w:pPr>
            <w:r>
              <w:rPr>
                <w:rFonts w:ascii="Times New Roman" w:cs="Times New Roman" w:eastAsia="Times New Roman" w:hAnsi="Times New Roman"/>
                <w:sz w:val="22"/>
                <w:szCs w:val="22"/>
                <w:i w:val="1"/>
                <w:iCs w:val="1"/>
                <w:color w:val="auto"/>
                <w:w w:val="99"/>
              </w:rPr>
              <w:t>limit</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the</w:t>
            </w:r>
          </w:p>
        </w:tc>
      </w:tr>
      <w:tr>
        <w:trPr>
          <w:trHeight w:val="252"/>
        </w:trPr>
        <w:tc>
          <w:tcPr>
            <w:tcW w:w="2380" w:type="dxa"/>
            <w:vAlign w:val="bottom"/>
            <w:tcBorders>
              <w:left w:val="single" w:sz="8" w:color="auto"/>
              <w:right w:val="single" w:sz="8" w:color="auto"/>
            </w:tcBorders>
          </w:tcPr>
          <w:p>
            <w:pPr>
              <w:spacing w:after="0"/>
              <w:rPr>
                <w:sz w:val="21"/>
                <w:szCs w:val="21"/>
                <w:color w:val="auto"/>
              </w:rPr>
            </w:pPr>
          </w:p>
        </w:tc>
        <w:tc>
          <w:tcPr>
            <w:tcW w:w="226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scope of any criminal</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740" w:type="dxa"/>
            <w:vAlign w:val="bottom"/>
            <w:gridSpan w:val="4"/>
          </w:tcPr>
          <w:p>
            <w:pPr>
              <w:ind w:left="100"/>
              <w:spacing w:after="0"/>
              <w:rPr>
                <w:sz w:val="20"/>
                <w:szCs w:val="20"/>
                <w:color w:val="auto"/>
              </w:rPr>
            </w:pPr>
            <w:r>
              <w:rPr>
                <w:rFonts w:ascii="Times New Roman" w:cs="Times New Roman" w:eastAsia="Times New Roman" w:hAnsi="Times New Roman"/>
                <w:sz w:val="22"/>
                <w:szCs w:val="22"/>
                <w:i w:val="1"/>
                <w:iCs w:val="1"/>
                <w:color w:val="auto"/>
              </w:rPr>
              <w:t>statute, including,</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but</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540" w:type="dxa"/>
            <w:vAlign w:val="bottom"/>
          </w:tcPr>
          <w:p>
            <w:pPr>
              <w:ind w:left="100"/>
              <w:spacing w:after="0"/>
              <w:rPr>
                <w:sz w:val="20"/>
                <w:szCs w:val="20"/>
                <w:color w:val="auto"/>
              </w:rPr>
            </w:pPr>
            <w:r>
              <w:rPr>
                <w:rFonts w:ascii="Times New Roman" w:cs="Times New Roman" w:eastAsia="Times New Roman" w:hAnsi="Times New Roman"/>
                <w:sz w:val="22"/>
                <w:szCs w:val="22"/>
                <w:i w:val="1"/>
                <w:iCs w:val="1"/>
                <w:color w:val="auto"/>
              </w:rPr>
              <w:t>not</w:t>
            </w:r>
          </w:p>
        </w:tc>
        <w:tc>
          <w:tcPr>
            <w:tcW w:w="760" w:type="dxa"/>
            <w:vAlign w:val="bottom"/>
            <w:gridSpan w:val="2"/>
          </w:tcPr>
          <w:p>
            <w:pPr>
              <w:ind w:left="80"/>
              <w:spacing w:after="0"/>
              <w:rPr>
                <w:sz w:val="20"/>
                <w:szCs w:val="20"/>
                <w:color w:val="auto"/>
              </w:rPr>
            </w:pPr>
            <w:r>
              <w:rPr>
                <w:rFonts w:ascii="Times New Roman" w:cs="Times New Roman" w:eastAsia="Times New Roman" w:hAnsi="Times New Roman"/>
                <w:sz w:val="22"/>
                <w:szCs w:val="22"/>
                <w:i w:val="1"/>
                <w:iCs w:val="1"/>
                <w:color w:val="auto"/>
              </w:rPr>
              <w:t>limited</w:t>
            </w:r>
          </w:p>
        </w:tc>
        <w:tc>
          <w:tcPr>
            <w:tcW w:w="440" w:type="dxa"/>
            <w:vAlign w:val="bottom"/>
          </w:tcPr>
          <w:p>
            <w:pPr>
              <w:ind w:left="160"/>
              <w:spacing w:after="0"/>
              <w:rPr>
                <w:sz w:val="20"/>
                <w:szCs w:val="20"/>
                <w:color w:val="auto"/>
              </w:rPr>
            </w:pPr>
            <w:r>
              <w:rPr>
                <w:rFonts w:ascii="Times New Roman" w:cs="Times New Roman" w:eastAsia="Times New Roman" w:hAnsi="Times New Roman"/>
                <w:sz w:val="22"/>
                <w:szCs w:val="22"/>
                <w:i w:val="1"/>
                <w:iCs w:val="1"/>
                <w:color w:val="auto"/>
              </w:rPr>
              <w:t>to</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the</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10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Omnibus</w:t>
            </w:r>
          </w:p>
        </w:tc>
        <w:tc>
          <w:tcPr>
            <w:tcW w:w="126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Safe Streets</w:t>
            </w:r>
          </w:p>
        </w:tc>
      </w:tr>
      <w:tr>
        <w:trPr>
          <w:trHeight w:val="253"/>
        </w:trPr>
        <w:tc>
          <w:tcPr>
            <w:tcW w:w="2380" w:type="dxa"/>
            <w:vAlign w:val="bottom"/>
            <w:tcBorders>
              <w:left w:val="single" w:sz="8" w:color="auto"/>
              <w:right w:val="single" w:sz="8" w:color="auto"/>
            </w:tcBorders>
          </w:tcPr>
          <w:p>
            <w:pPr>
              <w:spacing w:after="0"/>
              <w:rPr>
                <w:sz w:val="22"/>
                <w:szCs w:val="22"/>
                <w:color w:val="auto"/>
              </w:rPr>
            </w:pPr>
          </w:p>
        </w:tc>
        <w:tc>
          <w:tcPr>
            <w:tcW w:w="540" w:type="dxa"/>
            <w:vAlign w:val="bottom"/>
          </w:tcPr>
          <w:p>
            <w:pPr>
              <w:ind w:left="100"/>
              <w:spacing w:after="0"/>
              <w:rPr>
                <w:sz w:val="20"/>
                <w:szCs w:val="20"/>
                <w:color w:val="auto"/>
              </w:rPr>
            </w:pPr>
            <w:r>
              <w:rPr>
                <w:rFonts w:ascii="Times New Roman" w:cs="Times New Roman" w:eastAsia="Times New Roman" w:hAnsi="Times New Roman"/>
                <w:sz w:val="22"/>
                <w:szCs w:val="22"/>
                <w:i w:val="1"/>
                <w:iCs w:val="1"/>
                <w:color w:val="auto"/>
              </w:rPr>
              <w:t>Act</w:t>
            </w:r>
          </w:p>
        </w:tc>
        <w:tc>
          <w:tcPr>
            <w:tcW w:w="460" w:type="dxa"/>
            <w:vAlign w:val="bottom"/>
          </w:tcPr>
          <w:p>
            <w:pPr>
              <w:ind w:left="140"/>
              <w:spacing w:after="0"/>
              <w:rPr>
                <w:sz w:val="20"/>
                <w:szCs w:val="20"/>
                <w:color w:val="auto"/>
              </w:rPr>
            </w:pPr>
            <w:r>
              <w:rPr>
                <w:rFonts w:ascii="Times New Roman" w:cs="Times New Roman" w:eastAsia="Times New Roman" w:hAnsi="Times New Roman"/>
                <w:sz w:val="22"/>
                <w:szCs w:val="22"/>
                <w:i w:val="1"/>
                <w:iCs w:val="1"/>
                <w:color w:val="auto"/>
              </w:rPr>
              <w:t>of</w:t>
            </w:r>
          </w:p>
        </w:tc>
        <w:tc>
          <w:tcPr>
            <w:tcW w:w="740" w:type="dxa"/>
            <w:vAlign w:val="bottom"/>
            <w:gridSpan w:val="2"/>
          </w:tcPr>
          <w:p>
            <w:pPr>
              <w:ind w:left="140"/>
              <w:spacing w:after="0"/>
              <w:rPr>
                <w:sz w:val="20"/>
                <w:szCs w:val="20"/>
                <w:color w:val="auto"/>
              </w:rPr>
            </w:pPr>
            <w:r>
              <w:rPr>
                <w:rFonts w:ascii="Times New Roman" w:cs="Times New Roman" w:eastAsia="Times New Roman" w:hAnsi="Times New Roman"/>
                <w:sz w:val="22"/>
                <w:szCs w:val="22"/>
                <w:i w:val="1"/>
                <w:iCs w:val="1"/>
                <w:color w:val="auto"/>
              </w:rPr>
              <w:t>1968,</w:t>
            </w:r>
          </w:p>
        </w:tc>
        <w:tc>
          <w:tcPr>
            <w:tcW w:w="52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as</w:t>
            </w:r>
          </w:p>
        </w:tc>
      </w:tr>
      <w:tr>
        <w:trPr>
          <w:trHeight w:val="272"/>
        </w:trPr>
        <w:tc>
          <w:tcPr>
            <w:tcW w:w="2380" w:type="dxa"/>
            <w:vAlign w:val="bottom"/>
            <w:tcBorders>
              <w:left w:val="single" w:sz="8" w:color="auto"/>
              <w:bottom w:val="single" w:sz="8" w:color="auto"/>
              <w:right w:val="single" w:sz="8" w:color="auto"/>
            </w:tcBorders>
          </w:tcPr>
          <w:p>
            <w:pPr>
              <w:spacing w:after="0"/>
              <w:rPr>
                <w:sz w:val="23"/>
                <w:szCs w:val="23"/>
                <w:color w:val="auto"/>
              </w:rPr>
            </w:pPr>
          </w:p>
        </w:tc>
        <w:tc>
          <w:tcPr>
            <w:tcW w:w="1000" w:type="dxa"/>
            <w:vAlign w:val="bottom"/>
            <w:tcBorders>
              <w:bottom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amended.</w:t>
            </w:r>
          </w:p>
        </w:tc>
        <w:tc>
          <w:tcPr>
            <w:tcW w:w="30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520" w:type="dxa"/>
            <w:vAlign w:val="bottom"/>
            <w:tcBorders>
              <w:bottom w:val="single" w:sz="8" w:color="auto"/>
              <w:right w:val="single" w:sz="8" w:color="auto"/>
            </w:tcBorders>
          </w:tcPr>
          <w:p>
            <w:pPr>
              <w:spacing w:after="0"/>
              <w:rPr>
                <w:sz w:val="23"/>
                <w:szCs w:val="23"/>
                <w:color w:val="auto"/>
              </w:rPr>
            </w:pPr>
          </w:p>
        </w:tc>
      </w:tr>
      <w:tr>
        <w:trPr>
          <w:trHeight w:val="227"/>
        </w:trPr>
        <w:tc>
          <w:tcPr>
            <w:tcW w:w="238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AT  applies  to  entire</w:t>
            </w:r>
          </w:p>
        </w:tc>
        <w:tc>
          <w:tcPr>
            <w:tcW w:w="1740" w:type="dxa"/>
            <w:vAlign w:val="bottom"/>
            <w:gridSpan w:val="4"/>
          </w:tcPr>
          <w:p>
            <w:pPr>
              <w:ind w:left="100"/>
              <w:spacing w:after="0" w:line="227" w:lineRule="exact"/>
              <w:rPr>
                <w:sz w:val="20"/>
                <w:szCs w:val="20"/>
                <w:color w:val="auto"/>
              </w:rPr>
            </w:pPr>
            <w:r>
              <w:rPr>
                <w:rFonts w:ascii="Times New Roman" w:cs="Times New Roman" w:eastAsia="Times New Roman" w:hAnsi="Times New Roman"/>
                <w:sz w:val="22"/>
                <w:szCs w:val="22"/>
                <w:color w:val="auto"/>
              </w:rPr>
              <w:t>AT Column 1</w:t>
            </w:r>
          </w:p>
        </w:tc>
        <w:tc>
          <w:tcPr>
            <w:tcW w:w="520" w:type="dxa"/>
            <w:vAlign w:val="bottom"/>
            <w:tcBorders>
              <w:right w:val="single" w:sz="8" w:color="auto"/>
            </w:tcBorders>
          </w:tcPr>
          <w:p>
            <w:pPr>
              <w:spacing w:after="0"/>
              <w:rPr>
                <w:sz w:val="19"/>
                <w:szCs w:val="19"/>
                <w:color w:val="auto"/>
              </w:rPr>
            </w:pPr>
          </w:p>
        </w:tc>
      </w:tr>
      <w:tr>
        <w:trPr>
          <w:trHeight w:val="269"/>
        </w:trPr>
        <w:tc>
          <w:tcPr>
            <w:tcW w:w="238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540" w:type="dxa"/>
            <w:vAlign w:val="bottom"/>
            <w:tcBorders>
              <w:bottom w:val="single" w:sz="8" w:color="auto"/>
            </w:tcBorders>
          </w:tcPr>
          <w:p>
            <w:pPr>
              <w:spacing w:after="0"/>
              <w:rPr>
                <w:sz w:val="23"/>
                <w:szCs w:val="23"/>
                <w:color w:val="auto"/>
              </w:rPr>
            </w:pPr>
          </w:p>
        </w:tc>
        <w:tc>
          <w:tcPr>
            <w:tcW w:w="460" w:type="dxa"/>
            <w:vAlign w:val="bottom"/>
            <w:tcBorders>
              <w:bottom w:val="single" w:sz="8" w:color="auto"/>
            </w:tcBorders>
          </w:tcPr>
          <w:p>
            <w:pPr>
              <w:spacing w:after="0"/>
              <w:rPr>
                <w:sz w:val="23"/>
                <w:szCs w:val="23"/>
                <w:color w:val="auto"/>
              </w:rPr>
            </w:pPr>
          </w:p>
        </w:tc>
        <w:tc>
          <w:tcPr>
            <w:tcW w:w="30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520" w:type="dxa"/>
            <w:vAlign w:val="bottom"/>
            <w:tcBorders>
              <w:bottom w:val="single" w:sz="8" w:color="auto"/>
              <w:right w:val="single" w:sz="8" w:color="auto"/>
            </w:tcBorders>
          </w:tcPr>
          <w:p>
            <w:pPr>
              <w:spacing w:after="0"/>
              <w:rPr>
                <w:sz w:val="23"/>
                <w:szCs w:val="23"/>
                <w:color w:val="auto"/>
              </w:rPr>
            </w:pPr>
          </w:p>
        </w:tc>
      </w:tr>
    </w:tbl>
    <w:p>
      <w:pPr>
        <w:spacing w:after="0" w:line="232" w:lineRule="exact"/>
        <w:rPr>
          <w:sz w:val="24"/>
          <w:szCs w:val="24"/>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2" w:lineRule="exact"/>
        <w:rPr>
          <w:sz w:val="24"/>
          <w:szCs w:val="24"/>
          <w:color w:val="auto"/>
        </w:rPr>
      </w:pPr>
    </w:p>
    <w:p>
      <w:pPr>
        <w:jc w:val="both"/>
        <w:ind w:left="480" w:right="18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7" w:lineRule="exact"/>
        <w:rPr>
          <w:sz w:val="24"/>
          <w:szCs w:val="24"/>
          <w:color w:val="auto"/>
        </w:rPr>
      </w:pPr>
    </w:p>
    <w:p>
      <w:pPr>
        <w:ind w:left="120" w:right="18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7" w:lineRule="exact"/>
        <w:rPr>
          <w:sz w:val="24"/>
          <w:szCs w:val="24"/>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LVS:</w:t>
        <w:tab/>
        <w:t>N/A for 5A001.a, b.5, .e, f.3 and .h;</w:t>
      </w:r>
    </w:p>
    <w:p>
      <w:pPr>
        <w:jc w:val="both"/>
        <w:ind w:left="1200" w:right="180"/>
        <w:spacing w:after="0" w:line="239" w:lineRule="auto"/>
        <w:rPr>
          <w:sz w:val="20"/>
          <w:szCs w:val="20"/>
          <w:color w:val="auto"/>
        </w:rPr>
      </w:pPr>
      <w:r>
        <w:rPr>
          <w:rFonts w:ascii="Times New Roman" w:cs="Times New Roman" w:eastAsia="Times New Roman" w:hAnsi="Times New Roman"/>
          <w:sz w:val="22"/>
          <w:szCs w:val="22"/>
          <w:color w:val="auto"/>
        </w:rPr>
        <w:t>$5000 for 5A001.b.1, .b.2, .b.3, .b.6, .d, f.2, f.4, and .g;</w:t>
      </w:r>
    </w:p>
    <w:p>
      <w:pPr>
        <w:spacing w:after="0" w:line="3" w:lineRule="exact"/>
        <w:rPr>
          <w:sz w:val="24"/>
          <w:szCs w:val="24"/>
          <w:color w:val="auto"/>
        </w:rPr>
      </w:pPr>
    </w:p>
    <w:p>
      <w:pPr>
        <w:ind w:left="1200"/>
        <w:spacing w:after="0"/>
        <w:rPr>
          <w:sz w:val="20"/>
          <w:szCs w:val="20"/>
          <w:color w:val="auto"/>
        </w:rPr>
      </w:pPr>
      <w:r>
        <w:rPr>
          <w:rFonts w:ascii="Times New Roman" w:cs="Times New Roman" w:eastAsia="Times New Roman" w:hAnsi="Times New Roman"/>
          <w:sz w:val="22"/>
          <w:szCs w:val="22"/>
          <w:color w:val="auto"/>
        </w:rPr>
        <w:t>$3000 for 5A001.c.</w:t>
      </w: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GBS:</w:t>
        <w:tab/>
        <w:t>Yes, except 5A001.a, b.5, e, and h.</w:t>
      </w:r>
    </w:p>
    <w:p>
      <w:pPr>
        <w:spacing w:after="0" w:line="482" w:lineRule="exact"/>
        <w:rPr>
          <w:sz w:val="24"/>
          <w:szCs w:val="24"/>
          <w:color w:val="auto"/>
        </w:rPr>
      </w:pPr>
    </w:p>
    <w:p>
      <w:pPr>
        <w:sectPr>
          <w:pgSz w:w="12240" w:h="15840" w:orient="portrait"/>
          <w:cols w:equalWidth="0" w:num="2">
            <w:col w:w="4620" w:space="420"/>
            <w:col w:w="4620"/>
          </w:cols>
          <w:pgMar w:left="1320" w:top="1422" w:right="1260" w:bottom="892" w:gutter="0" w:footer="0" w:header="0"/>
          <w:type w:val="continuous"/>
        </w:sectPr>
      </w:pPr>
    </w:p>
    <w:p>
      <w:pPr>
        <w:spacing w:after="0" w:line="127" w:lineRule="exact"/>
        <w:rPr>
          <w:sz w:val="24"/>
          <w:szCs w:val="24"/>
          <w:color w:val="auto"/>
        </w:rPr>
      </w:pPr>
    </w:p>
    <w:p>
      <w:pPr>
        <w:ind w:left="120"/>
        <w:spacing w:after="0"/>
        <w:tabs>
          <w:tab w:leader="none" w:pos="3520" w:val="left"/>
          <w:tab w:leader="none" w:pos="816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660"/>
          </w:cols>
          <w:pgMar w:left="1320" w:top="1422" w:right="1260" w:bottom="892" w:gutter="0" w:footer="0" w:header="0"/>
          <w:type w:val="continuous"/>
        </w:sectPr>
      </w:pPr>
    </w:p>
    <w:bookmarkStart w:id="1" w:name="page2"/>
    <w:bookmarkEnd w:id="1"/>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2</w:t>
      </w:r>
    </w:p>
    <w:p>
      <w:pPr>
        <w:sectPr>
          <w:pgSz w:w="12240" w:h="15840" w:orient="portrait"/>
          <w:cols w:equalWidth="0" w:num="1">
            <w:col w:w="9360"/>
          </w:cols>
          <w:pgMar w:left="1440" w:top="1422" w:right="1440" w:bottom="892" w:gutter="0" w:footer="0" w:header="0"/>
        </w:sectPr>
      </w:pPr>
    </w:p>
    <w:p>
      <w:pPr>
        <w:spacing w:after="0" w:line="215" w:lineRule="exact"/>
        <w:rPr>
          <w:sz w:val="20"/>
          <w:szCs w:val="20"/>
          <w:color w:val="auto"/>
        </w:rPr>
      </w:pPr>
    </w:p>
    <w:p>
      <w:pPr>
        <w:jc w:val="both"/>
        <w:ind w:left="1080" w:hanging="719"/>
        <w:spacing w:after="0" w:line="271" w:lineRule="auto"/>
        <w:tabs>
          <w:tab w:leader="none" w:pos="1060" w:val="left"/>
        </w:tabs>
        <w:rPr>
          <w:sz w:val="20"/>
          <w:szCs w:val="20"/>
          <w:color w:val="auto"/>
        </w:rPr>
      </w:pPr>
      <w:r>
        <w:rPr>
          <w:rFonts w:ascii="Times New Roman" w:cs="Times New Roman" w:eastAsia="Times New Roman" w:hAnsi="Times New Roman"/>
          <w:sz w:val="22"/>
          <w:szCs w:val="22"/>
          <w:color w:val="auto"/>
        </w:rPr>
        <w:t>CIV:</w:t>
        <w:tab/>
        <w:t>Yes, except 5A001.a, b.3, b.5, e, and h.</w:t>
      </w:r>
    </w:p>
    <w:p>
      <w:pPr>
        <w:spacing w:after="0" w:line="18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6" w:lineRule="exact"/>
        <w:rPr>
          <w:sz w:val="20"/>
          <w:szCs w:val="20"/>
          <w:color w:val="auto"/>
        </w:rPr>
      </w:pPr>
    </w:p>
    <w:p>
      <w:pPr>
        <w:jc w:val="both"/>
        <w:ind w:left="1080" w:hanging="719"/>
        <w:spacing w:after="0" w:line="246" w:lineRule="auto"/>
        <w:tabs>
          <w:tab w:leader="none" w:pos="1060" w:val="left"/>
        </w:tabs>
        <w:rPr>
          <w:sz w:val="20"/>
          <w:szCs w:val="20"/>
          <w:color w:val="auto"/>
        </w:rPr>
      </w:pPr>
      <w:r>
        <w:rPr>
          <w:rFonts w:ascii="Times New Roman" w:cs="Times New Roman" w:eastAsia="Times New Roman" w:hAnsi="Times New Roman"/>
          <w:sz w:val="22"/>
          <w:szCs w:val="22"/>
          <w:color w:val="auto"/>
        </w:rPr>
        <w:t>STA:</w:t>
        <w:tab/>
        <w:t>License Exception STA may not be used to ship any commodity in 5A001.b.3, .b.5 or .h to any of the destinations listed in Country Group A:6 (See Supplement No.1 to part 740 of the EAR).</w:t>
      </w:r>
    </w:p>
    <w:p>
      <w:pPr>
        <w:spacing w:after="0" w:line="21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tabs>
          <w:tab w:leader="none" w:pos="2440" w:val="left"/>
        </w:tabs>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w:t>
      </w:r>
      <w:r>
        <w:rPr>
          <w:sz w:val="20"/>
          <w:szCs w:val="20"/>
          <w:color w:val="auto"/>
        </w:rPr>
        <w:tab/>
      </w:r>
      <w:r>
        <w:rPr>
          <w:rFonts w:ascii="Times New Roman" w:cs="Times New Roman" w:eastAsia="Times New Roman" w:hAnsi="Times New Roman"/>
          <w:sz w:val="22"/>
          <w:szCs w:val="22"/>
          <w:color w:val="auto"/>
        </w:rPr>
        <w:t>See USML Category</w:t>
      </w:r>
    </w:p>
    <w:p>
      <w:pPr>
        <w:spacing w:after="0" w:line="4" w:lineRule="exact"/>
        <w:rPr>
          <w:sz w:val="20"/>
          <w:szCs w:val="20"/>
          <w:color w:val="auto"/>
        </w:rPr>
      </w:pPr>
    </w:p>
    <w:p>
      <w:pPr>
        <w:jc w:val="both"/>
        <w:ind w:left="540"/>
        <w:spacing w:after="0" w:line="239" w:lineRule="auto"/>
        <w:rPr>
          <w:sz w:val="20"/>
          <w:szCs w:val="20"/>
          <w:color w:val="auto"/>
        </w:rPr>
      </w:pPr>
      <w:r>
        <w:rPr>
          <w:rFonts w:ascii="Times New Roman" w:cs="Times New Roman" w:eastAsia="Times New Roman" w:hAnsi="Times New Roman"/>
          <w:sz w:val="22"/>
          <w:szCs w:val="22"/>
          <w:color w:val="auto"/>
        </w:rPr>
        <w:t>XI for controls on direction-finding “equipment” including types of “equipment” in ECCN 5A001.e and any other military or intelligence electronic “equipment” that is “subject to the ITAR.”</w:t>
      </w:r>
    </w:p>
    <w:p>
      <w:pPr>
        <w:spacing w:after="0" w:line="5" w:lineRule="exact"/>
        <w:rPr>
          <w:sz w:val="20"/>
          <w:szCs w:val="20"/>
          <w:color w:val="auto"/>
        </w:rPr>
      </w:pPr>
    </w:p>
    <w:p>
      <w:pPr>
        <w:jc w:val="both"/>
        <w:ind w:left="540"/>
        <w:spacing w:after="0" w:line="239" w:lineRule="auto"/>
        <w:tabs>
          <w:tab w:leader="none" w:pos="952"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See USML Category XI(a)(4)(iii) for controls on electronic attack and jamming “equipment” defined in 5A001.f and .h that are subject to the ITAR. (3) See also ECCNs 5A101, 5A980, and 5A991.</w:t>
      </w:r>
    </w:p>
    <w:p>
      <w:pPr>
        <w:spacing w:after="0" w:line="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2"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a. Any type of telecommunications equipment having any of the following characteristics, functions or features:</w:t>
      </w:r>
    </w:p>
    <w:p>
      <w:pPr>
        <w:spacing w:after="0" w:line="205"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a.1. “Specially designed” to withstand transitory electronic effects or electromagnetic pulse effects, both arising from a nuclear explosion;</w:t>
      </w:r>
    </w:p>
    <w:p>
      <w:pPr>
        <w:spacing w:after="0" w:line="211"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a.2. Specially hardened to withstand gamma, neutron or ion radiation;</w:t>
      </w:r>
    </w:p>
    <w:p>
      <w:pPr>
        <w:spacing w:after="0" w:line="187"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a.3. “Specially designed” to operate below 218 K (-55°C);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a.4. “Specially designed” to operate above 397 K (124° C);</w:t>
      </w:r>
    </w:p>
    <w:p>
      <w:pPr>
        <w:spacing w:after="0" w:line="20" w:lineRule="exact"/>
        <w:rPr>
          <w:sz w:val="20"/>
          <w:szCs w:val="20"/>
          <w:color w:val="auto"/>
        </w:rPr>
      </w:pPr>
      <w:r>
        <w:rPr>
          <w:sz w:val="20"/>
          <w:szCs w:val="20"/>
          <w:color w:val="auto"/>
        </w:rPr>
        <w:br w:type="column"/>
      </w:r>
    </w:p>
    <w:p>
      <w:pPr>
        <w:spacing w:after="0" w:line="190" w:lineRule="exact"/>
        <w:rPr>
          <w:sz w:val="20"/>
          <w:szCs w:val="20"/>
          <w:color w:val="auto"/>
        </w:rPr>
      </w:pPr>
    </w:p>
    <w:p>
      <w:pPr>
        <w:jc w:val="both"/>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5A001.a.3 and 5A001.a.4 apply only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electronic equipment.</w:t>
      </w:r>
    </w:p>
    <w:p>
      <w:pPr>
        <w:spacing w:after="0" w:line="181"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b. Telecommunication systems and equipment, and “specially designed” “components” and “accessories” therefor, having any of the following characteristics, functions or features:</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b.1 Being underwater untethered communications systems having any of the following:</w:t>
      </w:r>
    </w:p>
    <w:p>
      <w:pPr>
        <w:spacing w:after="0" w:line="206"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b.1.a. An acoustic carrier frequency outside the range from 20 kHz to 60 kHz;</w:t>
      </w:r>
    </w:p>
    <w:p>
      <w:pPr>
        <w:spacing w:after="0" w:line="189"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b.1.b. Using an electromagnetic carrier frequency below 30 kHz;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b.1.c. Using electronic beam steering techniques;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b.1.d. Using “lasers” or light-emitting diodes (LEDs), with an output wavelength greater than 400 nm and less than 700 nm, in a “local area network”;</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b.2. Being radio equipment operating in the 1.5 MHz to 87.5 MHz band and having all of the following:</w:t>
      </w:r>
    </w:p>
    <w:p>
      <w:pPr>
        <w:spacing w:after="0" w:line="205"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 xml:space="preserve">b.2.a.. Automatically predicting and selecting frequencies and “total digital transfer rates” per channel to optimize the transmission; </w:t>
      </w:r>
      <w:r>
        <w:rPr>
          <w:rFonts w:ascii="Times New Roman" w:cs="Times New Roman" w:eastAsia="Times New Roman" w:hAnsi="Times New Roman"/>
          <w:sz w:val="22"/>
          <w:szCs w:val="22"/>
          <w:i w:val="1"/>
          <w:iCs w:val="1"/>
          <w:color w:val="auto"/>
        </w:rPr>
        <w:t>and</w:t>
      </w:r>
    </w:p>
    <w:p>
      <w:pPr>
        <w:spacing w:after="0" w:line="211" w:lineRule="exact"/>
        <w:rPr>
          <w:sz w:val="20"/>
          <w:szCs w:val="20"/>
          <w:color w:val="auto"/>
        </w:rPr>
      </w:pPr>
    </w:p>
    <w:p>
      <w:pPr>
        <w:jc w:val="both"/>
        <w:ind w:firstLine="720"/>
        <w:spacing w:after="0" w:line="243" w:lineRule="auto"/>
        <w:rPr>
          <w:sz w:val="20"/>
          <w:szCs w:val="20"/>
          <w:color w:val="auto"/>
        </w:rPr>
      </w:pPr>
      <w:r>
        <w:rPr>
          <w:rFonts w:ascii="Times New Roman" w:cs="Times New Roman" w:eastAsia="Times New Roman" w:hAnsi="Times New Roman"/>
          <w:sz w:val="22"/>
          <w:szCs w:val="22"/>
          <w:color w:val="auto"/>
        </w:rPr>
        <w:t>b.2.b. Incorporating a linear power amplifier configuration having a capability to support multiple signals simultaneously at an output power of 1 kW or more in the frequency range of 1.5 MHz or more but less than 30 MHz, or 250 W or more in the frequency range of 30 MHz or more but not exceeding 87.5 MHz, over an “instantaneous bandwidth” of one octave or more and with an output harmonic and distortion content of better than -80 dB;</w:t>
      </w:r>
    </w:p>
    <w:p>
      <w:pPr>
        <w:spacing w:after="0" w:line="234"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83"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2" w:name="page3"/>
    <w:bookmarkEnd w:id="2"/>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3</w:t>
      </w:r>
    </w:p>
    <w:p>
      <w:pPr>
        <w:sectPr>
          <w:pgSz w:w="12240" w:h="15840" w:orient="portrait"/>
          <w:cols w:equalWidth="0" w:num="1">
            <w:col w:w="9360"/>
          </w:cols>
          <w:pgMar w:left="1440" w:top="1422" w:right="1440" w:bottom="892" w:gutter="0" w:footer="0" w:header="0"/>
        </w:sectPr>
      </w:pPr>
    </w:p>
    <w:p>
      <w:pPr>
        <w:spacing w:after="0" w:line="215" w:lineRule="exact"/>
        <w:rPr>
          <w:sz w:val="20"/>
          <w:szCs w:val="20"/>
          <w:color w:val="auto"/>
        </w:rPr>
      </w:pPr>
    </w:p>
    <w:p>
      <w:pPr>
        <w:ind w:left="360"/>
        <w:spacing w:after="0"/>
        <w:tabs>
          <w:tab w:leader="none" w:pos="980" w:val="left"/>
        </w:tabs>
        <w:rPr>
          <w:sz w:val="20"/>
          <w:szCs w:val="20"/>
          <w:color w:val="auto"/>
        </w:rPr>
      </w:pPr>
      <w:r>
        <w:rPr>
          <w:rFonts w:ascii="Times New Roman" w:cs="Times New Roman" w:eastAsia="Times New Roman" w:hAnsi="Times New Roman"/>
          <w:sz w:val="22"/>
          <w:szCs w:val="22"/>
          <w:color w:val="auto"/>
        </w:rPr>
        <w:t>b.3.</w:t>
        <w:tab/>
        <w:t>Being  radio  equipment  employing</w:t>
      </w:r>
    </w:p>
    <w:p>
      <w:pPr>
        <w:jc w:val="both"/>
        <w:spacing w:after="0" w:line="255" w:lineRule="auto"/>
        <w:rPr>
          <w:sz w:val="20"/>
          <w:szCs w:val="20"/>
          <w:color w:val="auto"/>
        </w:rPr>
      </w:pPr>
      <w:r>
        <w:rPr>
          <w:rFonts w:ascii="Times New Roman" w:cs="Times New Roman" w:eastAsia="Times New Roman" w:hAnsi="Times New Roman"/>
          <w:sz w:val="22"/>
          <w:szCs w:val="22"/>
          <w:color w:val="auto"/>
        </w:rPr>
        <w:t>“spread spectrum” techniques, including “frequency hopping” techniques, not controlled in 5A001.b.4 and having any of the following :</w:t>
      </w:r>
    </w:p>
    <w:p>
      <w:pPr>
        <w:spacing w:after="0" w:line="20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b.3.a. User programmable spreading codes;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b.3.b. A total transmitted bandwidth which is 100 or more times the bandwidth of any one information channel and in excess of 50 kHz;</w:t>
      </w:r>
    </w:p>
    <w:p>
      <w:pPr>
        <w:spacing w:after="0" w:line="206"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5A001.b.3.b does not control radio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for use with any of the following:</w:t>
      </w:r>
    </w:p>
    <w:p>
      <w:pPr>
        <w:spacing w:after="0" w:line="199" w:lineRule="exact"/>
        <w:rPr>
          <w:sz w:val="20"/>
          <w:szCs w:val="20"/>
          <w:color w:val="auto"/>
        </w:rPr>
      </w:pPr>
    </w:p>
    <w:p>
      <w:pPr>
        <w:jc w:val="both"/>
        <w:ind w:firstLine="360"/>
        <w:spacing w:after="0" w:line="273" w:lineRule="auto"/>
        <w:rPr>
          <w:sz w:val="20"/>
          <w:szCs w:val="20"/>
          <w:color w:val="auto"/>
        </w:rPr>
      </w:pPr>
      <w:r>
        <w:rPr>
          <w:rFonts w:ascii="Times New Roman" w:cs="Times New Roman" w:eastAsia="Times New Roman" w:hAnsi="Times New Roman"/>
          <w:sz w:val="22"/>
          <w:szCs w:val="22"/>
          <w:i w:val="1"/>
          <w:iCs w:val="1"/>
          <w:color w:val="auto"/>
        </w:rPr>
        <w:t>a. Civil cellular radio-communications systems; or</w:t>
      </w:r>
    </w:p>
    <w:p>
      <w:pPr>
        <w:spacing w:after="0" w:line="183" w:lineRule="exact"/>
        <w:rPr>
          <w:sz w:val="20"/>
          <w:szCs w:val="20"/>
          <w:color w:val="auto"/>
        </w:rPr>
      </w:pPr>
    </w:p>
    <w:p>
      <w:pPr>
        <w:ind w:firstLine="360"/>
        <w:spacing w:after="0" w:line="274" w:lineRule="auto"/>
        <w:tabs>
          <w:tab w:leader="none" w:pos="720"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Fixed or mobile satellite Earth stations for commercial civil telecommunications.</w:t>
      </w:r>
    </w:p>
    <w:p>
      <w:pPr>
        <w:spacing w:after="0" w:line="180" w:lineRule="exact"/>
        <w:rPr>
          <w:sz w:val="20"/>
          <w:szCs w:val="20"/>
          <w:color w:val="auto"/>
        </w:rPr>
      </w:pPr>
    </w:p>
    <w:p>
      <w:pPr>
        <w:jc w:val="both"/>
        <w:ind w:firstLine="360"/>
        <w:spacing w:after="0" w:line="263"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5A001.b.3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operating at an output power of 1 W or less.</w:t>
      </w:r>
    </w:p>
    <w:p>
      <w:pPr>
        <w:spacing w:after="0" w:line="200" w:lineRule="exact"/>
        <w:rPr>
          <w:sz w:val="20"/>
          <w:szCs w:val="20"/>
          <w:color w:val="auto"/>
        </w:rPr>
      </w:pPr>
    </w:p>
    <w:p>
      <w:pPr>
        <w:spacing w:after="0" w:line="262"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b.4. Being radio equipment employing ultra -wideband modulation techniques, having user programmable channelizing codes, scrambling codes, or network identification codes and having any of the following:</w:t>
      </w:r>
    </w:p>
    <w:p>
      <w:pPr>
        <w:spacing w:after="0" w:line="216"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b.4.a. A bandwidth exceeding 500 MHz;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b.4.b. A “fractional bandwidth” of 20% or more;</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b.5. Being digitally controlled radio receivers having all of the following:</w:t>
      </w:r>
    </w:p>
    <w:p>
      <w:pPr>
        <w:spacing w:after="0" w:line="18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b.5.a. More than 1,000 channels;</w:t>
      </w:r>
    </w:p>
    <w:p>
      <w:pPr>
        <w:spacing w:after="0" w:line="253"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b.5.b. A ‘channel switching time ’ of less than 1 ms;</w:t>
      </w:r>
    </w:p>
    <w:p>
      <w:pPr>
        <w:spacing w:after="0" w:line="20" w:lineRule="exact"/>
        <w:rPr>
          <w:sz w:val="20"/>
          <w:szCs w:val="20"/>
          <w:color w:val="auto"/>
        </w:rPr>
      </w:pPr>
      <w:r>
        <w:rPr>
          <w:sz w:val="20"/>
          <w:szCs w:val="20"/>
          <w:color w:val="auto"/>
        </w:rPr>
        <w:br w:type="column"/>
      </w:r>
    </w:p>
    <w:p>
      <w:pPr>
        <w:spacing w:after="0" w:line="194"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b.5.c. Automatic searching or scanning of a part of the electromagnetic spectrum;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b.5.d. Identification of the received signals or the type of transmitter; </w:t>
      </w:r>
      <w:r>
        <w:rPr>
          <w:rFonts w:ascii="Times New Roman" w:cs="Times New Roman" w:eastAsia="Times New Roman" w:hAnsi="Times New Roman"/>
          <w:sz w:val="22"/>
          <w:szCs w:val="22"/>
          <w:i w:val="1"/>
          <w:iCs w:val="1"/>
          <w:color w:val="auto"/>
        </w:rPr>
        <w:t>or</w:t>
      </w:r>
    </w:p>
    <w:p>
      <w:pPr>
        <w:spacing w:after="0" w:line="183"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5A001.b.5 does not control radio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for use with civil cellular radio-communications systems.</w:t>
      </w:r>
    </w:p>
    <w:p>
      <w:pPr>
        <w:spacing w:after="0" w:line="199" w:lineRule="exact"/>
        <w:rPr>
          <w:sz w:val="20"/>
          <w:szCs w:val="20"/>
          <w:color w:val="auto"/>
        </w:rPr>
      </w:pPr>
    </w:p>
    <w:p>
      <w:pPr>
        <w:jc w:val="both"/>
        <w:spacing w:after="0" w:line="245"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‘Channel switching time’: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time (i.e., delay) to change from one receiving frequency to another, to arrive at or within ±0.05% of the final specified receiving frequency. Items having a specified frequency range of less than ±0.05% around their center frequency are defined to be incapable of channel frequency switching.</w:t>
      </w:r>
    </w:p>
    <w:p>
      <w:pPr>
        <w:spacing w:after="0" w:line="21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b.6. Employing functions of digital “signal processing” to provide 'voice coding' output at rates of less than 700 bit/s.</w:t>
      </w:r>
    </w:p>
    <w:p>
      <w:pPr>
        <w:spacing w:after="0" w:line="20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ind w:firstLine="360"/>
        <w:spacing w:after="0" w:line="257" w:lineRule="auto"/>
        <w:tabs>
          <w:tab w:leader="none" w:pos="914" w:val="left"/>
        </w:tabs>
        <w:numPr>
          <w:ilvl w:val="1"/>
          <w:numId w:val="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variable rate 'voice coding', 5A001.b.6 applies to the 'voice coding' output of continuous speech.</w:t>
      </w:r>
    </w:p>
    <w:p>
      <w:pPr>
        <w:spacing w:after="0" w:line="198" w:lineRule="exact"/>
        <w:rPr>
          <w:rFonts w:ascii="Times New Roman" w:cs="Times New Roman" w:eastAsia="Times New Roman" w:hAnsi="Times New Roman"/>
          <w:sz w:val="22"/>
          <w:szCs w:val="22"/>
          <w:i w:val="1"/>
          <w:iCs w:val="1"/>
          <w:color w:val="auto"/>
        </w:rPr>
      </w:pPr>
    </w:p>
    <w:p>
      <w:pPr>
        <w:jc w:val="both"/>
        <w:ind w:firstLine="360"/>
        <w:spacing w:after="0" w:line="247" w:lineRule="auto"/>
        <w:tabs>
          <w:tab w:leader="none" w:pos="662" w:val="left"/>
        </w:tabs>
        <w:numPr>
          <w:ilvl w:val="1"/>
          <w:numId w:val="5"/>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 of 5A001.b.6, ‘voice coding’ is defined as the technique to take samples of human voice and then convert these samples of human voice into a digital signal taking into account specific characteristics of human speech.</w:t>
      </w:r>
    </w:p>
    <w:p>
      <w:pPr>
        <w:spacing w:after="0" w:line="211" w:lineRule="exact"/>
        <w:rPr>
          <w:rFonts w:ascii="Times New Roman" w:cs="Times New Roman" w:eastAsia="Times New Roman" w:hAnsi="Times New Roman"/>
          <w:sz w:val="22"/>
          <w:szCs w:val="22"/>
          <w:i w:val="1"/>
          <w:iCs w:val="1"/>
          <w:color w:val="auto"/>
        </w:rPr>
      </w:pPr>
    </w:p>
    <w:p>
      <w:pPr>
        <w:jc w:val="both"/>
        <w:spacing w:after="0" w:line="257" w:lineRule="auto"/>
        <w:tabs>
          <w:tab w:leader="none" w:pos="309"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Optical fibers of more than 500 m in length and specified by the manufacturer as being capable of withstanding a ‘proof test’ tensile stress of 2 x 10</w:t>
      </w:r>
      <w:r>
        <w:rPr>
          <w:rFonts w:ascii="Times New Roman" w:cs="Times New Roman" w:eastAsia="Times New Roman" w:hAnsi="Times New Roman"/>
          <w:sz w:val="28"/>
          <w:szCs w:val="28"/>
          <w:color w:val="auto"/>
          <w:vertAlign w:val="superscript"/>
        </w:rPr>
        <w:t>9</w:t>
      </w:r>
      <w:r>
        <w:rPr>
          <w:rFonts w:ascii="Times New Roman" w:cs="Times New Roman" w:eastAsia="Times New Roman" w:hAnsi="Times New Roman"/>
          <w:sz w:val="22"/>
          <w:szCs w:val="22"/>
          <w:color w:val="auto"/>
        </w:rPr>
        <w:t xml:space="preserve"> N/m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or more;</w:t>
      </w:r>
    </w:p>
    <w:p>
      <w:pPr>
        <w:spacing w:after="0" w:line="103"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For underwater umbilical cables, see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8A002.a.3.</w:t>
      </w:r>
    </w:p>
    <w:p>
      <w:pPr>
        <w:spacing w:after="0" w:line="178"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‘Proof Test’: on-line or off-line production screen testing that dynamically applies a prescribed tensile stress over a 0.5 to 3</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93"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3" w:name="page4"/>
    <w:bookmarkEnd w:id="3"/>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4</w:t>
      </w:r>
    </w:p>
    <w:p>
      <w:pPr>
        <w:sectPr>
          <w:pgSz w:w="12240" w:h="15840" w:orient="portrait"/>
          <w:cols w:equalWidth="0" w:num="1">
            <w:col w:w="9360"/>
          </w:cols>
          <w:pgMar w:left="1440" w:top="1422" w:right="1440" w:bottom="892" w:gutter="0" w:footer="0" w:header="0"/>
        </w:sectPr>
      </w:pPr>
    </w:p>
    <w:p>
      <w:pPr>
        <w:spacing w:after="0" w:line="212"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i w:val="1"/>
          <w:iCs w:val="1"/>
          <w:color w:val="auto"/>
        </w:rPr>
        <w:t>m length of fiber at a running rate of 2 to 5 m/s while passing between capstans approximately 150 mm in diameter. The ambient temperature is a nominal 293 K (20ºC) and relative humidity 40%. Equivalent national standards may be used for executing the proof test.</w:t>
      </w:r>
    </w:p>
    <w:p>
      <w:pPr>
        <w:spacing w:after="0" w:line="218"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d. “Electronically steerable phased array antennae” as follows:</w:t>
      </w:r>
    </w:p>
    <w:p>
      <w:pPr>
        <w:spacing w:after="0" w:line="189"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d.1. Rated for operation above 31.8 GHz, but not exceeding 57 GHz, and having an Effective Radiated Power (ERP) equal to or greater than +20 dBm (22.15 dBm Effective Isotropic Radiated Power (EIRP));</w:t>
      </w:r>
    </w:p>
    <w:p>
      <w:pPr>
        <w:spacing w:after="0" w:line="216"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d.2. Rated for operation above 57 GHz, but not exceeding 66 GHz, and having an ERP equal to or greater than +24 dBm (26.15 dBm EIRP);</w:t>
      </w:r>
    </w:p>
    <w:p>
      <w:pPr>
        <w:spacing w:after="0" w:line="20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d.3. Rated for operation above 66 GHz, but not exceeding 90 GHz, and having an ERP equal to or greater than +20 dBm (22.15 dBm EIRP);</w:t>
      </w:r>
    </w:p>
    <w:p>
      <w:pPr>
        <w:spacing w:after="0" w:line="20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d.4. Rated for operation above 90 GHz;</w:t>
      </w:r>
    </w:p>
    <w:p>
      <w:pPr>
        <w:spacing w:after="0" w:line="249"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5A001.d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‘electronically steerable phased array antennae’ for landing systems with instruments meeting ICAO standards covering Microwave Landing Systems (MLS).</w:t>
      </w:r>
    </w:p>
    <w:p>
      <w:pPr>
        <w:spacing w:after="0" w:line="206"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5A001.d does not apply to antennae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for any of the following:</w:t>
      </w:r>
    </w:p>
    <w:p>
      <w:pPr>
        <w:spacing w:after="0" w:line="179" w:lineRule="exact"/>
        <w:rPr>
          <w:sz w:val="20"/>
          <w:szCs w:val="20"/>
          <w:color w:val="auto"/>
        </w:rPr>
      </w:pPr>
    </w:p>
    <w:p>
      <w:pPr>
        <w:jc w:val="both"/>
        <w:ind w:firstLine="360"/>
        <w:spacing w:after="0" w:line="274" w:lineRule="auto"/>
        <w:rPr>
          <w:sz w:val="20"/>
          <w:szCs w:val="20"/>
          <w:color w:val="auto"/>
        </w:rPr>
      </w:pPr>
      <w:r>
        <w:rPr>
          <w:rFonts w:ascii="Times New Roman" w:cs="Times New Roman" w:eastAsia="Times New Roman" w:hAnsi="Times New Roman"/>
          <w:sz w:val="22"/>
          <w:szCs w:val="22"/>
          <w:i w:val="1"/>
          <w:iCs w:val="1"/>
          <w:color w:val="auto"/>
        </w:rPr>
        <w:t>a. Civil cellular or WLAN radio-communications systems;</w:t>
      </w:r>
    </w:p>
    <w:p>
      <w:pPr>
        <w:spacing w:after="0" w:line="182" w:lineRule="exact"/>
        <w:rPr>
          <w:sz w:val="20"/>
          <w:szCs w:val="20"/>
          <w:color w:val="auto"/>
        </w:rPr>
      </w:pPr>
    </w:p>
    <w:p>
      <w:pPr>
        <w:ind w:left="700" w:hanging="340"/>
        <w:spacing w:after="0"/>
        <w:tabs>
          <w:tab w:leader="none" w:pos="700"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IEEE 802.15 or wireless HDMI; or</w:t>
      </w:r>
    </w:p>
    <w:p>
      <w:pPr>
        <w:spacing w:after="0" w:line="252"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775"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Fixed or mobile satellite earth stations for commercial civil telecommunications.</w:t>
      </w:r>
    </w:p>
    <w:p>
      <w:pPr>
        <w:spacing w:after="0" w:line="180" w:lineRule="exact"/>
        <w:rPr>
          <w:sz w:val="20"/>
          <w:szCs w:val="20"/>
          <w:color w:val="auto"/>
        </w:rPr>
      </w:pPr>
    </w:p>
    <w:p>
      <w:pPr>
        <w:jc w:val="both"/>
        <w:ind w:firstLine="72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5A001.d ‘electronically steerable phased array antenna’ is an antenna which forms a beam by means of phase coupling, (i.e., the beam</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i w:val="1"/>
          <w:iCs w:val="1"/>
          <w:color w:val="auto"/>
        </w:rPr>
        <w:t>direction is controlled by the complex excitation coefficients of the radiating elements) and the direction of that beam can be varied (both in transmission and reception) in azimuth or in elevation, or both, by application of an electrical signal.</w:t>
      </w:r>
    </w:p>
    <w:p>
      <w:pPr>
        <w:spacing w:after="0" w:line="218" w:lineRule="exact"/>
        <w:rPr>
          <w:sz w:val="20"/>
          <w:szCs w:val="20"/>
          <w:color w:val="auto"/>
        </w:rPr>
      </w:pPr>
    </w:p>
    <w:p>
      <w:pPr>
        <w:jc w:val="both"/>
        <w:spacing w:after="0" w:line="250" w:lineRule="auto"/>
        <w:tabs>
          <w:tab w:leader="none" w:pos="360" w:val="left"/>
        </w:tabs>
        <w:numPr>
          <w:ilvl w:val="0"/>
          <w:numId w:val="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Radio direction finding equipment operating at frequencies above 30 MHz and having all of the following, and “specially designed” “components” therefor:</w:t>
      </w:r>
    </w:p>
    <w:p>
      <w:pPr>
        <w:spacing w:after="0" w:line="211"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e.1. “Instantaneous bandwidth” of 10 MHz or more; and</w:t>
      </w:r>
    </w:p>
    <w:p>
      <w:pPr>
        <w:spacing w:after="0" w:line="189"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e.2. Capable of finding a Line Of Bearing (LOB) to non-cooperating radio transmitters with a signal duration of less than 1 ms;</w:t>
      </w:r>
    </w:p>
    <w:p>
      <w:pPr>
        <w:spacing w:after="0" w:line="205" w:lineRule="exact"/>
        <w:rPr>
          <w:sz w:val="20"/>
          <w:szCs w:val="20"/>
          <w:color w:val="auto"/>
        </w:rPr>
      </w:pPr>
    </w:p>
    <w:p>
      <w:pPr>
        <w:jc w:val="both"/>
        <w:spacing w:after="0" w:line="250" w:lineRule="auto"/>
        <w:tabs>
          <w:tab w:leader="none" w:pos="349"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Mobile telecommunications interception or jamming equipment, and monitoring equipment therefor, as follows, and “specially designed” “components” therefor:</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f.1. Interception equipment designed for the extraction of voice or data, transmitted over the air interface;</w:t>
      </w:r>
    </w:p>
    <w:p>
      <w:pPr>
        <w:spacing w:after="0" w:line="206"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f.2. Interception equipment not specified in 5A001.f.1, designed for the extraction of client device or subscriber identifiers (e.g., IMSI, TIMSI or IMEI), signaling, or other metadata transmitted over the air interface;</w:t>
      </w:r>
    </w:p>
    <w:p>
      <w:pPr>
        <w:spacing w:after="0" w:line="216"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f.3. Jamming equipment “specially designed” or modified to intentionally and selectively interfere with, deny, inhibit, degrade or seduce mobile telecommunication services and performing any of the following:</w:t>
      </w:r>
    </w:p>
    <w:p>
      <w:pPr>
        <w:spacing w:after="0" w:line="215"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f.3.a. Simulate the functions of Radio Access Network (RAN) equipment;</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f.3.b. Detect and exploit specific characteristics of the mobile telecommunications protocol employed (e.g., GSM); </w:t>
      </w:r>
      <w:r>
        <w:rPr>
          <w:rFonts w:ascii="Times New Roman" w:cs="Times New Roman" w:eastAsia="Times New Roman" w:hAnsi="Times New Roman"/>
          <w:sz w:val="22"/>
          <w:szCs w:val="22"/>
          <w:i w:val="1"/>
          <w:iCs w:val="1"/>
          <w:color w:val="auto"/>
        </w:rPr>
        <w:t>or</w:t>
      </w:r>
    </w:p>
    <w:p>
      <w:pPr>
        <w:spacing w:after="0" w:line="451"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96"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4" w:name="page5"/>
    <w:bookmarkEnd w:id="4"/>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5</w:t>
      </w:r>
    </w:p>
    <w:p>
      <w:pPr>
        <w:sectPr>
          <w:pgSz w:w="12240" w:h="15840" w:orient="portrait"/>
          <w:cols w:equalWidth="0" w:num="1">
            <w:col w:w="9480"/>
          </w:cols>
          <w:pgMar w:left="1440" w:top="1422" w:right="1320" w:bottom="892" w:gutter="0" w:footer="0" w:header="0"/>
        </w:sectPr>
      </w:pPr>
    </w:p>
    <w:p>
      <w:pPr>
        <w:spacing w:after="0" w:line="21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f.3.c. Exploit specific characteristics of the mobile telecommunications protocol employed (e.g., GSM);</w:t>
      </w:r>
    </w:p>
    <w:p>
      <w:pPr>
        <w:spacing w:after="0" w:line="205"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f.4. Radio Frequency (RF) monitoring equipment designed or modified to identify the operation of items specified in 5A001.f.1, 5A001.f.2 or 5A001.f.3.</w:t>
      </w:r>
    </w:p>
    <w:p>
      <w:pPr>
        <w:spacing w:after="0" w:line="206"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5A001.f.1 and 5A001.f.2 do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apply to any of the following:</w:t>
      </w:r>
    </w:p>
    <w:p>
      <w:pPr>
        <w:spacing w:after="0" w:line="180" w:lineRule="exact"/>
        <w:rPr>
          <w:sz w:val="20"/>
          <w:szCs w:val="20"/>
          <w:color w:val="auto"/>
        </w:rPr>
      </w:pPr>
    </w:p>
    <w:p>
      <w:pPr>
        <w:jc w:val="both"/>
        <w:ind w:firstLine="720"/>
        <w:spacing w:after="0" w:line="257" w:lineRule="auto"/>
        <w:tabs>
          <w:tab w:leader="none" w:pos="1080" w:val="left"/>
        </w:tabs>
        <w:numPr>
          <w:ilvl w:val="0"/>
          <w:numId w:val="1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“specially designed” for the interception of analog Private Mobile Radio (PMR), IEEE 802.11 WLAN;</w:t>
      </w:r>
    </w:p>
    <w:p>
      <w:pPr>
        <w:spacing w:after="0" w:line="198" w:lineRule="exact"/>
        <w:rPr>
          <w:rFonts w:ascii="Times New Roman" w:cs="Times New Roman" w:eastAsia="Times New Roman" w:hAnsi="Times New Roman"/>
          <w:sz w:val="22"/>
          <w:szCs w:val="22"/>
          <w:i w:val="1"/>
          <w:iCs w:val="1"/>
          <w:color w:val="auto"/>
        </w:rPr>
      </w:pPr>
    </w:p>
    <w:p>
      <w:pPr>
        <w:ind w:firstLine="720"/>
        <w:spacing w:after="0" w:line="274" w:lineRule="auto"/>
        <w:tabs>
          <w:tab w:leader="none" w:pos="1080" w:val="left"/>
        </w:tabs>
        <w:numPr>
          <w:ilvl w:val="0"/>
          <w:numId w:val="1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designed for mobile telecommunications network operators; or</w:t>
      </w:r>
    </w:p>
    <w:p>
      <w:pPr>
        <w:spacing w:after="0" w:line="180" w:lineRule="exact"/>
        <w:rPr>
          <w:rFonts w:ascii="Times New Roman" w:cs="Times New Roman" w:eastAsia="Times New Roman" w:hAnsi="Times New Roman"/>
          <w:sz w:val="22"/>
          <w:szCs w:val="22"/>
          <w:i w:val="1"/>
          <w:iCs w:val="1"/>
          <w:color w:val="auto"/>
        </w:rPr>
      </w:pPr>
    </w:p>
    <w:p>
      <w:pPr>
        <w:jc w:val="both"/>
        <w:ind w:firstLine="720"/>
        <w:spacing w:after="0" w:line="257" w:lineRule="auto"/>
        <w:tabs>
          <w:tab w:leader="none" w:pos="1080" w:val="left"/>
        </w:tabs>
        <w:numPr>
          <w:ilvl w:val="0"/>
          <w:numId w:val="1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designed for the “development” or “production” of mobile telecommunications equipment or systems.</w:t>
      </w:r>
    </w:p>
    <w:p>
      <w:pPr>
        <w:spacing w:after="0" w:line="198"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1: </w:t>
      </w:r>
      <w:r>
        <w:rPr>
          <w:rFonts w:ascii="Times New Roman" w:cs="Times New Roman" w:eastAsia="Times New Roman" w:hAnsi="Times New Roman"/>
          <w:sz w:val="22"/>
          <w:szCs w:val="22"/>
          <w:i w:val="1"/>
          <w:iCs w:val="1"/>
          <w:color w:val="auto"/>
        </w:rPr>
        <w:t>See also the International Traffic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Arms Regulations (ITAR) (22 CFR Parts 120-130). For items specified by 5A001.f.1 (including as previously specified by 5A001.i), see also5A980 and the U.S. Munitions List (22 CFR part 121).</w:t>
      </w:r>
    </w:p>
    <w:p>
      <w:pPr>
        <w:spacing w:after="0" w:line="20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N.B. 2</w:t>
      </w:r>
      <w:r>
        <w:rPr>
          <w:rFonts w:ascii="Times New Roman" w:cs="Times New Roman" w:eastAsia="Times New Roman" w:hAnsi="Times New Roman"/>
          <w:sz w:val="22"/>
          <w:szCs w:val="22"/>
          <w:i w:val="1"/>
          <w:iCs w:val="1"/>
          <w:color w:val="auto"/>
        </w:rPr>
        <w:t>: For radio receivers see 5A001.b.5.</w:t>
      </w:r>
    </w:p>
    <w:p>
      <w:pPr>
        <w:spacing w:after="0" w:line="258"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g. Passive Coherent Location (PCL) systems or equipment, “specially designed” for detecting and tracking moving objects by measuring reflections of ambient radio frequency emissions, supplied by non-radar transmitters.</w:t>
      </w:r>
    </w:p>
    <w:p>
      <w:pPr>
        <w:spacing w:after="0" w:line="211"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Non-radar transmitters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may include commercial radio, television or cellular telecommunications base stations.</w:t>
      </w:r>
    </w:p>
    <w:p>
      <w:pPr>
        <w:spacing w:after="0" w:line="199" w:lineRule="exact"/>
        <w:rPr>
          <w:sz w:val="20"/>
          <w:szCs w:val="20"/>
          <w:color w:val="auto"/>
        </w:rPr>
      </w:pPr>
    </w:p>
    <w:p>
      <w:pPr>
        <w:spacing w:after="0"/>
        <w:tabs>
          <w:tab w:leader="none" w:pos="700" w:val="left"/>
        </w:tabs>
        <w:rPr>
          <w:sz w:val="20"/>
          <w:szCs w:val="20"/>
          <w:color w:val="auto"/>
        </w:rPr>
      </w:pPr>
      <w:r>
        <w:rPr>
          <w:rFonts w:ascii="Times New Roman" w:cs="Times New Roman" w:eastAsia="Times New Roman" w:hAnsi="Times New Roman"/>
          <w:sz w:val="22"/>
          <w:szCs w:val="22"/>
          <w:b w:val="1"/>
          <w:bCs w:val="1"/>
          <w:i w:val="1"/>
          <w:iCs w:val="1"/>
          <w:color w:val="auto"/>
        </w:rPr>
        <w:t>Note:</w:t>
      </w:r>
      <w:r>
        <w:rPr>
          <w:sz w:val="20"/>
          <w:szCs w:val="20"/>
          <w:color w:val="auto"/>
        </w:rPr>
        <w:tab/>
      </w:r>
      <w:r>
        <w:rPr>
          <w:rFonts w:ascii="Times New Roman" w:cs="Times New Roman" w:eastAsia="Times New Roman" w:hAnsi="Times New Roman"/>
          <w:sz w:val="22"/>
          <w:szCs w:val="22"/>
          <w:i w:val="1"/>
          <w:iCs w:val="1"/>
          <w:color w:val="auto"/>
        </w:rPr>
        <w:t>5A001.g. does not control:</w:t>
      </w:r>
    </w:p>
    <w:p>
      <w:pPr>
        <w:spacing w:after="0" w:line="255" w:lineRule="exact"/>
        <w:rPr>
          <w:sz w:val="20"/>
          <w:szCs w:val="20"/>
          <w:color w:val="auto"/>
        </w:rPr>
      </w:pPr>
    </w:p>
    <w:p>
      <w:pPr>
        <w:ind w:left="360"/>
        <w:spacing w:after="0"/>
        <w:tabs>
          <w:tab w:leader="none" w:pos="700" w:val="left"/>
        </w:tabs>
        <w:rPr>
          <w:sz w:val="20"/>
          <w:szCs w:val="20"/>
          <w:color w:val="auto"/>
        </w:rPr>
      </w:pPr>
      <w:r>
        <w:rPr>
          <w:rFonts w:ascii="Times New Roman" w:cs="Times New Roman" w:eastAsia="Times New Roman" w:hAnsi="Times New Roman"/>
          <w:sz w:val="22"/>
          <w:szCs w:val="22"/>
          <w:i w:val="1"/>
          <w:iCs w:val="1"/>
          <w:color w:val="auto"/>
        </w:rPr>
        <w:t>a.</w:t>
        <w:tab/>
        <w:t xml:space="preserve">Radio-astronomical equipment; </w:t>
      </w:r>
      <w:r>
        <w:rPr>
          <w:rFonts w:ascii="Times New Roman" w:cs="Times New Roman" w:eastAsia="Times New Roman" w:hAnsi="Times New Roman"/>
          <w:sz w:val="22"/>
          <w:szCs w:val="22"/>
          <w:i w:val="1"/>
          <w:iCs w:val="1"/>
          <w:u w:val="single" w:color="auto"/>
          <w:color w:val="auto"/>
        </w:rPr>
        <w:t>or</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ind w:left="120" w:right="120" w:firstLine="360"/>
        <w:spacing w:after="0" w:line="274" w:lineRule="auto"/>
        <w:tabs>
          <w:tab w:leader="none" w:pos="840" w:val="left"/>
        </w:tabs>
        <w:numPr>
          <w:ilvl w:val="1"/>
          <w:numId w:val="1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Systems or equipment, that require any radio transmission from the target.</w:t>
      </w:r>
    </w:p>
    <w:p>
      <w:pPr>
        <w:spacing w:after="0" w:line="183" w:lineRule="exact"/>
        <w:rPr>
          <w:rFonts w:ascii="Times New Roman" w:cs="Times New Roman" w:eastAsia="Times New Roman" w:hAnsi="Times New Roman"/>
          <w:sz w:val="22"/>
          <w:szCs w:val="22"/>
          <w:i w:val="1"/>
          <w:iCs w:val="1"/>
          <w:color w:val="auto"/>
        </w:rPr>
      </w:pPr>
    </w:p>
    <w:p>
      <w:pPr>
        <w:ind w:left="120" w:right="120"/>
        <w:spacing w:after="0" w:line="271" w:lineRule="auto"/>
        <w:tabs>
          <w:tab w:leader="none" w:pos="371"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Counter Improvised Explosive Device (IED) equipment and related equipment, as follows:</w:t>
      </w:r>
    </w:p>
    <w:p>
      <w:pPr>
        <w:spacing w:after="0" w:line="188" w:lineRule="exact"/>
        <w:rPr>
          <w:sz w:val="20"/>
          <w:szCs w:val="20"/>
          <w:color w:val="auto"/>
        </w:rPr>
      </w:pPr>
    </w:p>
    <w:p>
      <w:pPr>
        <w:jc w:val="both"/>
        <w:ind w:left="120" w:right="120" w:firstLine="360"/>
        <w:spacing w:after="0" w:line="247" w:lineRule="auto"/>
        <w:rPr>
          <w:sz w:val="20"/>
          <w:szCs w:val="20"/>
          <w:color w:val="auto"/>
        </w:rPr>
      </w:pPr>
      <w:r>
        <w:rPr>
          <w:rFonts w:ascii="Times New Roman" w:cs="Times New Roman" w:eastAsia="Times New Roman" w:hAnsi="Times New Roman"/>
          <w:sz w:val="22"/>
          <w:szCs w:val="22"/>
          <w:color w:val="auto"/>
        </w:rPr>
        <w:t>h.1. Radio Frequency (RF) transmitting equipment, not specified by 5A001.f, designed or modified for prematurely activating or preventing the initiation of Improvised Explosive Devices (IEDs);</w:t>
      </w:r>
    </w:p>
    <w:p>
      <w:pPr>
        <w:spacing w:after="0" w:line="216" w:lineRule="exact"/>
        <w:rPr>
          <w:sz w:val="20"/>
          <w:szCs w:val="20"/>
          <w:color w:val="auto"/>
        </w:rPr>
      </w:pPr>
    </w:p>
    <w:p>
      <w:pPr>
        <w:jc w:val="both"/>
        <w:ind w:left="120" w:right="120" w:firstLine="360"/>
        <w:spacing w:after="0" w:line="247" w:lineRule="auto"/>
        <w:rPr>
          <w:sz w:val="20"/>
          <w:szCs w:val="20"/>
          <w:color w:val="auto"/>
        </w:rPr>
      </w:pPr>
      <w:r>
        <w:rPr>
          <w:rFonts w:ascii="Times New Roman" w:cs="Times New Roman" w:eastAsia="Times New Roman" w:hAnsi="Times New Roman"/>
          <w:sz w:val="22"/>
          <w:szCs w:val="22"/>
          <w:color w:val="auto"/>
        </w:rPr>
        <w:t>h.2. Equipment using techniques designed to enable radio communications in the same frequency channels on which co-located equipment specified by 5A001.h.1 is transmitting.</w:t>
      </w:r>
    </w:p>
    <w:p>
      <w:pPr>
        <w:spacing w:after="0" w:line="210" w:lineRule="exact"/>
        <w:rPr>
          <w:sz w:val="20"/>
          <w:szCs w:val="20"/>
          <w:color w:val="auto"/>
        </w:rPr>
      </w:pPr>
    </w:p>
    <w:p>
      <w:pPr>
        <w:jc w:val="both"/>
        <w:ind w:left="120" w:right="120"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See also Category XI of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International Traffic in Arms Regulations (ITAR) (22 CFR Parts 120-130).</w:t>
      </w:r>
    </w:p>
    <w:p>
      <w:pPr>
        <w:spacing w:after="0" w:line="202" w:lineRule="exact"/>
        <w:rPr>
          <w:sz w:val="20"/>
          <w:szCs w:val="20"/>
          <w:color w:val="auto"/>
        </w:rPr>
      </w:pPr>
    </w:p>
    <w:p>
      <w:pPr>
        <w:ind w:left="460" w:hanging="340"/>
        <w:spacing w:after="0"/>
        <w:tabs>
          <w:tab w:leader="none" w:pos="46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47" w:lineRule="exact"/>
        <w:rPr>
          <w:sz w:val="20"/>
          <w:szCs w:val="20"/>
          <w:color w:val="auto"/>
        </w:rPr>
      </w:pPr>
    </w:p>
    <w:p>
      <w:pPr>
        <w:jc w:val="both"/>
        <w:ind w:left="120" w:right="120"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See 5A001.f.1 for items previously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specified by 5A001.i.</w:t>
      </w:r>
    </w:p>
    <w:p>
      <w:pPr>
        <w:spacing w:after="0" w:line="200" w:lineRule="exact"/>
        <w:rPr>
          <w:sz w:val="20"/>
          <w:szCs w:val="20"/>
          <w:color w:val="auto"/>
        </w:rPr>
      </w:pPr>
    </w:p>
    <w:p>
      <w:pPr>
        <w:spacing w:after="0" w:line="233" w:lineRule="exact"/>
        <w:rPr>
          <w:sz w:val="20"/>
          <w:szCs w:val="20"/>
          <w:color w:val="auto"/>
        </w:rPr>
      </w:pPr>
    </w:p>
    <w:p>
      <w:pPr>
        <w:jc w:val="both"/>
        <w:ind w:left="120" w:right="120"/>
        <w:spacing w:after="0" w:line="244" w:lineRule="auto"/>
        <w:rPr>
          <w:sz w:val="20"/>
          <w:szCs w:val="20"/>
          <w:color w:val="auto"/>
        </w:rPr>
      </w:pPr>
      <w:r>
        <w:rPr>
          <w:rFonts w:ascii="Times New Roman" w:cs="Times New Roman" w:eastAsia="Times New Roman" w:hAnsi="Times New Roman"/>
          <w:sz w:val="22"/>
          <w:szCs w:val="22"/>
          <w:b w:val="1"/>
          <w:bCs w:val="1"/>
          <w:color w:val="auto"/>
        </w:rPr>
        <w:t>5A101 Telemetering and telecontrol equipment, including ground equipment, designed or modified for unmanned aerial vehicle (including cruise missiles, target drones, and reconnaissance drones) or rocket systems (including ballistic missiles, space launch vehicles, and sounding rockets) capable of a maximum “range” equal to or greater than 300 km.</w:t>
      </w:r>
    </w:p>
    <w:p>
      <w:pPr>
        <w:spacing w:after="0" w:line="215"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MT,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6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4"/>
        </w:trPr>
        <w:tc>
          <w:tcPr>
            <w:tcW w:w="256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0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186"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480"/>
          </w:cols>
          <w:pgMar w:left="1440" w:top="1422" w:right="1320" w:bottom="892" w:gutter="0" w:footer="0" w:header="0"/>
          <w:type w:val="continuous"/>
        </w:sectPr>
      </w:pPr>
    </w:p>
    <w:bookmarkStart w:id="5" w:name="page6"/>
    <w:bookmarkEnd w:id="5"/>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6</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64" w:lineRule="exact"/>
        <w:rPr>
          <w:sz w:val="20"/>
          <w:szCs w:val="20"/>
          <w:color w:val="auto"/>
        </w:rPr>
      </w:pPr>
    </w:p>
    <w:p>
      <w:pPr>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7"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18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 5A101 does not control</w:t>
      </w:r>
      <w:r>
        <w:rPr>
          <w:rFonts w:ascii="Times New Roman" w:cs="Times New Roman" w:eastAsia="Times New Roman" w:hAnsi="Times New Roman"/>
          <w:sz w:val="22"/>
          <w:szCs w:val="22"/>
          <w:i w:val="1"/>
          <w:iCs w:val="1"/>
          <w:color w:val="auto"/>
        </w:rPr>
        <w:t>:</w:t>
      </w:r>
    </w:p>
    <w:p>
      <w:pPr>
        <w:spacing w:after="0" w:line="254" w:lineRule="exact"/>
        <w:rPr>
          <w:sz w:val="20"/>
          <w:szCs w:val="20"/>
          <w:color w:val="auto"/>
        </w:rPr>
      </w:pPr>
    </w:p>
    <w:p>
      <w:pPr>
        <w:jc w:val="both"/>
        <w:ind w:firstLine="360"/>
        <w:spacing w:after="0" w:line="246" w:lineRule="auto"/>
        <w:tabs>
          <w:tab w:leader="none" w:pos="1005" w:val="left"/>
        </w:tabs>
        <w:numPr>
          <w:ilvl w:val="0"/>
          <w:numId w:val="1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Telecontrol equipment “specially designed” to be used for remote control of recreational model planes, boats or vehicles and having an electric field strength of not more than 200 microvolts per meter at a distance of 500 meters;</w:t>
      </w:r>
    </w:p>
    <w:p>
      <w:pPr>
        <w:spacing w:after="0" w:line="215"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804" w:val="left"/>
        </w:tabs>
        <w:numPr>
          <w:ilvl w:val="0"/>
          <w:numId w:val="1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designed or modified for manned aircraft or satellites;</w:t>
      </w:r>
    </w:p>
    <w:p>
      <w:pPr>
        <w:spacing w:after="0" w:line="180" w:lineRule="exact"/>
        <w:rPr>
          <w:rFonts w:ascii="Times New Roman" w:cs="Times New Roman" w:eastAsia="Times New Roman" w:hAnsi="Times New Roman"/>
          <w:sz w:val="22"/>
          <w:szCs w:val="22"/>
          <w:i w:val="1"/>
          <w:iCs w:val="1"/>
          <w:color w:val="auto"/>
        </w:rPr>
      </w:pPr>
    </w:p>
    <w:p>
      <w:pPr>
        <w:ind w:firstLine="360"/>
        <w:spacing w:after="0" w:line="274" w:lineRule="auto"/>
        <w:tabs>
          <w:tab w:leader="none" w:pos="760" w:val="left"/>
        </w:tabs>
        <w:numPr>
          <w:ilvl w:val="0"/>
          <w:numId w:val="1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Ground based equipment designed or modified for terrestrial or marine applications;</w:t>
      </w:r>
    </w:p>
    <w:p>
      <w:pPr>
        <w:spacing w:after="0" w:line="181" w:lineRule="exact"/>
        <w:rPr>
          <w:rFonts w:ascii="Times New Roman" w:cs="Times New Roman" w:eastAsia="Times New Roman" w:hAnsi="Times New Roman"/>
          <w:sz w:val="22"/>
          <w:szCs w:val="22"/>
          <w:i w:val="1"/>
          <w:iCs w:val="1"/>
          <w:color w:val="auto"/>
        </w:rPr>
      </w:pPr>
    </w:p>
    <w:p>
      <w:pPr>
        <w:jc w:val="both"/>
        <w:ind w:firstLine="360"/>
        <w:spacing w:after="0" w:line="251" w:lineRule="auto"/>
        <w:tabs>
          <w:tab w:leader="none" w:pos="808" w:val="left"/>
        </w:tabs>
        <w:numPr>
          <w:ilvl w:val="0"/>
          <w:numId w:val="1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Equipment designed for commercial, civil, or safety of life (e.g., data integrity or flight safety) Global Navigation Satellite System services.</w:t>
      </w:r>
    </w:p>
    <w:p>
      <w:pPr>
        <w:spacing w:after="0" w:line="204" w:lineRule="exact"/>
        <w:rPr>
          <w:sz w:val="20"/>
          <w:szCs w:val="20"/>
          <w:color w:val="auto"/>
        </w:rPr>
      </w:pPr>
    </w:p>
    <w:p>
      <w:pPr>
        <w:jc w:val="both"/>
        <w:ind w:firstLine="36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ECCN 5A101 does not include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items not designed or modified for unmanned aerial vehicles (including cruise missiles, target drones, and reconnaissance drones) or rocket systems (including ballistic missiles, space launch vehicles and sounding rockets) capable of a maximum “range” equal to or greater than 300km (e.g., telemetry circuit cards limited by design to reception only and designed for use in personal computers).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jc w:val="both"/>
        <w:spacing w:after="0" w:line="245" w:lineRule="auto"/>
        <w:rPr>
          <w:sz w:val="20"/>
          <w:szCs w:val="20"/>
          <w:color w:val="auto"/>
        </w:rPr>
      </w:pPr>
      <w:r>
        <w:rPr>
          <w:rFonts w:ascii="Times New Roman" w:cs="Times New Roman" w:eastAsia="Times New Roman" w:hAnsi="Times New Roman"/>
          <w:sz w:val="22"/>
          <w:szCs w:val="22"/>
          <w:b w:val="1"/>
          <w:bCs w:val="1"/>
          <w:color w:val="auto"/>
        </w:rPr>
        <w:t>5A611 Telecommunications equipment, and “parts,” “components,” “accessories,” and “attachments” “specially designed” therefor, “specially designed” for a military application that are not enumerated in any USML category are controlled by ECCN 3A611.</w:t>
      </w:r>
    </w:p>
    <w:p>
      <w:pPr>
        <w:spacing w:after="0" w:line="200" w:lineRule="exact"/>
        <w:rPr>
          <w:sz w:val="20"/>
          <w:szCs w:val="20"/>
          <w:color w:val="auto"/>
        </w:rPr>
      </w:pPr>
    </w:p>
    <w:p>
      <w:pPr>
        <w:spacing w:after="0" w:line="369" w:lineRule="exact"/>
        <w:rPr>
          <w:sz w:val="20"/>
          <w:szCs w:val="20"/>
          <w:color w:val="auto"/>
        </w:rPr>
      </w:pPr>
    </w:p>
    <w:p>
      <w:pPr>
        <w:jc w:val="both"/>
        <w:spacing w:after="0" w:line="248" w:lineRule="auto"/>
        <w:rPr>
          <w:sz w:val="20"/>
          <w:szCs w:val="20"/>
          <w:color w:val="auto"/>
        </w:rPr>
      </w:pPr>
      <w:r>
        <w:rPr>
          <w:rFonts w:ascii="Times New Roman" w:cs="Times New Roman" w:eastAsia="Times New Roman" w:hAnsi="Times New Roman"/>
          <w:sz w:val="22"/>
          <w:szCs w:val="22"/>
          <w:b w:val="1"/>
          <w:bCs w:val="1"/>
          <w:color w:val="auto"/>
        </w:rPr>
        <w:t>5A980 Devices primarily useful for the surreptitious interception of wire, oral, or electronic communications, other than those controlled under 5A001.f.1; and “parts,” “components” and “accessories” therefor.</w:t>
      </w:r>
    </w:p>
    <w:p>
      <w:pPr>
        <w:spacing w:after="0" w:line="200" w:lineRule="exact"/>
        <w:rPr>
          <w:sz w:val="20"/>
          <w:szCs w:val="20"/>
          <w:color w:val="auto"/>
        </w:rPr>
      </w:pPr>
    </w:p>
    <w:p>
      <w:pPr>
        <w:spacing w:after="0" w:line="21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SL, AT</w:t>
      </w:r>
    </w:p>
    <w:p>
      <w:pPr>
        <w:spacing w:after="0" w:line="253" w:lineRule="exact"/>
        <w:rPr>
          <w:sz w:val="20"/>
          <w:szCs w:val="20"/>
          <w:color w:val="auto"/>
        </w:rPr>
      </w:pPr>
    </w:p>
    <w:p>
      <w:pPr>
        <w:jc w:val="both"/>
        <w:ind w:firstLine="360"/>
        <w:spacing w:after="0" w:line="246" w:lineRule="auto"/>
        <w:rPr>
          <w:sz w:val="20"/>
          <w:szCs w:val="20"/>
          <w:color w:val="auto"/>
        </w:rPr>
      </w:pPr>
      <w:r>
        <w:rPr>
          <w:rFonts w:ascii="Times New Roman" w:cs="Times New Roman" w:eastAsia="Times New Roman" w:hAnsi="Times New Roman"/>
          <w:sz w:val="22"/>
          <w:szCs w:val="22"/>
          <w:i w:val="1"/>
          <w:iCs w:val="1"/>
          <w:color w:val="auto"/>
        </w:rPr>
        <w:t xml:space="preserve">Control(s): </w:t>
      </w:r>
      <w:r>
        <w:rPr>
          <w:rFonts w:ascii="Times New Roman" w:cs="Times New Roman" w:eastAsia="Times New Roman" w:hAnsi="Times New Roman"/>
          <w:sz w:val="22"/>
          <w:szCs w:val="22"/>
          <w:color w:val="auto"/>
        </w:rPr>
        <w:t>SL and AT apply to entire entry.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A license is required for all destinations, as specified in §742.13 of the EAR. Accordingly, a column specific to this control does not appear on the Commerce Country Chart (Supplement No. 1 to Part 738 of the EAR).</w:t>
      </w:r>
    </w:p>
    <w:p>
      <w:pPr>
        <w:spacing w:after="0" w:line="215"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This licensing requirement does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supersede, nor does it implement, construe or limit the scope of any criminal statute, including, but not limited to the Omnibus Safe Streets Act of 1968, as amended.</w:t>
      </w:r>
    </w:p>
    <w:p>
      <w:pPr>
        <w:spacing w:after="0" w:line="206" w:lineRule="exact"/>
        <w:rPr>
          <w:sz w:val="20"/>
          <w:szCs w:val="20"/>
          <w:color w:val="auto"/>
        </w:rPr>
      </w:pPr>
    </w:p>
    <w:p>
      <w:pPr>
        <w:jc w:val="both"/>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7"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360"/>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See ECCN 5A001.f.1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 systems or equipment, “specially designed” or modified to intercept and</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46"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6" w:name="page7"/>
    <w:bookmarkEnd w:id="6"/>
    <w:p>
      <w:pPr>
        <w:ind w:left="120"/>
        <w:spacing w:after="0"/>
        <w:tabs>
          <w:tab w:leader="none" w:pos="3660" w:val="left"/>
          <w:tab w:leader="none" w:pos="620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7</w:t>
      </w:r>
    </w:p>
    <w:p>
      <w:pPr>
        <w:sectPr>
          <w:pgSz w:w="12240" w:h="15840" w:orient="portrait"/>
          <w:cols w:equalWidth="0" w:num="1">
            <w:col w:w="9480"/>
          </w:cols>
          <w:pgMar w:left="1320" w:top="1422" w:right="1440" w:bottom="892" w:gutter="0" w:footer="0" w:header="0"/>
        </w:sectPr>
      </w:pPr>
    </w:p>
    <w:p>
      <w:pPr>
        <w:spacing w:after="0" w:line="215" w:lineRule="exact"/>
        <w:rPr>
          <w:sz w:val="20"/>
          <w:szCs w:val="20"/>
          <w:color w:val="auto"/>
        </w:rPr>
      </w:pPr>
    </w:p>
    <w:p>
      <w:pPr>
        <w:ind w:left="480"/>
        <w:spacing w:after="0"/>
        <w:tabs>
          <w:tab w:leader="none" w:pos="1360" w:val="left"/>
          <w:tab w:leader="none" w:pos="1860" w:val="left"/>
          <w:tab w:leader="none" w:pos="2340" w:val="left"/>
          <w:tab w:leader="none" w:pos="3340" w:val="left"/>
          <w:tab w:leader="none" w:pos="3780" w:val="left"/>
        </w:tabs>
        <w:rPr>
          <w:sz w:val="20"/>
          <w:szCs w:val="20"/>
          <w:color w:val="auto"/>
        </w:rPr>
      </w:pPr>
      <w:r>
        <w:rPr>
          <w:rFonts w:ascii="Times New Roman" w:cs="Times New Roman" w:eastAsia="Times New Roman" w:hAnsi="Times New Roman"/>
          <w:sz w:val="22"/>
          <w:szCs w:val="22"/>
          <w:color w:val="auto"/>
        </w:rPr>
        <w:t>process</w:t>
        <w:tab/>
        <w:t>the</w:t>
        <w:tab/>
        <w:t>air</w:t>
        <w:tab/>
        <w:t>interface</w:t>
        <w:tab/>
        <w:t>of</w:t>
      </w:r>
      <w:r>
        <w:rPr>
          <w:sz w:val="20"/>
          <w:szCs w:val="20"/>
          <w:color w:val="auto"/>
        </w:rPr>
        <w:tab/>
      </w:r>
      <w:r>
        <w:rPr>
          <w:rFonts w:ascii="Times New Roman" w:cs="Times New Roman" w:eastAsia="Times New Roman" w:hAnsi="Times New Roman"/>
          <w:sz w:val="21"/>
          <w:szCs w:val="21"/>
          <w:color w:val="auto"/>
        </w:rPr>
        <w:t>'mobile</w:t>
      </w:r>
    </w:p>
    <w:p>
      <w:pPr>
        <w:jc w:val="both"/>
        <w:ind w:left="480" w:right="360"/>
        <w:spacing w:after="0" w:line="239" w:lineRule="auto"/>
        <w:rPr>
          <w:sz w:val="20"/>
          <w:szCs w:val="20"/>
          <w:color w:val="auto"/>
        </w:rPr>
      </w:pPr>
      <w:r>
        <w:rPr>
          <w:rFonts w:ascii="Times New Roman" w:cs="Times New Roman" w:eastAsia="Times New Roman" w:hAnsi="Times New Roman"/>
          <w:sz w:val="22"/>
          <w:szCs w:val="22"/>
          <w:color w:val="auto"/>
        </w:rPr>
        <w:t>telecommunications', and “specially designed” components therefor. (2) See ECCN 5D980 for “software” for the “development”, “production” or “use” of equipment controlled by 5A980. (3) See ECCN 5E980 for the “technology” for the “development”, “production”, and “use” of equipment controlled by 5A980.</w:t>
      </w:r>
    </w:p>
    <w:p>
      <w:pPr>
        <w:spacing w:after="0" w:line="8"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99" w:lineRule="exact"/>
        <w:rPr>
          <w:sz w:val="20"/>
          <w:szCs w:val="20"/>
          <w:color w:val="auto"/>
        </w:rPr>
      </w:pPr>
    </w:p>
    <w:p>
      <w:pPr>
        <w:ind w:left="120" w:right="64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p>
      <w:pPr>
        <w:jc w:val="both"/>
        <w:ind w:left="120" w:right="360"/>
        <w:spacing w:after="0" w:line="257" w:lineRule="auto"/>
        <w:rPr>
          <w:sz w:val="20"/>
          <w:szCs w:val="20"/>
          <w:color w:val="auto"/>
        </w:rPr>
      </w:pPr>
      <w:r>
        <w:rPr>
          <w:rFonts w:ascii="Times New Roman" w:cs="Times New Roman" w:eastAsia="Times New Roman" w:hAnsi="Times New Roman"/>
          <w:sz w:val="22"/>
          <w:szCs w:val="22"/>
          <w:b w:val="1"/>
          <w:bCs w:val="1"/>
          <w:color w:val="auto"/>
        </w:rPr>
        <w:t>5A991 Telecommunication equipment, not controlled by 5A001 (see List of Items Controlled).</w:t>
      </w:r>
    </w:p>
    <w:p>
      <w:pPr>
        <w:spacing w:after="0" w:line="19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3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6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6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w w:val="99"/>
              </w:rPr>
              <w:t>AT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36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7"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LVS:</w:t>
        <w:tab/>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GBS:</w:t>
        <w:tab/>
        <w:t>N/A</w:t>
      </w: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CIV:</w:t>
        <w:tab/>
        <w:t>N/A</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480" w:right="360"/>
        <w:spacing w:after="0" w:line="242"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 5E101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5E991.</w:t>
      </w:r>
    </w:p>
    <w:p>
      <w:pPr>
        <w:jc w:val="right"/>
        <w:ind w:left="480" w:right="360"/>
        <w:spacing w:after="0" w:line="245"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‘Asynchronous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transfer mode’ (‘</w:t>
      </w:r>
      <w:r>
        <w:rPr>
          <w:rFonts w:ascii="Times New Roman" w:cs="Times New Roman" w:eastAsia="Times New Roman" w:hAnsi="Times New Roman"/>
          <w:sz w:val="22"/>
          <w:szCs w:val="22"/>
          <w:i w:val="1"/>
          <w:iCs w:val="1"/>
          <w:color w:val="auto"/>
        </w:rPr>
        <w:t>ATM</w:t>
      </w:r>
      <w:r>
        <w:rPr>
          <w:rFonts w:ascii="Times New Roman" w:cs="Times New Roman" w:eastAsia="Times New Roman" w:hAnsi="Times New Roman"/>
          <w:sz w:val="22"/>
          <w:szCs w:val="22"/>
          <w:color w:val="auto"/>
        </w:rPr>
        <w:t>’) is a transfer mode in which the information is organized into cells; it is asynchronous in the sense that the recurrence of cells depends on the required  or  instantaneous  bit  rate.   2) ‘</w:t>
      </w:r>
      <w:r>
        <w:rPr>
          <w:rFonts w:ascii="Times New Roman" w:cs="Times New Roman" w:eastAsia="Times New Roman" w:hAnsi="Times New Roman"/>
          <w:sz w:val="22"/>
          <w:szCs w:val="22"/>
          <w:i w:val="1"/>
          <w:iCs w:val="1"/>
          <w:color w:val="auto"/>
        </w:rPr>
        <w:t>Bandwidth of one voice channel</w:t>
      </w:r>
      <w:r>
        <w:rPr>
          <w:rFonts w:ascii="Times New Roman" w:cs="Times New Roman" w:eastAsia="Times New Roman" w:hAnsi="Times New Roman"/>
          <w:sz w:val="22"/>
          <w:szCs w:val="22"/>
          <w:color w:val="auto"/>
        </w:rPr>
        <w:t>’ is data</w:t>
      </w:r>
    </w:p>
    <w:p>
      <w:pPr>
        <w:spacing w:after="0" w:line="20" w:lineRule="exact"/>
        <w:rPr>
          <w:sz w:val="20"/>
          <w:szCs w:val="20"/>
          <w:color w:val="auto"/>
        </w:rPr>
      </w:pPr>
      <w:r>
        <w:rPr>
          <w:sz w:val="20"/>
          <w:szCs w:val="20"/>
          <w:color w:val="auto"/>
        </w:rPr>
        <w:br w:type="column"/>
      </w:r>
    </w:p>
    <w:p>
      <w:pPr>
        <w:spacing w:after="0" w:line="195" w:lineRule="exact"/>
        <w:rPr>
          <w:sz w:val="20"/>
          <w:szCs w:val="20"/>
          <w:color w:val="auto"/>
        </w:rPr>
      </w:pPr>
    </w:p>
    <w:p>
      <w:pPr>
        <w:jc w:val="both"/>
        <w:ind w:left="180"/>
        <w:spacing w:after="0" w:line="239" w:lineRule="auto"/>
        <w:rPr>
          <w:sz w:val="20"/>
          <w:szCs w:val="20"/>
          <w:color w:val="auto"/>
        </w:rPr>
      </w:pPr>
      <w:r>
        <w:rPr>
          <w:rFonts w:ascii="Times New Roman" w:cs="Times New Roman" w:eastAsia="Times New Roman" w:hAnsi="Times New Roman"/>
          <w:sz w:val="22"/>
          <w:szCs w:val="22"/>
          <w:color w:val="auto"/>
        </w:rPr>
        <w:t>communication equipment designed to operate in one voice channel of 3,100 Hz, as defined in CCITT Recommendation G.151. 3) ‘</w:t>
      </w:r>
      <w:r>
        <w:rPr>
          <w:rFonts w:ascii="Times New Roman" w:cs="Times New Roman" w:eastAsia="Times New Roman" w:hAnsi="Times New Roman"/>
          <w:sz w:val="22"/>
          <w:szCs w:val="22"/>
          <w:i w:val="1"/>
          <w:iCs w:val="1"/>
          <w:color w:val="auto"/>
        </w:rPr>
        <w:t>Communications channel</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controller</w:t>
      </w:r>
      <w:r>
        <w:rPr>
          <w:rFonts w:ascii="Times New Roman" w:cs="Times New Roman" w:eastAsia="Times New Roman" w:hAnsi="Times New Roman"/>
          <w:sz w:val="22"/>
          <w:szCs w:val="22"/>
          <w:color w:val="auto"/>
        </w:rPr>
        <w:t>’ is the physical interface that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controls the flow of synchronous or asynchronous digital information. It is an assembly that can be integrated into</w:t>
      </w:r>
    </w:p>
    <w:p>
      <w:pPr>
        <w:spacing w:after="0" w:line="8" w:lineRule="exact"/>
        <w:rPr>
          <w:sz w:val="20"/>
          <w:szCs w:val="20"/>
          <w:color w:val="auto"/>
        </w:rPr>
      </w:pPr>
    </w:p>
    <w:p>
      <w:pPr>
        <w:jc w:val="both"/>
        <w:ind w:left="180"/>
        <w:spacing w:after="0"/>
        <w:rPr>
          <w:sz w:val="20"/>
          <w:szCs w:val="20"/>
          <w:color w:val="auto"/>
        </w:rPr>
      </w:pPr>
      <w:r>
        <w:rPr>
          <w:rFonts w:ascii="Times New Roman" w:cs="Times New Roman" w:eastAsia="Times New Roman" w:hAnsi="Times New Roman"/>
          <w:sz w:val="22"/>
          <w:szCs w:val="22"/>
          <w:color w:val="auto"/>
        </w:rPr>
        <w:t>computer or telecommunications equipment to provide communications access. 4) ‘</w:t>
      </w:r>
      <w:r>
        <w:rPr>
          <w:rFonts w:ascii="Times New Roman" w:cs="Times New Roman" w:eastAsia="Times New Roman" w:hAnsi="Times New Roman"/>
          <w:sz w:val="22"/>
          <w:szCs w:val="22"/>
          <w:i w:val="1"/>
          <w:iCs w:val="1"/>
          <w:color w:val="auto"/>
        </w:rPr>
        <w:t>Datagram</w:t>
      </w:r>
      <w:r>
        <w:rPr>
          <w:rFonts w:ascii="Times New Roman" w:cs="Times New Roman" w:eastAsia="Times New Roman" w:hAnsi="Times New Roman"/>
          <w:sz w:val="22"/>
          <w:szCs w:val="22"/>
          <w:color w:val="auto"/>
        </w:rPr>
        <w:t>’ is a self- contained, independent entity of data carrying sufficient information to be routed from the source to the destination data terminal equipment without reliance on earlier exchanges between this source and destination data terminal equipment and the transporting network. 5) ‘</w:t>
      </w:r>
      <w:r>
        <w:rPr>
          <w:rFonts w:ascii="Times New Roman" w:cs="Times New Roman" w:eastAsia="Times New Roman" w:hAnsi="Times New Roman"/>
          <w:sz w:val="22"/>
          <w:szCs w:val="22"/>
          <w:i w:val="1"/>
          <w:iCs w:val="1"/>
          <w:color w:val="auto"/>
        </w:rPr>
        <w:t>Fast select</w:t>
      </w:r>
      <w:r>
        <w:rPr>
          <w:rFonts w:ascii="Times New Roman" w:cs="Times New Roman" w:eastAsia="Times New Roman" w:hAnsi="Times New Roman"/>
          <w:sz w:val="22"/>
          <w:szCs w:val="22"/>
          <w:color w:val="auto"/>
        </w:rPr>
        <w:t>’ is a facility applicable to virtual calls that allows data terminal equipment to expand the possibility to transmit data in call set-up and clearing ‘packets’ beyond the basic capabilities of a virtual call. 6) ‘</w:t>
      </w:r>
      <w:r>
        <w:rPr>
          <w:rFonts w:ascii="Times New Roman" w:cs="Times New Roman" w:eastAsia="Times New Roman" w:hAnsi="Times New Roman"/>
          <w:sz w:val="22"/>
          <w:szCs w:val="22"/>
          <w:i w:val="1"/>
          <w:iCs w:val="1"/>
          <w:color w:val="auto"/>
        </w:rPr>
        <w:t>Gateway</w:t>
      </w:r>
      <w:r>
        <w:rPr>
          <w:rFonts w:ascii="Times New Roman" w:cs="Times New Roman" w:eastAsia="Times New Roman" w:hAnsi="Times New Roman"/>
          <w:sz w:val="22"/>
          <w:szCs w:val="22"/>
          <w:color w:val="auto"/>
        </w:rPr>
        <w:t xml:space="preserve">’ is the function, realized by any combination of equipment and “software”, to carry out the conversion of conventions for representing, processing or communicating information used on one system into the corresponding, but different conventions used in another system. 7) </w:t>
      </w:r>
      <w:r>
        <w:rPr>
          <w:rFonts w:ascii="Times New Roman" w:cs="Times New Roman" w:eastAsia="Times New Roman" w:hAnsi="Times New Roman"/>
          <w:sz w:val="22"/>
          <w:szCs w:val="22"/>
          <w:i w:val="1"/>
          <w:iCs w:val="1"/>
          <w:color w:val="auto"/>
        </w:rPr>
        <w:t>‘Integrated Services Digital</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Network</w:t>
      </w:r>
      <w:r>
        <w:rPr>
          <w:rFonts w:ascii="Times New Roman" w:cs="Times New Roman" w:eastAsia="Times New Roman" w:hAnsi="Times New Roman"/>
          <w:sz w:val="22"/>
          <w:szCs w:val="22"/>
          <w:color w:val="auto"/>
        </w:rPr>
        <w:t>’ (ISDN) is a unified end-to-end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digital network, in which data originating from all types of communication (</w:t>
      </w:r>
      <w:r>
        <w:rPr>
          <w:rFonts w:ascii="Times New Roman" w:cs="Times New Roman" w:eastAsia="Times New Roman" w:hAnsi="Times New Roman"/>
          <w:sz w:val="22"/>
          <w:szCs w:val="22"/>
          <w:i w:val="1"/>
          <w:iCs w:val="1"/>
          <w:color w:val="auto"/>
        </w:rPr>
        <w:t>e.g.</w:t>
      </w:r>
      <w:r>
        <w:rPr>
          <w:rFonts w:ascii="Times New Roman" w:cs="Times New Roman" w:eastAsia="Times New Roman" w:hAnsi="Times New Roman"/>
          <w:sz w:val="22"/>
          <w:szCs w:val="22"/>
          <w:color w:val="auto"/>
        </w:rPr>
        <w:t>, voice, text, data, still and moving pictures) are transmitted from one port (terminal) in the exchange (switch) over one access line to and from the subscriber. 8) ‘</w:t>
      </w:r>
      <w:r>
        <w:rPr>
          <w:rFonts w:ascii="Times New Roman" w:cs="Times New Roman" w:eastAsia="Times New Roman" w:hAnsi="Times New Roman"/>
          <w:sz w:val="22"/>
          <w:szCs w:val="22"/>
          <w:i w:val="1"/>
          <w:iCs w:val="1"/>
          <w:color w:val="auto"/>
        </w:rPr>
        <w:t>Packet</w:t>
      </w:r>
      <w:r>
        <w:rPr>
          <w:rFonts w:ascii="Times New Roman" w:cs="Times New Roman" w:eastAsia="Times New Roman" w:hAnsi="Times New Roman"/>
          <w:sz w:val="22"/>
          <w:szCs w:val="22"/>
          <w:color w:val="auto"/>
        </w:rPr>
        <w:t>’ is a group of binary digits including data and call control signals that is switched as a composite whole. The data, call control signals, and possible error control information are arranged in a specified format.</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820" w:lineRule="exact"/>
        <w:rPr>
          <w:sz w:val="20"/>
          <w:szCs w:val="20"/>
          <w:color w:val="auto"/>
        </w:rPr>
      </w:pPr>
    </w:p>
    <w:p>
      <w:pPr>
        <w:sectPr>
          <w:pgSz w:w="12240" w:h="15840" w:orient="portrait"/>
          <w:cols w:equalWidth="0" w:num="2">
            <w:col w:w="4800" w:space="720"/>
            <w:col w:w="3960"/>
          </w:cols>
          <w:pgMar w:left="1320" w:top="1422" w:right="1440" w:bottom="892" w:gutter="0" w:footer="0" w:header="0"/>
          <w:type w:val="continuous"/>
        </w:sectPr>
      </w:pPr>
    </w:p>
    <w:p>
      <w:pPr>
        <w:spacing w:after="0" w:line="128" w:lineRule="exact"/>
        <w:rPr>
          <w:sz w:val="20"/>
          <w:szCs w:val="20"/>
          <w:color w:val="auto"/>
        </w:rPr>
      </w:pPr>
    </w:p>
    <w:p>
      <w:pPr>
        <w:ind w:left="120"/>
        <w:spacing w:after="0"/>
        <w:tabs>
          <w:tab w:leader="none" w:pos="3520" w:val="left"/>
          <w:tab w:leader="none" w:pos="816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480"/>
          </w:cols>
          <w:pgMar w:left="1320" w:top="1422" w:right="1440" w:bottom="892" w:gutter="0" w:footer="0" w:header="0"/>
          <w:type w:val="continuous"/>
        </w:sectPr>
      </w:pPr>
    </w:p>
    <w:bookmarkStart w:id="7" w:name="page8"/>
    <w:bookmarkEnd w:id="7"/>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8</w:t>
      </w:r>
    </w:p>
    <w:p>
      <w:pPr>
        <w:sectPr>
          <w:pgSz w:w="12240" w:h="15840" w:orient="portrait"/>
          <w:cols w:equalWidth="0" w:num="1">
            <w:col w:w="9360"/>
          </w:cols>
          <w:pgMar w:left="1440" w:top="1422" w:right="1440" w:bottom="892" w:gutter="0" w:footer="0" w:header="0"/>
        </w:sectPr>
      </w:pPr>
    </w:p>
    <w:p>
      <w:pPr>
        <w:spacing w:after="0" w:line="215" w:lineRule="exact"/>
        <w:rPr>
          <w:sz w:val="20"/>
          <w:szCs w:val="20"/>
          <w:color w:val="auto"/>
        </w:rPr>
      </w:pPr>
    </w:p>
    <w:p>
      <w:pPr>
        <w:jc w:val="both"/>
        <w:spacing w:after="0" w:line="255" w:lineRule="auto"/>
        <w:tabs>
          <w:tab w:leader="none" w:pos="311"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Any type of telecommunications equipment, not controlled by 5A001.a, “specially designed” to operate outside the temperature range from 219 K (-54 C) to 397 K (124 C).</w:t>
      </w:r>
    </w:p>
    <w:p>
      <w:pPr>
        <w:spacing w:after="0" w:line="206" w:lineRule="exact"/>
        <w:rPr>
          <w:rFonts w:ascii="Times New Roman" w:cs="Times New Roman" w:eastAsia="Times New Roman" w:hAnsi="Times New Roman"/>
          <w:sz w:val="22"/>
          <w:szCs w:val="22"/>
          <w:color w:val="auto"/>
        </w:rPr>
      </w:pPr>
    </w:p>
    <w:p>
      <w:pPr>
        <w:jc w:val="both"/>
        <w:spacing w:after="0" w:line="247" w:lineRule="auto"/>
        <w:tabs>
          <w:tab w:leader="none" w:pos="343"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Telecommunication transmission equipment and systems, and “specially designed” “parts,” “components” and “accessories” therefor, having any of the following characteristics, functions or features:</w:t>
      </w:r>
    </w:p>
    <w:p>
      <w:pPr>
        <w:spacing w:after="0" w:line="211" w:lineRule="exact"/>
        <w:rPr>
          <w:sz w:val="20"/>
          <w:szCs w:val="20"/>
          <w:color w:val="auto"/>
        </w:rPr>
      </w:pPr>
    </w:p>
    <w:p>
      <w:pPr>
        <w:ind w:firstLine="360"/>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Telecommunication transmission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w:t>
      </w:r>
    </w:p>
    <w:p>
      <w:pPr>
        <w:spacing w:after="0" w:line="181" w:lineRule="exact"/>
        <w:rPr>
          <w:sz w:val="20"/>
          <w:szCs w:val="20"/>
          <w:color w:val="auto"/>
        </w:rPr>
      </w:pPr>
    </w:p>
    <w:p>
      <w:pPr>
        <w:ind w:firstLine="360"/>
        <w:spacing w:after="0" w:line="274" w:lineRule="auto"/>
        <w:tabs>
          <w:tab w:leader="none" w:pos="676" w:val="left"/>
        </w:tabs>
        <w:numPr>
          <w:ilvl w:val="0"/>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Categorized as follows, or combinations thereof:</w:t>
      </w:r>
    </w:p>
    <w:p>
      <w:pPr>
        <w:spacing w:after="0" w:line="180" w:lineRule="exact"/>
        <w:rPr>
          <w:rFonts w:ascii="Times New Roman" w:cs="Times New Roman" w:eastAsia="Times New Roman" w:hAnsi="Times New Roman"/>
          <w:sz w:val="22"/>
          <w:szCs w:val="22"/>
          <w:i w:val="1"/>
          <w:iCs w:val="1"/>
          <w:color w:val="auto"/>
        </w:rPr>
      </w:pPr>
    </w:p>
    <w:p>
      <w:pPr>
        <w:ind w:firstLine="720"/>
        <w:spacing w:after="0" w:line="274" w:lineRule="auto"/>
        <w:tabs>
          <w:tab w:leader="none" w:pos="1056"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Radio equipment (e.g., transmitters, receivers and transceivers);</w:t>
      </w:r>
    </w:p>
    <w:p>
      <w:pPr>
        <w:spacing w:after="0" w:line="181"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Line terminating equipment;</w:t>
      </w:r>
    </w:p>
    <w:p>
      <w:pPr>
        <w:spacing w:after="0" w:line="253"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Intermediate amplifier equipment;</w:t>
      </w:r>
    </w:p>
    <w:p>
      <w:pPr>
        <w:spacing w:after="0" w:line="252"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Repeater equipment;</w:t>
      </w:r>
    </w:p>
    <w:p>
      <w:pPr>
        <w:spacing w:after="0" w:line="253"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Regenerator equipment;</w:t>
      </w:r>
    </w:p>
    <w:p>
      <w:pPr>
        <w:spacing w:after="0" w:line="252"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Translation encoders (transcoders);</w:t>
      </w:r>
    </w:p>
    <w:p>
      <w:pPr>
        <w:spacing w:after="0" w:line="253" w:lineRule="exact"/>
        <w:rPr>
          <w:rFonts w:ascii="Times New Roman" w:cs="Times New Roman" w:eastAsia="Times New Roman" w:hAnsi="Times New Roman"/>
          <w:sz w:val="22"/>
          <w:szCs w:val="22"/>
          <w:i w:val="1"/>
          <w:iCs w:val="1"/>
          <w:color w:val="auto"/>
        </w:rPr>
      </w:pPr>
    </w:p>
    <w:p>
      <w:pPr>
        <w:ind w:firstLine="720"/>
        <w:spacing w:after="0" w:line="274" w:lineRule="auto"/>
        <w:tabs>
          <w:tab w:leader="none" w:pos="1259"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Multiplex equipment (statistical mutiplex included);</w:t>
      </w:r>
    </w:p>
    <w:p>
      <w:pPr>
        <w:spacing w:after="0" w:line="181"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Modulators/demodulators (modems);</w:t>
      </w:r>
    </w:p>
    <w:p>
      <w:pPr>
        <w:spacing w:after="0" w:line="252" w:lineRule="exact"/>
        <w:rPr>
          <w:rFonts w:ascii="Times New Roman" w:cs="Times New Roman" w:eastAsia="Times New Roman" w:hAnsi="Times New Roman"/>
          <w:sz w:val="22"/>
          <w:szCs w:val="22"/>
          <w:i w:val="1"/>
          <w:iCs w:val="1"/>
          <w:color w:val="auto"/>
        </w:rPr>
      </w:pPr>
    </w:p>
    <w:p>
      <w:pPr>
        <w:ind w:firstLine="720"/>
        <w:spacing w:after="0" w:line="274" w:lineRule="auto"/>
        <w:tabs>
          <w:tab w:leader="none" w:pos="1302"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Transmultiplex equipment (see CCITT Rec. G701);</w:t>
      </w:r>
    </w:p>
    <w:p>
      <w:pPr>
        <w:spacing w:after="0" w:line="181" w:lineRule="exact"/>
        <w:rPr>
          <w:rFonts w:ascii="Times New Roman" w:cs="Times New Roman" w:eastAsia="Times New Roman" w:hAnsi="Times New Roman"/>
          <w:sz w:val="22"/>
          <w:szCs w:val="22"/>
          <w:i w:val="1"/>
          <w:iCs w:val="1"/>
          <w:color w:val="auto"/>
        </w:rPr>
      </w:pPr>
    </w:p>
    <w:p>
      <w:pPr>
        <w:ind w:left="1420" w:hanging="700"/>
        <w:spacing w:after="0"/>
        <w:tabs>
          <w:tab w:leader="none" w:pos="142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“Stored  program  controlled”</w:t>
      </w:r>
    </w:p>
    <w:p>
      <w:pPr>
        <w:spacing w:after="0" w:line="3"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digital crossconnection equipment;</w:t>
      </w:r>
    </w:p>
    <w:p>
      <w:pPr>
        <w:spacing w:after="0" w:line="249" w:lineRule="exact"/>
        <w:rPr>
          <w:rFonts w:ascii="Times New Roman" w:cs="Times New Roman" w:eastAsia="Times New Roman" w:hAnsi="Times New Roman"/>
          <w:sz w:val="22"/>
          <w:szCs w:val="22"/>
          <w:i w:val="1"/>
          <w:iCs w:val="1"/>
          <w:color w:val="auto"/>
        </w:rPr>
      </w:pPr>
    </w:p>
    <w:p>
      <w:pPr>
        <w:ind w:left="1100" w:hanging="380"/>
        <w:spacing w:after="0"/>
        <w:tabs>
          <w:tab w:leader="none" w:pos="11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‘Gateways’ and bridges;</w:t>
      </w:r>
    </w:p>
    <w:p>
      <w:pPr>
        <w:spacing w:after="0" w:line="253" w:lineRule="exact"/>
        <w:rPr>
          <w:rFonts w:ascii="Times New Roman" w:cs="Times New Roman" w:eastAsia="Times New Roman" w:hAnsi="Times New Roman"/>
          <w:sz w:val="22"/>
          <w:szCs w:val="22"/>
          <w:i w:val="1"/>
          <w:iCs w:val="1"/>
          <w:color w:val="auto"/>
        </w:rPr>
      </w:pPr>
    </w:p>
    <w:p>
      <w:pPr>
        <w:ind w:left="1100" w:hanging="380"/>
        <w:spacing w:after="0"/>
        <w:tabs>
          <w:tab w:leader="none" w:pos="1100" w:val="left"/>
        </w:tabs>
        <w:numPr>
          <w:ilvl w:val="1"/>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“Media access units”; and</w:t>
      </w:r>
    </w:p>
    <w:p>
      <w:pPr>
        <w:spacing w:after="0" w:line="252" w:lineRule="exact"/>
        <w:rPr>
          <w:rFonts w:ascii="Times New Roman" w:cs="Times New Roman" w:eastAsia="Times New Roman" w:hAnsi="Times New Roman"/>
          <w:sz w:val="22"/>
          <w:szCs w:val="22"/>
          <w:i w:val="1"/>
          <w:iCs w:val="1"/>
          <w:color w:val="auto"/>
        </w:rPr>
      </w:pPr>
    </w:p>
    <w:p>
      <w:pPr>
        <w:jc w:val="both"/>
        <w:ind w:firstLine="360"/>
        <w:spacing w:after="0" w:line="274" w:lineRule="auto"/>
        <w:tabs>
          <w:tab w:leader="none" w:pos="775" w:val="left"/>
        </w:tabs>
        <w:numPr>
          <w:ilvl w:val="0"/>
          <w:numId w:val="1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Designed for use in single or multi-channel communication via any of the following: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45" w:lineRule="exact"/>
        <w:rPr>
          <w:sz w:val="20"/>
          <w:szCs w:val="20"/>
          <w:color w:val="auto"/>
        </w:rPr>
      </w:pPr>
    </w:p>
    <w:p>
      <w:pPr>
        <w:ind w:left="1000" w:hanging="280"/>
        <w:spacing w:after="0"/>
        <w:tabs>
          <w:tab w:leader="none" w:pos="1000" w:val="left"/>
        </w:tabs>
        <w:numPr>
          <w:ilvl w:val="0"/>
          <w:numId w:val="1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Wire (line);</w:t>
      </w:r>
    </w:p>
    <w:p>
      <w:pPr>
        <w:spacing w:after="0" w:line="252"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0"/>
          <w:numId w:val="1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Coaxial cable;</w:t>
      </w:r>
    </w:p>
    <w:p>
      <w:pPr>
        <w:spacing w:after="0" w:line="253"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0"/>
          <w:numId w:val="1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Optical fiber cable;</w:t>
      </w:r>
    </w:p>
    <w:p>
      <w:pPr>
        <w:spacing w:after="0" w:line="253" w:lineRule="exact"/>
        <w:rPr>
          <w:rFonts w:ascii="Times New Roman" w:cs="Times New Roman" w:eastAsia="Times New Roman" w:hAnsi="Times New Roman"/>
          <w:sz w:val="22"/>
          <w:szCs w:val="22"/>
          <w:i w:val="1"/>
          <w:iCs w:val="1"/>
          <w:color w:val="auto"/>
        </w:rPr>
      </w:pPr>
    </w:p>
    <w:p>
      <w:pPr>
        <w:ind w:left="1000" w:hanging="280"/>
        <w:spacing w:after="0"/>
        <w:tabs>
          <w:tab w:leader="none" w:pos="1000" w:val="left"/>
        </w:tabs>
        <w:numPr>
          <w:ilvl w:val="0"/>
          <w:numId w:val="1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Electromagnetic radiation; or</w:t>
      </w:r>
    </w:p>
    <w:p>
      <w:pPr>
        <w:spacing w:after="0" w:line="252" w:lineRule="exact"/>
        <w:rPr>
          <w:rFonts w:ascii="Times New Roman" w:cs="Times New Roman" w:eastAsia="Times New Roman" w:hAnsi="Times New Roman"/>
          <w:sz w:val="22"/>
          <w:szCs w:val="22"/>
          <w:i w:val="1"/>
          <w:iCs w:val="1"/>
          <w:color w:val="auto"/>
        </w:rPr>
      </w:pPr>
    </w:p>
    <w:p>
      <w:pPr>
        <w:ind w:left="1280" w:hanging="560"/>
        <w:spacing w:after="0"/>
        <w:tabs>
          <w:tab w:leader="none" w:pos="1280" w:val="left"/>
        </w:tabs>
        <w:numPr>
          <w:ilvl w:val="0"/>
          <w:numId w:val="1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Underwateracousticwave</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propagation.</w:t>
      </w:r>
    </w:p>
    <w:p>
      <w:pPr>
        <w:spacing w:after="0" w:line="252" w:lineRule="exact"/>
        <w:rPr>
          <w:sz w:val="20"/>
          <w:szCs w:val="20"/>
          <w:color w:val="auto"/>
        </w:rPr>
      </w:pPr>
    </w:p>
    <w:p>
      <w:pPr>
        <w:jc w:val="both"/>
        <w:ind w:firstLine="360"/>
        <w:spacing w:after="0" w:line="246" w:lineRule="auto"/>
        <w:rPr>
          <w:sz w:val="20"/>
          <w:szCs w:val="20"/>
          <w:color w:val="auto"/>
        </w:rPr>
      </w:pPr>
      <w:r>
        <w:rPr>
          <w:rFonts w:ascii="Times New Roman" w:cs="Times New Roman" w:eastAsia="Times New Roman" w:hAnsi="Times New Roman"/>
          <w:sz w:val="22"/>
          <w:szCs w:val="22"/>
          <w:color w:val="auto"/>
        </w:rPr>
        <w:t>b.1. Employing digital techniques, including digital processing of analog signals, and designed to operate at a “digital transfer rate” at the highest multiplex level exceeding 45 Mbit/s or a “total digital transfer rate” exceeding 90 Mbit/s;</w:t>
      </w:r>
    </w:p>
    <w:p>
      <w:pPr>
        <w:spacing w:after="0" w:line="209"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5A991.b.1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to be integrated and operated in any satellite system for civil use.</w:t>
      </w:r>
    </w:p>
    <w:p>
      <w:pPr>
        <w:spacing w:after="0" w:line="20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b.2. Modems using the ‘bandwidth of one voice channel’ with a “data signaling rate” exceeding 9,600 bits per second;</w:t>
      </w:r>
    </w:p>
    <w:p>
      <w:pPr>
        <w:spacing w:after="0" w:line="20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b.3. Being “stored program controlled” digital cross connect equipment with “digital transfer rate” exceeding 8.5 Mbit/s per port.</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b.4. Being equipment containing any of the following:</w:t>
      </w:r>
    </w:p>
    <w:p>
      <w:pPr>
        <w:spacing w:after="0" w:line="188"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b.4.a. ‘Network access controllers’ and their related common medium having a “digital transfer rate” exceeding 33 Mbit/s; </w:t>
      </w:r>
      <w:r>
        <w:rPr>
          <w:rFonts w:ascii="Times New Roman" w:cs="Times New Roman" w:eastAsia="Times New Roman" w:hAnsi="Times New Roman"/>
          <w:sz w:val="22"/>
          <w:szCs w:val="22"/>
          <w:i w:val="1"/>
          <w:iCs w:val="1"/>
          <w:color w:val="auto"/>
        </w:rPr>
        <w:t>or</w:t>
      </w:r>
    </w:p>
    <w:p>
      <w:pPr>
        <w:spacing w:after="0" w:line="205"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b.4.b. “Communication channel controllers” with a digital output having a “data signaling rate” exceeding 64,000 bit/s per channel;</w:t>
      </w:r>
    </w:p>
    <w:p>
      <w:pPr>
        <w:spacing w:after="0" w:line="206"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If any uncontrolled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contains a “network access controller”, it cannot have anytype of telecommunications</w:t>
      </w:r>
    </w:p>
    <w:p>
      <w:pPr>
        <w:spacing w:after="0" w:line="485"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57"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8" w:name="page9"/>
    <w:bookmarkEnd w:id="8"/>
    <w:p>
      <w:pPr>
        <w:spacing w:after="0"/>
        <w:tabs>
          <w:tab w:leader="none" w:pos="3540" w:val="left"/>
          <w:tab w:leader="none" w:pos="608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9</w:t>
      </w:r>
    </w:p>
    <w:p>
      <w:pPr>
        <w:sectPr>
          <w:pgSz w:w="12240" w:h="15840" w:orient="portrait"/>
          <w:cols w:equalWidth="0" w:num="1">
            <w:col w:w="9360"/>
          </w:cols>
          <w:pgMar w:left="1440" w:top="1422" w:right="1440" w:bottom="892" w:gutter="0" w:footer="0" w:header="0"/>
        </w:sectPr>
      </w:pPr>
    </w:p>
    <w:p>
      <w:pPr>
        <w:spacing w:after="0" w:line="212" w:lineRule="exact"/>
        <w:rPr>
          <w:sz w:val="20"/>
          <w:szCs w:val="20"/>
          <w:color w:val="auto"/>
        </w:rPr>
      </w:pPr>
    </w:p>
    <w:p>
      <w:pPr>
        <w:spacing w:after="0" w:line="274" w:lineRule="auto"/>
        <w:rPr>
          <w:sz w:val="20"/>
          <w:szCs w:val="20"/>
          <w:color w:val="auto"/>
        </w:rPr>
      </w:pPr>
      <w:r>
        <w:rPr>
          <w:rFonts w:ascii="Times New Roman" w:cs="Times New Roman" w:eastAsia="Times New Roman" w:hAnsi="Times New Roman"/>
          <w:sz w:val="22"/>
          <w:szCs w:val="22"/>
          <w:i w:val="1"/>
          <w:iCs w:val="1"/>
          <w:color w:val="auto"/>
        </w:rPr>
        <w:t>interface, except those described in, but not controlled by 5A991.b.4.</w:t>
      </w:r>
    </w:p>
    <w:p>
      <w:pPr>
        <w:spacing w:after="0" w:line="184" w:lineRule="exact"/>
        <w:rPr>
          <w:sz w:val="20"/>
          <w:szCs w:val="20"/>
          <w:color w:val="auto"/>
        </w:rPr>
      </w:pPr>
    </w:p>
    <w:p>
      <w:pPr>
        <w:ind w:firstLine="360"/>
        <w:spacing w:after="0" w:line="271" w:lineRule="auto"/>
        <w:rPr>
          <w:sz w:val="20"/>
          <w:szCs w:val="20"/>
          <w:color w:val="auto"/>
        </w:rPr>
      </w:pPr>
      <w:r>
        <w:rPr>
          <w:rFonts w:ascii="Times New Roman" w:cs="Times New Roman" w:eastAsia="Times New Roman" w:hAnsi="Times New Roman"/>
          <w:sz w:val="22"/>
          <w:szCs w:val="22"/>
          <w:color w:val="auto"/>
        </w:rPr>
        <w:t>b.5. Employing a “laser” and having any of the following characteristics:</w:t>
      </w:r>
    </w:p>
    <w:p>
      <w:pPr>
        <w:spacing w:after="0" w:line="188"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b.5.a. A transmission wavelength exceeding 1,000 nm; </w:t>
      </w:r>
      <w:r>
        <w:rPr>
          <w:rFonts w:ascii="Times New Roman" w:cs="Times New Roman" w:eastAsia="Times New Roman" w:hAnsi="Times New Roman"/>
          <w:sz w:val="22"/>
          <w:szCs w:val="22"/>
          <w:i w:val="1"/>
          <w:iCs w:val="1"/>
          <w:color w:val="auto"/>
        </w:rPr>
        <w:t>or</w:t>
      </w:r>
    </w:p>
    <w:p>
      <w:pPr>
        <w:spacing w:after="0" w:line="187" w:lineRule="exact"/>
        <w:rPr>
          <w:sz w:val="20"/>
          <w:szCs w:val="20"/>
          <w:color w:val="auto"/>
        </w:rPr>
      </w:pPr>
    </w:p>
    <w:p>
      <w:pPr>
        <w:ind w:firstLine="720"/>
        <w:spacing w:after="0" w:line="271" w:lineRule="auto"/>
        <w:rPr>
          <w:sz w:val="20"/>
          <w:szCs w:val="20"/>
          <w:color w:val="auto"/>
        </w:rPr>
      </w:pPr>
      <w:r>
        <w:rPr>
          <w:rFonts w:ascii="Times New Roman" w:cs="Times New Roman" w:eastAsia="Times New Roman" w:hAnsi="Times New Roman"/>
          <w:sz w:val="22"/>
          <w:szCs w:val="22"/>
          <w:color w:val="auto"/>
        </w:rPr>
        <w:t>b.5.b. Employing analog techniques and having a bandwidth exceeding 45 MHz;</w:t>
      </w:r>
    </w:p>
    <w:p>
      <w:pPr>
        <w:spacing w:after="0" w:line="183" w:lineRule="exact"/>
        <w:rPr>
          <w:sz w:val="20"/>
          <w:szCs w:val="20"/>
          <w:color w:val="auto"/>
        </w:rPr>
      </w:pPr>
    </w:p>
    <w:p>
      <w:pPr>
        <w:ind w:firstLine="360"/>
        <w:spacing w:after="0" w:line="275"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5A991.b.5.b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commercial TV systems.</w:t>
      </w:r>
    </w:p>
    <w:p>
      <w:pPr>
        <w:spacing w:after="0" w:line="20" w:lineRule="exact"/>
        <w:rPr>
          <w:sz w:val="20"/>
          <w:szCs w:val="20"/>
          <w:color w:val="auto"/>
        </w:rPr>
      </w:pPr>
      <w:r>
        <w:rPr>
          <w:sz w:val="20"/>
          <w:szCs w:val="20"/>
          <w:color w:val="auto"/>
        </w:rPr>
        <w:br w:type="column"/>
      </w:r>
    </w:p>
    <w:p>
      <w:pPr>
        <w:spacing w:after="0" w:line="194"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b.7.b. QAM techniques above level 16 if the “total digital transfer rate” is equal to or less than 8.5 Mbit/s;</w:t>
      </w:r>
    </w:p>
    <w:p>
      <w:pPr>
        <w:spacing w:after="0" w:line="20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b.7.c. Other digital modulation techniques and having a “spectral efficiency” exceeding 3 bit/s/Hz; or</w:t>
      </w:r>
    </w:p>
    <w:p>
      <w:pPr>
        <w:spacing w:after="0" w:line="205"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b.7.d. Operating in the 1.5 MHz to 87.5 MHz band and incorporating adaptive techniques providing more than 15 dB suppression of an interfering signal.</w:t>
      </w:r>
    </w:p>
    <w:p>
      <w:pPr>
        <w:spacing w:after="0" w:line="20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Notes:</w:t>
      </w:r>
    </w:p>
    <w:p>
      <w:pPr>
        <w:spacing w:after="0" w:line="255"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b.5.c. Employing coherent optical transmission or coherent optical detection techniques (also called optical heterodyne or homodyne techniques);</w:t>
      </w:r>
    </w:p>
    <w:p>
      <w:pPr>
        <w:spacing w:after="0" w:line="211"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b.5.d. Employing wavelength division multiplexing techniques;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720"/>
        <w:spacing w:after="0" w:line="270" w:lineRule="auto"/>
        <w:rPr>
          <w:sz w:val="20"/>
          <w:szCs w:val="20"/>
          <w:color w:val="auto"/>
        </w:rPr>
      </w:pPr>
      <w:r>
        <w:rPr>
          <w:rFonts w:ascii="Times New Roman" w:cs="Times New Roman" w:eastAsia="Times New Roman" w:hAnsi="Times New Roman"/>
          <w:sz w:val="22"/>
          <w:szCs w:val="22"/>
          <w:color w:val="auto"/>
        </w:rPr>
        <w:t>b.5.e. Performing “optical amplification”;</w:t>
      </w:r>
    </w:p>
    <w:p>
      <w:pPr>
        <w:spacing w:after="0" w:line="189"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b.6. Radio equipment operating at input or output frequencies exceeding:</w:t>
      </w:r>
    </w:p>
    <w:p>
      <w:pPr>
        <w:spacing w:after="0" w:line="187"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b.6.a. 31 GHz for satellite-earth station applications;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b.6.b. 26.5 GHz for other applications;</w:t>
      </w:r>
    </w:p>
    <w:p>
      <w:pPr>
        <w:spacing w:after="0" w:line="249"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5A991.b.6.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for civil use when conforming with an International Telecommunications Union (ITU) allocated band between 26.5 GHz and 31 GHz.</w:t>
      </w:r>
    </w:p>
    <w:p>
      <w:pPr>
        <w:spacing w:after="0" w:line="207"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b.7. Being radio equipment employing any of the following:</w:t>
      </w:r>
    </w:p>
    <w:p>
      <w:pPr>
        <w:spacing w:after="0" w:line="189"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2"/>
          <w:szCs w:val="22"/>
          <w:color w:val="auto"/>
        </w:rPr>
        <w:t>b.7.a. Quadrature-amplitude-modulation (QAM) techniques above level 4 if the “total digital transfer rate” exceeds 8.5 Mbit/s;</w:t>
      </w:r>
    </w:p>
    <w:p>
      <w:pPr>
        <w:spacing w:after="0" w:line="20" w:lineRule="exact"/>
        <w:rPr>
          <w:sz w:val="20"/>
          <w:szCs w:val="20"/>
          <w:color w:val="auto"/>
        </w:rPr>
      </w:pPr>
      <w:r>
        <w:rPr>
          <w:sz w:val="20"/>
          <w:szCs w:val="20"/>
          <w:color w:val="auto"/>
        </w:rPr>
        <w:br w:type="column"/>
      </w:r>
    </w:p>
    <w:p>
      <w:pPr>
        <w:jc w:val="both"/>
        <w:ind w:firstLine="360"/>
        <w:spacing w:after="0" w:line="257" w:lineRule="auto"/>
        <w:tabs>
          <w:tab w:leader="none" w:pos="656" w:val="left"/>
        </w:tabs>
        <w:numPr>
          <w:ilvl w:val="0"/>
          <w:numId w:val="1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5A991.b.7 does not control equipment “specially designed” to be integrated and operated in any satellite system for civil use.</w:t>
      </w:r>
    </w:p>
    <w:p>
      <w:pPr>
        <w:spacing w:after="0" w:line="198" w:lineRule="exact"/>
        <w:rPr>
          <w:rFonts w:ascii="Times New Roman" w:cs="Times New Roman" w:eastAsia="Times New Roman" w:hAnsi="Times New Roman"/>
          <w:sz w:val="22"/>
          <w:szCs w:val="22"/>
          <w:b w:val="1"/>
          <w:bCs w:val="1"/>
          <w:i w:val="1"/>
          <w:iCs w:val="1"/>
          <w:color w:val="auto"/>
        </w:rPr>
      </w:pPr>
    </w:p>
    <w:p>
      <w:pPr>
        <w:jc w:val="both"/>
        <w:ind w:firstLine="360"/>
        <w:spacing w:after="0" w:line="257" w:lineRule="auto"/>
        <w:tabs>
          <w:tab w:leader="none" w:pos="709" w:val="left"/>
        </w:tabs>
        <w:numPr>
          <w:ilvl w:val="0"/>
          <w:numId w:val="18"/>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5A991.b.7 does not control radio relay equipment for operation in an ITU allocated band:</w:t>
      </w:r>
    </w:p>
    <w:p>
      <w:pPr>
        <w:spacing w:after="0" w:line="200"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a. Having any of the following:</w:t>
      </w:r>
    </w:p>
    <w:p>
      <w:pPr>
        <w:spacing w:after="0" w:line="252"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i w:val="1"/>
          <w:iCs w:val="1"/>
          <w:color w:val="auto"/>
        </w:rPr>
        <w:t>a.1. Not exceeding 960 MHz; or</w:t>
      </w:r>
    </w:p>
    <w:p>
      <w:pPr>
        <w:spacing w:after="0" w:line="253" w:lineRule="exact"/>
        <w:rPr>
          <w:sz w:val="20"/>
          <w:szCs w:val="20"/>
          <w:color w:val="auto"/>
        </w:rPr>
      </w:pPr>
    </w:p>
    <w:p>
      <w:pPr>
        <w:ind w:firstLine="1080"/>
        <w:spacing w:after="0" w:line="274" w:lineRule="auto"/>
        <w:rPr>
          <w:sz w:val="20"/>
          <w:szCs w:val="20"/>
          <w:color w:val="auto"/>
        </w:rPr>
      </w:pPr>
      <w:r>
        <w:rPr>
          <w:rFonts w:ascii="Times New Roman" w:cs="Times New Roman" w:eastAsia="Times New Roman" w:hAnsi="Times New Roman"/>
          <w:sz w:val="22"/>
          <w:szCs w:val="22"/>
          <w:i w:val="1"/>
          <w:iCs w:val="1"/>
          <w:color w:val="auto"/>
        </w:rPr>
        <w:t>a.2. With a “total digital transfer rate” not exceeding 8.5 Mbit/s; and</w:t>
      </w:r>
    </w:p>
    <w:p>
      <w:pPr>
        <w:spacing w:after="0" w:line="181" w:lineRule="exact"/>
        <w:rPr>
          <w:sz w:val="20"/>
          <w:szCs w:val="20"/>
          <w:color w:val="auto"/>
        </w:rPr>
      </w:pPr>
    </w:p>
    <w:p>
      <w:pPr>
        <w:ind w:firstLine="720"/>
        <w:spacing w:after="0" w:line="274" w:lineRule="auto"/>
        <w:rPr>
          <w:sz w:val="20"/>
          <w:szCs w:val="20"/>
          <w:color w:val="auto"/>
        </w:rPr>
      </w:pPr>
      <w:r>
        <w:rPr>
          <w:rFonts w:ascii="Times New Roman" w:cs="Times New Roman" w:eastAsia="Times New Roman" w:hAnsi="Times New Roman"/>
          <w:sz w:val="22"/>
          <w:szCs w:val="22"/>
          <w:i w:val="1"/>
          <w:iCs w:val="1"/>
          <w:color w:val="auto"/>
        </w:rPr>
        <w:t>b. Having a “spectral efficiency” not exceeding 4 bit/s/Hz.</w:t>
      </w:r>
    </w:p>
    <w:p>
      <w:pPr>
        <w:spacing w:after="0" w:line="185" w:lineRule="exact"/>
        <w:rPr>
          <w:sz w:val="20"/>
          <w:szCs w:val="20"/>
          <w:color w:val="auto"/>
        </w:rPr>
      </w:pPr>
    </w:p>
    <w:p>
      <w:pPr>
        <w:jc w:val="both"/>
        <w:spacing w:after="0" w:line="247" w:lineRule="auto"/>
        <w:tabs>
          <w:tab w:leader="none" w:pos="515"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“Stored program controlled” switching equipment and related signaling systems, having any of the following characteristics, functions or features, and “specially designed” “parts,” “components” and “accessories” therefor:</w:t>
      </w:r>
    </w:p>
    <w:p>
      <w:pPr>
        <w:spacing w:after="0" w:line="211"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Statistical multiplexers with digital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input and digital output which provide switching are treated as “stored program controlled” switches.</w:t>
      </w:r>
    </w:p>
    <w:p>
      <w:pPr>
        <w:spacing w:after="0" w:line="20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c.1. “Data (message) switching” equipment or systems designed for “packet-mode</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30"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9" w:name="page10"/>
    <w:bookmarkEnd w:id="9"/>
    <w:p>
      <w:pPr>
        <w:spacing w:after="0"/>
        <w:tabs>
          <w:tab w:leader="none" w:pos="3540" w:val="left"/>
          <w:tab w:leader="none" w:pos="600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10</w:t>
      </w:r>
    </w:p>
    <w:p>
      <w:pPr>
        <w:sectPr>
          <w:pgSz w:w="12240" w:h="15840" w:orient="portrait"/>
          <w:cols w:equalWidth="0" w:num="1">
            <w:col w:w="9360"/>
          </w:cols>
          <w:pgMar w:left="1440" w:top="1422" w:right="1440" w:bottom="892" w:gutter="0" w:footer="0" w:header="0"/>
        </w:sectPr>
      </w:pPr>
    </w:p>
    <w:p>
      <w:pPr>
        <w:spacing w:after="0" w:line="215"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operation” and “parts,” electronic assemblies and “components” therefor, n.e.s.</w:t>
      </w:r>
    </w:p>
    <w:p>
      <w:pPr>
        <w:spacing w:after="0" w:line="187"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color w:val="auto"/>
        </w:rPr>
        <w:t>c.2. [Reserved];</w:t>
      </w:r>
    </w:p>
    <w:p>
      <w:pPr>
        <w:spacing w:after="0" w:line="253"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c.3. Routing or switching of ‘datagram’ packets;</w:t>
      </w:r>
    </w:p>
    <w:p>
      <w:pPr>
        <w:spacing w:after="0" w:line="18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c.4. [Reserved]</w:t>
      </w:r>
    </w:p>
    <w:p>
      <w:pPr>
        <w:spacing w:after="0" w:line="249"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The restrictions in 5A991.c.3 do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apply to networks restricted to using only ‘network access controllers’ or to ‘network access controllers’ themselves.</w:t>
      </w:r>
    </w:p>
    <w:p>
      <w:pPr>
        <w:spacing w:after="0" w:line="20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c.5. Multi-level priority and pre-emption for circuit switching;</w:t>
      </w:r>
    </w:p>
    <w:p>
      <w:pPr>
        <w:spacing w:after="0" w:line="182"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5A991.c.5 does not control single-level call preemption.</w:t>
      </w:r>
    </w:p>
    <w:p>
      <w:pPr>
        <w:spacing w:after="0" w:line="183"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c.6. Designed for automatic hand-off of cellular radio calls to other cellular switches or automatic connection to a centralized subscriber data base common to more than one switch;</w:t>
      </w:r>
    </w:p>
    <w:p>
      <w:pPr>
        <w:spacing w:after="0" w:line="211"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c.7. Containing “stored program controlled” digital cross connect equipment with “digital transfer rate” exceeding 8.5 Mbit/s per port.</w:t>
      </w:r>
    </w:p>
    <w:p>
      <w:pPr>
        <w:spacing w:after="0" w:line="205"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c.8. “Common channel signaling” operating in either non-associated or quasi-associated mode of operation;</w:t>
      </w:r>
    </w:p>
    <w:p>
      <w:pPr>
        <w:spacing w:after="0" w:line="20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c.9. ‘Dynamic adaptive routing’;</w:t>
      </w:r>
    </w:p>
    <w:p>
      <w:pPr>
        <w:spacing w:after="0" w:line="252"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c.10. Being packet switches, circuit switches and routers with ports or lines exceeding any of the following:</w:t>
      </w:r>
    </w:p>
    <w:p>
      <w:pPr>
        <w:spacing w:after="0" w:line="205"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 xml:space="preserve">c.10.a. A “data signaling rate” of 64,000 bit/s per channel for a ‘communications channel controller’; </w:t>
      </w:r>
      <w:r>
        <w:rPr>
          <w:rFonts w:ascii="Times New Roman" w:cs="Times New Roman" w:eastAsia="Times New Roman" w:hAnsi="Times New Roman"/>
          <w:sz w:val="22"/>
          <w:szCs w:val="22"/>
          <w:i w:val="1"/>
          <w:iCs w:val="1"/>
          <w:color w:val="auto"/>
        </w:rPr>
        <w:t>or</w:t>
      </w:r>
    </w:p>
    <w:p>
      <w:pPr>
        <w:spacing w:after="0" w:line="202" w:lineRule="exact"/>
        <w:rPr>
          <w:sz w:val="20"/>
          <w:szCs w:val="20"/>
          <w:color w:val="auto"/>
        </w:rPr>
      </w:pPr>
    </w:p>
    <w:p>
      <w:pPr>
        <w:jc w:val="both"/>
        <w:ind w:firstLine="72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5A991.c.10.a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multiplex composite links composed only of</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i w:val="1"/>
          <w:iCs w:val="1"/>
          <w:color w:val="auto"/>
        </w:rPr>
        <w:t>communication channels not individually controlled by 5A991.b.1.</w:t>
      </w:r>
    </w:p>
    <w:p>
      <w:pPr>
        <w:spacing w:after="0" w:line="184" w:lineRule="exact"/>
        <w:rPr>
          <w:sz w:val="20"/>
          <w:szCs w:val="20"/>
          <w:color w:val="auto"/>
        </w:rPr>
      </w:pPr>
    </w:p>
    <w:p>
      <w:pPr>
        <w:jc w:val="both"/>
        <w:ind w:firstLine="720"/>
        <w:spacing w:after="0" w:line="255" w:lineRule="auto"/>
        <w:rPr>
          <w:sz w:val="20"/>
          <w:szCs w:val="20"/>
          <w:color w:val="auto"/>
        </w:rPr>
      </w:pPr>
      <w:r>
        <w:rPr>
          <w:rFonts w:ascii="Times New Roman" w:cs="Times New Roman" w:eastAsia="Times New Roman" w:hAnsi="Times New Roman"/>
          <w:sz w:val="22"/>
          <w:szCs w:val="22"/>
          <w:color w:val="auto"/>
        </w:rPr>
        <w:t>c.10.b. A “digital transfer rate” of 33 Mbit/s for a ‘network access controller’ and related common media;</w:t>
      </w:r>
    </w:p>
    <w:p>
      <w:pPr>
        <w:spacing w:after="0" w:line="202"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5A991.c.10 does not control packet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switches or routers with ports or lines not exceeding the limits in 5A991.c.10.</w:t>
      </w:r>
    </w:p>
    <w:p>
      <w:pPr>
        <w:spacing w:after="0" w:line="20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c.11. “Optical switching”;</w:t>
      </w:r>
    </w:p>
    <w:p>
      <w:pPr>
        <w:spacing w:after="0" w:line="252"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c.12. Employing ‘Asynchronous Transfer Mode’ (‘ATM’) techniques.</w:t>
      </w:r>
    </w:p>
    <w:p>
      <w:pPr>
        <w:spacing w:after="0" w:line="188" w:lineRule="exact"/>
        <w:rPr>
          <w:sz w:val="20"/>
          <w:szCs w:val="20"/>
          <w:color w:val="auto"/>
        </w:rPr>
      </w:pPr>
    </w:p>
    <w:p>
      <w:pPr>
        <w:jc w:val="both"/>
        <w:spacing w:after="0" w:line="255" w:lineRule="auto"/>
        <w:tabs>
          <w:tab w:leader="none" w:pos="400"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Optical fibers and optical fiber cables of more than 50 m in length designed for single mode operation;</w:t>
      </w:r>
    </w:p>
    <w:p>
      <w:pPr>
        <w:spacing w:after="0" w:line="205" w:lineRule="exact"/>
        <w:rPr>
          <w:rFonts w:ascii="Times New Roman" w:cs="Times New Roman" w:eastAsia="Times New Roman" w:hAnsi="Times New Roman"/>
          <w:sz w:val="22"/>
          <w:szCs w:val="22"/>
          <w:color w:val="auto"/>
        </w:rPr>
      </w:pPr>
    </w:p>
    <w:p>
      <w:pPr>
        <w:spacing w:after="0" w:line="271" w:lineRule="auto"/>
        <w:tabs>
          <w:tab w:leader="none" w:pos="287"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Centralized network control having all of the following characteristics:</w:t>
      </w:r>
    </w:p>
    <w:p>
      <w:pPr>
        <w:spacing w:after="0" w:line="18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e.1. Receives data from the nodes; </w:t>
      </w:r>
      <w:r>
        <w:rPr>
          <w:rFonts w:ascii="Times New Roman" w:cs="Times New Roman" w:eastAsia="Times New Roman" w:hAnsi="Times New Roman"/>
          <w:sz w:val="22"/>
          <w:szCs w:val="22"/>
          <w:i w:val="1"/>
          <w:iCs w:val="1"/>
          <w:color w:val="auto"/>
        </w:rPr>
        <w:t>and</w:t>
      </w:r>
    </w:p>
    <w:p>
      <w:pPr>
        <w:spacing w:after="0" w:line="256"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e.2. Process these data in order to provide control of traffic not requiring operator decisions, and thereby performing ‘dynamic adaptive routing’;</w:t>
      </w:r>
    </w:p>
    <w:p>
      <w:pPr>
        <w:spacing w:after="0" w:line="206"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5A991.e does not preclude control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traffic as a function of predictable statistical traffic conditions.</w:t>
      </w:r>
    </w:p>
    <w:p>
      <w:pPr>
        <w:spacing w:after="0" w:line="202" w:lineRule="exact"/>
        <w:rPr>
          <w:sz w:val="20"/>
          <w:szCs w:val="20"/>
          <w:color w:val="auto"/>
        </w:rPr>
      </w:pPr>
    </w:p>
    <w:p>
      <w:pPr>
        <w:jc w:val="both"/>
        <w:spacing w:after="0" w:line="244" w:lineRule="auto"/>
        <w:tabs>
          <w:tab w:leader="none" w:pos="286" w:val="left"/>
        </w:tabs>
        <w:numPr>
          <w:ilvl w:val="0"/>
          <w:numId w:val="2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Phased array antennas, operating above 10.5 GHz, containing active elements and distributed “parts” or “components,” and designed to permit electronic control of beam shaping and pointing, except for landing systems with instruments meeting International Civil Aviation Organization (ICAO) standards (microwave landing systems (MLS)).</w:t>
      </w:r>
    </w:p>
    <w:p>
      <w:pPr>
        <w:spacing w:after="0" w:line="218" w:lineRule="exact"/>
        <w:rPr>
          <w:rFonts w:ascii="Times New Roman" w:cs="Times New Roman" w:eastAsia="Times New Roman" w:hAnsi="Times New Roman"/>
          <w:sz w:val="22"/>
          <w:szCs w:val="22"/>
          <w:color w:val="auto"/>
        </w:rPr>
      </w:pPr>
    </w:p>
    <w:p>
      <w:pPr>
        <w:jc w:val="both"/>
        <w:spacing w:after="0" w:line="255" w:lineRule="auto"/>
        <w:tabs>
          <w:tab w:leader="none" w:pos="393" w:val="left"/>
        </w:tabs>
        <w:numPr>
          <w:ilvl w:val="0"/>
          <w:numId w:val="2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Mobile communications equipment, n.e.s., and “parts,” electronic assemblies and “components” therefor; </w:t>
      </w:r>
      <w:r>
        <w:rPr>
          <w:rFonts w:ascii="Times New Roman" w:cs="Times New Roman" w:eastAsia="Times New Roman" w:hAnsi="Times New Roman"/>
          <w:sz w:val="22"/>
          <w:szCs w:val="22"/>
          <w:i w:val="1"/>
          <w:iCs w:val="1"/>
          <w:color w:val="auto"/>
        </w:rPr>
        <w:t>or</w:t>
      </w:r>
    </w:p>
    <w:p>
      <w:pPr>
        <w:spacing w:after="0" w:line="223"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24"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360"/>
          </w:cols>
          <w:pgMar w:left="1440" w:top="1422" w:right="1440" w:bottom="892" w:gutter="0" w:footer="0" w:header="0"/>
          <w:type w:val="continuous"/>
        </w:sectPr>
      </w:pPr>
    </w:p>
    <w:bookmarkStart w:id="10" w:name="page11"/>
    <w:bookmarkEnd w:id="10"/>
    <w:p>
      <w:pPr>
        <w:ind w:left="120"/>
        <w:spacing w:after="0"/>
        <w:tabs>
          <w:tab w:leader="none" w:pos="3660" w:val="left"/>
          <w:tab w:leader="none" w:pos="61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11</w:t>
      </w:r>
    </w:p>
    <w:p>
      <w:pPr>
        <w:sectPr>
          <w:pgSz w:w="12240" w:h="15840" w:orient="portrait"/>
          <w:cols w:equalWidth="0" w:num="1">
            <w:col w:w="9480"/>
          </w:cols>
          <w:pgMar w:left="1320" w:top="1422" w:right="1440" w:bottom="892" w:gutter="0" w:footer="0" w:header="0"/>
        </w:sectPr>
      </w:pPr>
    </w:p>
    <w:p>
      <w:pPr>
        <w:spacing w:after="0" w:line="215" w:lineRule="exact"/>
        <w:rPr>
          <w:sz w:val="20"/>
          <w:szCs w:val="20"/>
          <w:color w:val="auto"/>
        </w:rPr>
      </w:pPr>
    </w:p>
    <w:p>
      <w:pPr>
        <w:jc w:val="both"/>
        <w:ind w:left="120" w:right="120"/>
        <w:spacing w:after="0" w:line="250" w:lineRule="auto"/>
        <w:rPr>
          <w:sz w:val="20"/>
          <w:szCs w:val="20"/>
          <w:color w:val="auto"/>
        </w:rPr>
      </w:pPr>
      <w:r>
        <w:rPr>
          <w:rFonts w:ascii="Times New Roman" w:cs="Times New Roman" w:eastAsia="Times New Roman" w:hAnsi="Times New Roman"/>
          <w:sz w:val="22"/>
          <w:szCs w:val="22"/>
          <w:color w:val="auto"/>
        </w:rPr>
        <w:t>h. Radio relay communications equipment designed for use at frequencies equal to or exceeding 19.7 GHz and “parts” and “components” therefor, n.e.s.</w:t>
      </w:r>
    </w:p>
    <w:p>
      <w:pPr>
        <w:spacing w:after="0" w:line="200" w:lineRule="exact"/>
        <w:rPr>
          <w:sz w:val="20"/>
          <w:szCs w:val="20"/>
          <w:color w:val="auto"/>
        </w:rPr>
      </w:pPr>
    </w:p>
    <w:p>
      <w:pPr>
        <w:spacing w:after="0" w:line="261"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22"/>
          <w:szCs w:val="22"/>
          <w:b w:val="1"/>
          <w:bCs w:val="1"/>
          <w:color w:val="auto"/>
        </w:rPr>
        <w:t>B. TEST, INSPECTION AND</w:t>
      </w:r>
    </w:p>
    <w:p>
      <w:pPr>
        <w:spacing w:after="0" w:line="4"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22"/>
          <w:szCs w:val="22"/>
          <w:b w:val="1"/>
          <w:bCs w:val="1"/>
          <w:color w:val="auto"/>
        </w:rPr>
        <w:t>“PRODUCTION EQUIPMENT”</w:t>
      </w:r>
    </w:p>
    <w:p>
      <w:pPr>
        <w:spacing w:after="0" w:line="200" w:lineRule="exact"/>
        <w:rPr>
          <w:sz w:val="20"/>
          <w:szCs w:val="20"/>
          <w:color w:val="auto"/>
        </w:rPr>
      </w:pPr>
    </w:p>
    <w:p>
      <w:pPr>
        <w:spacing w:after="0" w:line="301" w:lineRule="exact"/>
        <w:rPr>
          <w:sz w:val="20"/>
          <w:szCs w:val="20"/>
          <w:color w:val="auto"/>
        </w:rPr>
      </w:pPr>
    </w:p>
    <w:p>
      <w:pPr>
        <w:jc w:val="both"/>
        <w:ind w:left="120" w:right="120"/>
        <w:spacing w:after="0" w:line="251" w:lineRule="auto"/>
        <w:rPr>
          <w:sz w:val="20"/>
          <w:szCs w:val="20"/>
          <w:color w:val="auto"/>
        </w:rPr>
      </w:pPr>
      <w:r>
        <w:rPr>
          <w:rFonts w:ascii="Times New Roman" w:cs="Times New Roman" w:eastAsia="Times New Roman" w:hAnsi="Times New Roman"/>
          <w:sz w:val="22"/>
          <w:szCs w:val="22"/>
          <w:b w:val="1"/>
          <w:bCs w:val="1"/>
          <w:color w:val="auto"/>
        </w:rPr>
        <w:t>5B001 Telecommunication test, inspection and production equipment, “components” and “accessories,” as follows (See List of Items Controlled).</w:t>
      </w:r>
    </w:p>
    <w:p>
      <w:pPr>
        <w:spacing w:after="0" w:line="206"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480"/>
        <w:spacing w:after="0"/>
        <w:tabs>
          <w:tab w:leader="none" w:pos="23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jc w:val="center"/>
              <w:spacing w:after="0" w:line="248"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60" w:type="dxa"/>
            <w:vAlign w:val="bottom"/>
            <w:tcBorders>
              <w:left w:val="single" w:sz="8" w:color="auto"/>
              <w:right w:val="single" w:sz="8" w:color="auto"/>
            </w:tcBorders>
          </w:tcPr>
          <w:p>
            <w:pPr>
              <w:ind w:left="8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560" w:type="dxa"/>
            <w:vAlign w:val="bottom"/>
            <w:tcBorders>
              <w:left w:val="single" w:sz="8" w:color="auto"/>
              <w:bottom w:val="single" w:sz="8" w:color="auto"/>
              <w:right w:val="single" w:sz="8" w:color="auto"/>
            </w:tcBorders>
          </w:tcPr>
          <w:p>
            <w:pPr>
              <w:ind w:left="12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1" w:lineRule="exact"/>
        <w:rPr>
          <w:sz w:val="20"/>
          <w:szCs w:val="20"/>
          <w:color w:val="auto"/>
        </w:rPr>
      </w:pPr>
    </w:p>
    <w:p>
      <w:pPr>
        <w:jc w:val="both"/>
        <w:ind w:left="480" w:right="120"/>
        <w:spacing w:after="0" w:line="250"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08" w:lineRule="exact"/>
        <w:rPr>
          <w:sz w:val="20"/>
          <w:szCs w:val="20"/>
          <w:color w:val="auto"/>
        </w:rPr>
      </w:pPr>
    </w:p>
    <w:p>
      <w:pPr>
        <w:ind w:left="120" w:right="12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7" w:lineRule="exact"/>
        <w:rPr>
          <w:sz w:val="20"/>
          <w:szCs w:val="20"/>
          <w:color w:val="auto"/>
        </w:rPr>
      </w:pP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LVS:</w:t>
        <w:tab/>
        <w:t>$5000</w:t>
      </w: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GBS:</w:t>
        <w:tab/>
        <w:t>Yes</w:t>
      </w:r>
    </w:p>
    <w:p>
      <w:pPr>
        <w:ind w:left="480"/>
        <w:spacing w:after="0"/>
        <w:tabs>
          <w:tab w:leader="none" w:pos="1180" w:val="left"/>
        </w:tabs>
        <w:rPr>
          <w:sz w:val="20"/>
          <w:szCs w:val="20"/>
          <w:color w:val="auto"/>
        </w:rPr>
      </w:pPr>
      <w:r>
        <w:rPr>
          <w:rFonts w:ascii="Times New Roman" w:cs="Times New Roman" w:eastAsia="Times New Roman" w:hAnsi="Times New Roman"/>
          <w:sz w:val="22"/>
          <w:szCs w:val="22"/>
          <w:color w:val="auto"/>
        </w:rPr>
        <w:t>CIV:</w:t>
        <w:tab/>
        <w:t>Yes</w:t>
      </w:r>
    </w:p>
    <w:p>
      <w:pPr>
        <w:spacing w:after="0" w:line="249"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Special Conditions for STA</w:t>
      </w:r>
    </w:p>
    <w:p>
      <w:pPr>
        <w:spacing w:after="0" w:line="256" w:lineRule="exact"/>
        <w:rPr>
          <w:sz w:val="20"/>
          <w:szCs w:val="20"/>
          <w:color w:val="auto"/>
        </w:rPr>
      </w:pPr>
    </w:p>
    <w:p>
      <w:pPr>
        <w:jc w:val="both"/>
        <w:ind w:left="1300" w:right="120" w:hanging="819"/>
        <w:spacing w:after="0"/>
        <w:tabs>
          <w:tab w:leader="none" w:pos="1280" w:val="left"/>
        </w:tabs>
        <w:rPr>
          <w:sz w:val="20"/>
          <w:szCs w:val="20"/>
          <w:color w:val="auto"/>
        </w:rPr>
      </w:pPr>
      <w:r>
        <w:rPr>
          <w:rFonts w:ascii="Times New Roman" w:cs="Times New Roman" w:eastAsia="Times New Roman" w:hAnsi="Times New Roman"/>
          <w:sz w:val="22"/>
          <w:szCs w:val="22"/>
          <w:color w:val="auto"/>
        </w:rPr>
        <w:t>STA:</w:t>
      </w:r>
      <w:r>
        <w:rPr>
          <w:sz w:val="20"/>
          <w:szCs w:val="20"/>
          <w:color w:val="auto"/>
        </w:rPr>
        <w:tab/>
      </w:r>
      <w:r>
        <w:rPr>
          <w:rFonts w:ascii="Times New Roman" w:cs="Times New Roman" w:eastAsia="Times New Roman" w:hAnsi="Times New Roman"/>
          <w:sz w:val="22"/>
          <w:szCs w:val="22"/>
          <w:color w:val="auto"/>
        </w:rPr>
        <w:t>License Exception STA may not be used to ship 5B001.a equipment</w:t>
      </w:r>
    </w:p>
    <w:p>
      <w:pPr>
        <w:jc w:val="both"/>
        <w:ind w:left="1300" w:right="120"/>
        <w:spacing w:after="0" w:line="250" w:lineRule="auto"/>
        <w:rPr>
          <w:sz w:val="20"/>
          <w:szCs w:val="20"/>
          <w:color w:val="auto"/>
        </w:rPr>
      </w:pPr>
      <w:r>
        <w:rPr>
          <w:rFonts w:ascii="Times New Roman" w:cs="Times New Roman" w:eastAsia="Times New Roman" w:hAnsi="Times New Roman"/>
          <w:sz w:val="22"/>
          <w:szCs w:val="22"/>
          <w:color w:val="auto"/>
        </w:rPr>
        <w:t>and “specially designed” components or “accessories” therefor, “specially designed” for the “development” or “production”</w:t>
      </w:r>
    </w:p>
    <w:p>
      <w:pPr>
        <w:spacing w:after="0" w:line="20" w:lineRule="exact"/>
        <w:rPr>
          <w:sz w:val="20"/>
          <w:szCs w:val="20"/>
          <w:color w:val="auto"/>
        </w:rPr>
      </w:pPr>
      <w:r>
        <w:rPr>
          <w:sz w:val="20"/>
          <w:szCs w:val="20"/>
          <w:color w:val="auto"/>
        </w:rPr>
        <w:br w:type="column"/>
      </w:r>
    </w:p>
    <w:p>
      <w:pPr>
        <w:spacing w:after="0" w:line="195" w:lineRule="exact"/>
        <w:rPr>
          <w:sz w:val="20"/>
          <w:szCs w:val="20"/>
          <w:color w:val="auto"/>
        </w:rPr>
      </w:pPr>
    </w:p>
    <w:p>
      <w:pPr>
        <w:ind w:left="1180"/>
        <w:spacing w:after="0"/>
        <w:rPr>
          <w:sz w:val="20"/>
          <w:szCs w:val="20"/>
          <w:color w:val="auto"/>
        </w:rPr>
      </w:pPr>
      <w:r>
        <w:rPr>
          <w:rFonts w:ascii="Times New Roman" w:cs="Times New Roman" w:eastAsia="Times New Roman" w:hAnsi="Times New Roman"/>
          <w:sz w:val="22"/>
          <w:szCs w:val="22"/>
          <w:color w:val="auto"/>
        </w:rPr>
        <w:t>of equipment, functions or features</w:t>
      </w:r>
    </w:p>
    <w:p>
      <w:pPr>
        <w:jc w:val="both"/>
        <w:ind w:left="1180"/>
        <w:spacing w:after="0" w:line="247" w:lineRule="auto"/>
        <w:rPr>
          <w:sz w:val="20"/>
          <w:szCs w:val="20"/>
          <w:color w:val="auto"/>
        </w:rPr>
      </w:pPr>
      <w:r>
        <w:rPr>
          <w:rFonts w:ascii="Times New Roman" w:cs="Times New Roman" w:eastAsia="Times New Roman" w:hAnsi="Times New Roman"/>
          <w:sz w:val="22"/>
          <w:szCs w:val="22"/>
          <w:color w:val="auto"/>
        </w:rPr>
        <w:t>specified by in ECCN 5A001.b.3, .b.5 or .h to any of the destinations listed in Country Group A:6 (See Supplement No.1 to part 740 of the EAR).</w:t>
      </w:r>
    </w:p>
    <w:p>
      <w:pPr>
        <w:spacing w:after="0" w:line="21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5B991</w:t>
      </w:r>
      <w:r>
        <w:rPr>
          <w:rFonts w:ascii="Times New Roman" w:cs="Times New Roman" w:eastAsia="Times New Roman" w:hAnsi="Times New Roman"/>
          <w:sz w:val="22"/>
          <w:szCs w:val="22"/>
          <w:color w:val="auto"/>
        </w:rPr>
        <w:t>.</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1"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a. Equipment and “specially designed” “components” or “accessories” therefor, “specially designed” for the “development” or “production” of equipment, functions or features, controlled by 5A001;</w:t>
      </w:r>
    </w:p>
    <w:p>
      <w:pPr>
        <w:spacing w:after="0" w:line="211"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5B001.a does not apply to optical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fiber characterization equipment.</w:t>
      </w:r>
    </w:p>
    <w:p>
      <w:pPr>
        <w:spacing w:after="0" w:line="183"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b. Equipment and “specially designed” “components” or “accessories” therefor, “specially designed” for the “development” of any of the following telecommunication transmission or switching equipment:</w:t>
      </w:r>
    </w:p>
    <w:p>
      <w:pPr>
        <w:spacing w:after="0" w:line="21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b.1. [Reserved]</w:t>
      </w:r>
    </w:p>
    <w:p>
      <w:pPr>
        <w:spacing w:after="0" w:line="252"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b.2. Equipment employing a “laser” and having any of the following:</w:t>
      </w:r>
    </w:p>
    <w:p>
      <w:pPr>
        <w:spacing w:after="0" w:line="188"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b.2.a. A transmission wavelength exceeding 1750 nm; or</w:t>
      </w:r>
    </w:p>
    <w:p>
      <w:pPr>
        <w:spacing w:after="0" w:line="187"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b.2.b. [Reserved]</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b.2.c. [Reserved]</w:t>
      </w:r>
    </w:p>
    <w:p>
      <w:pPr>
        <w:spacing w:after="0" w:line="252"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b.2.d. Employing analog techniques and having a bandwidth exceeding 2.5 GHz; or</w:t>
      </w:r>
    </w:p>
    <w:p>
      <w:pPr>
        <w:spacing w:after="0" w:line="183" w:lineRule="exact"/>
        <w:rPr>
          <w:sz w:val="20"/>
          <w:szCs w:val="20"/>
          <w:color w:val="auto"/>
        </w:rPr>
      </w:pPr>
    </w:p>
    <w:p>
      <w:pPr>
        <w:jc w:val="both"/>
        <w:ind w:firstLine="72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5B001.b.2.d. does not include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“specially designed” for the “development” of commercial TV systems.</w:t>
      </w:r>
    </w:p>
    <w:p>
      <w:pPr>
        <w:spacing w:after="0" w:line="529" w:lineRule="exact"/>
        <w:rPr>
          <w:sz w:val="20"/>
          <w:szCs w:val="20"/>
          <w:color w:val="auto"/>
        </w:rPr>
      </w:pPr>
    </w:p>
    <w:p>
      <w:pPr>
        <w:sectPr>
          <w:pgSz w:w="12240" w:h="15840" w:orient="portrait"/>
          <w:cols w:equalWidth="0" w:num="2">
            <w:col w:w="4560" w:space="600"/>
            <w:col w:w="4320"/>
          </w:cols>
          <w:pgMar w:left="1320" w:top="1422" w:right="1440" w:bottom="892" w:gutter="0" w:footer="0" w:header="0"/>
          <w:type w:val="continuous"/>
        </w:sectPr>
      </w:pPr>
    </w:p>
    <w:p>
      <w:pPr>
        <w:spacing w:after="0" w:line="114" w:lineRule="exact"/>
        <w:rPr>
          <w:sz w:val="20"/>
          <w:szCs w:val="20"/>
          <w:color w:val="auto"/>
        </w:rPr>
      </w:pPr>
    </w:p>
    <w:p>
      <w:pPr>
        <w:ind w:left="120"/>
        <w:spacing w:after="0"/>
        <w:tabs>
          <w:tab w:leader="none" w:pos="3520" w:val="left"/>
          <w:tab w:leader="none" w:pos="816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p>
      <w:pPr>
        <w:sectPr>
          <w:pgSz w:w="12240" w:h="15840" w:orient="portrait"/>
          <w:cols w:equalWidth="0" w:num="1">
            <w:col w:w="9480"/>
          </w:cols>
          <w:pgMar w:left="1320" w:top="1422" w:right="1440" w:bottom="892" w:gutter="0" w:footer="0" w:header="0"/>
          <w:type w:val="continuous"/>
        </w:sectPr>
      </w:pPr>
    </w:p>
    <w:bookmarkStart w:id="11" w:name="page12"/>
    <w:bookmarkEnd w:id="11"/>
    <w:p>
      <w:pPr>
        <w:spacing w:after="0"/>
        <w:tabs>
          <w:tab w:leader="none" w:pos="3540" w:val="left"/>
          <w:tab w:leader="none" w:pos="600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Telecommunications—page 12</w:t>
      </w:r>
    </w:p>
    <w:p>
      <w:pPr>
        <w:sectPr>
          <w:pgSz w:w="12240" w:h="15840" w:orient="portrait"/>
          <w:cols w:equalWidth="0" w:num="1">
            <w:col w:w="9540"/>
          </w:cols>
          <w:pgMar w:left="1440" w:top="1422" w:right="1260" w:bottom="892" w:gutter="0" w:footer="0" w:header="0"/>
        </w:sectPr>
      </w:pPr>
    </w:p>
    <w:p>
      <w:pPr>
        <w:spacing w:after="0" w:line="21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b.3. [Reserved]</w:t>
      </w:r>
    </w:p>
    <w:p>
      <w:pPr>
        <w:spacing w:after="0" w:line="252" w:lineRule="exact"/>
        <w:rPr>
          <w:sz w:val="20"/>
          <w:szCs w:val="20"/>
          <w:color w:val="auto"/>
        </w:rPr>
      </w:pPr>
    </w:p>
    <w:p>
      <w:pPr>
        <w:ind w:left="360"/>
        <w:spacing w:after="0"/>
        <w:tabs>
          <w:tab w:leader="none" w:pos="1080" w:val="left"/>
          <w:tab w:leader="none" w:pos="2020" w:val="left"/>
          <w:tab w:leader="none" w:pos="3360" w:val="left"/>
        </w:tabs>
        <w:rPr>
          <w:sz w:val="20"/>
          <w:szCs w:val="20"/>
          <w:color w:val="auto"/>
        </w:rPr>
      </w:pPr>
      <w:r>
        <w:rPr>
          <w:rFonts w:ascii="Times New Roman" w:cs="Times New Roman" w:eastAsia="Times New Roman" w:hAnsi="Times New Roman"/>
          <w:sz w:val="22"/>
          <w:szCs w:val="22"/>
          <w:color w:val="auto"/>
        </w:rPr>
        <w:t>b.4.</w:t>
      </w:r>
      <w:r>
        <w:rPr>
          <w:sz w:val="20"/>
          <w:szCs w:val="20"/>
          <w:color w:val="auto"/>
        </w:rPr>
        <w:tab/>
      </w:r>
      <w:r>
        <w:rPr>
          <w:rFonts w:ascii="Times New Roman" w:cs="Times New Roman" w:eastAsia="Times New Roman" w:hAnsi="Times New Roman"/>
          <w:sz w:val="22"/>
          <w:szCs w:val="22"/>
          <w:color w:val="auto"/>
        </w:rPr>
        <w:t>Radio</w:t>
      </w:r>
      <w:r>
        <w:rPr>
          <w:sz w:val="20"/>
          <w:szCs w:val="20"/>
          <w:color w:val="auto"/>
        </w:rPr>
        <w:tab/>
      </w:r>
      <w:r>
        <w:rPr>
          <w:rFonts w:ascii="Times New Roman" w:cs="Times New Roman" w:eastAsia="Times New Roman" w:hAnsi="Times New Roman"/>
          <w:sz w:val="22"/>
          <w:szCs w:val="22"/>
          <w:color w:val="auto"/>
        </w:rPr>
        <w:t>equipment</w:t>
      </w:r>
      <w:r>
        <w:rPr>
          <w:sz w:val="20"/>
          <w:szCs w:val="20"/>
          <w:color w:val="auto"/>
        </w:rPr>
        <w:tab/>
      </w:r>
      <w:r>
        <w:rPr>
          <w:rFonts w:ascii="Times New Roman" w:cs="Times New Roman" w:eastAsia="Times New Roman" w:hAnsi="Times New Roman"/>
          <w:sz w:val="21"/>
          <w:szCs w:val="21"/>
          <w:color w:val="auto"/>
        </w:rPr>
        <w:t>employing</w:t>
      </w: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Quadrature -Amplitude-Modulation (QAM) techniques above level 1,024.</w:t>
      </w:r>
    </w:p>
    <w:p>
      <w:pPr>
        <w:spacing w:after="0" w:line="200" w:lineRule="exact"/>
        <w:rPr>
          <w:sz w:val="20"/>
          <w:szCs w:val="20"/>
          <w:color w:val="auto"/>
        </w:rPr>
      </w:pPr>
    </w:p>
    <w:p>
      <w:pPr>
        <w:spacing w:after="0" w:line="239" w:lineRule="exact"/>
        <w:rPr>
          <w:sz w:val="20"/>
          <w:szCs w:val="20"/>
          <w:color w:val="auto"/>
        </w:rPr>
      </w:pPr>
    </w:p>
    <w:p>
      <w:pPr>
        <w:jc w:val="both"/>
        <w:ind w:right="120"/>
        <w:spacing w:after="0" w:line="273" w:lineRule="auto"/>
        <w:rPr>
          <w:sz w:val="20"/>
          <w:szCs w:val="20"/>
          <w:color w:val="auto"/>
        </w:rPr>
      </w:pPr>
      <w:r>
        <w:rPr>
          <w:rFonts w:ascii="Times New Roman" w:cs="Times New Roman" w:eastAsia="Times New Roman" w:hAnsi="Times New Roman"/>
          <w:sz w:val="22"/>
          <w:szCs w:val="22"/>
          <w:b w:val="1"/>
          <w:bCs w:val="1"/>
          <w:color w:val="auto"/>
        </w:rPr>
        <w:t>5B991 Telecommunications test equipment, n.e.s.</w:t>
      </w:r>
    </w:p>
    <w:p>
      <w:pPr>
        <w:spacing w:after="0" w:line="18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262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jc w:val="center"/>
              <w:spacing w:after="0" w:line="248"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62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(See Supp. No.</w:t>
            </w:r>
          </w:p>
        </w:tc>
      </w:tr>
      <w:tr>
        <w:trPr>
          <w:trHeight w:val="272"/>
        </w:trPr>
        <w:tc>
          <w:tcPr>
            <w:tcW w:w="262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1 to part 738)</w:t>
            </w:r>
          </w:p>
        </w:tc>
      </w:tr>
      <w:tr>
        <w:trPr>
          <w:trHeight w:val="244"/>
        </w:trPr>
        <w:tc>
          <w:tcPr>
            <w:tcW w:w="2620" w:type="dxa"/>
            <w:vAlign w:val="bottom"/>
            <w:tcBorders>
              <w:left w:val="single" w:sz="8" w:color="auto"/>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2"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6"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LVS: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GBS:</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ind w:right="12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7" w:lineRule="exact"/>
        <w:rPr>
          <w:sz w:val="20"/>
          <w:szCs w:val="20"/>
          <w:color w:val="auto"/>
        </w:rPr>
      </w:pPr>
    </w:p>
    <w:p>
      <w:pPr>
        <w:ind w:left="1220"/>
        <w:spacing w:after="0"/>
        <w:rPr>
          <w:sz w:val="20"/>
          <w:szCs w:val="20"/>
          <w:color w:val="auto"/>
        </w:rPr>
      </w:pPr>
      <w:r>
        <w:rPr>
          <w:rFonts w:ascii="Times New Roman" w:cs="Times New Roman" w:eastAsia="Times New Roman" w:hAnsi="Times New Roman"/>
          <w:sz w:val="22"/>
          <w:szCs w:val="22"/>
          <w:b w:val="1"/>
          <w:bCs w:val="1"/>
          <w:color w:val="auto"/>
        </w:rPr>
        <w:t>C. “MATERIALS”</w:t>
      </w:r>
    </w:p>
    <w:p>
      <w:pPr>
        <w:spacing w:after="0" w:line="200" w:lineRule="exact"/>
        <w:rPr>
          <w:sz w:val="20"/>
          <w:szCs w:val="20"/>
          <w:color w:val="auto"/>
        </w:rPr>
      </w:pPr>
    </w:p>
    <w:p>
      <w:pPr>
        <w:spacing w:after="0" w:line="307" w:lineRule="exact"/>
        <w:rPr>
          <w:sz w:val="20"/>
          <w:szCs w:val="20"/>
          <w:color w:val="auto"/>
        </w:rPr>
      </w:pPr>
    </w:p>
    <w:p>
      <w:pPr>
        <w:jc w:val="both"/>
        <w:ind w:right="120"/>
        <w:spacing w:after="0" w:line="257" w:lineRule="auto"/>
        <w:rPr>
          <w:sz w:val="20"/>
          <w:szCs w:val="20"/>
          <w:color w:val="auto"/>
        </w:rPr>
      </w:pPr>
      <w:r>
        <w:rPr>
          <w:rFonts w:ascii="Times New Roman" w:cs="Times New Roman" w:eastAsia="Times New Roman" w:hAnsi="Times New Roman"/>
          <w:sz w:val="22"/>
          <w:szCs w:val="22"/>
          <w:b w:val="1"/>
          <w:bCs w:val="1"/>
          <w:color w:val="auto"/>
        </w:rPr>
        <w:t>5C991 Preforms of glass or of any other material optimized for the manufacture of optical fibers controlled by 5A991.</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AT</w:t>
      </w:r>
    </w:p>
    <w:p>
      <w:pPr>
        <w:spacing w:after="0" w:line="20" w:lineRule="exact"/>
        <w:rPr>
          <w:sz w:val="20"/>
          <w:szCs w:val="20"/>
          <w:color w:val="auto"/>
        </w:rPr>
      </w:pPr>
      <w:r>
        <w:rPr>
          <w:sz w:val="20"/>
          <w:szCs w:val="20"/>
          <w:color w:val="auto"/>
        </w:rPr>
        <w:br w:type="column"/>
      </w:r>
    </w:p>
    <w:p>
      <w:pPr>
        <w:spacing w:after="0" w:line="185" w:lineRule="exact"/>
        <w:rPr>
          <w:sz w:val="20"/>
          <w:szCs w:val="20"/>
          <w:color w:val="auto"/>
        </w:rPr>
      </w:pPr>
    </w:p>
    <w:p>
      <w:pPr>
        <w:spacing w:after="0" w:line="1" w:lineRule="exact"/>
        <w:rPr>
          <w:sz w:val="1"/>
          <w:szCs w:val="1"/>
          <w:color w:val="auto"/>
        </w:rPr>
      </w:pPr>
    </w:p>
    <w:tbl>
      <w:tblPr>
        <w:tblLayout w:type="fixed"/>
        <w:tblInd w:w="130" w:type="dxa"/>
        <w:tblCellMar>
          <w:top w:w="0" w:type="dxa"/>
          <w:left w:w="0" w:type="dxa"/>
          <w:bottom w:w="0" w:type="dxa"/>
          <w:right w:w="0" w:type="dxa"/>
        </w:tblCellMar>
      </w:tblPr>
      <w:tr>
        <w:trPr>
          <w:trHeight w:val="249"/>
        </w:trPr>
        <w:tc>
          <w:tcPr>
            <w:tcW w:w="2620" w:type="dxa"/>
            <w:vAlign w:val="bottom"/>
            <w:tcBorders>
              <w:top w:val="single" w:sz="8" w:color="auto"/>
              <w:left w:val="single" w:sz="8" w:color="auto"/>
              <w:right w:val="single" w:sz="8" w:color="auto"/>
            </w:tcBorders>
          </w:tcPr>
          <w:p>
            <w:pPr>
              <w:spacing w:after="0"/>
              <w:rPr>
                <w:sz w:val="21"/>
                <w:szCs w:val="21"/>
                <w:color w:val="auto"/>
              </w:rPr>
            </w:pPr>
          </w:p>
        </w:tc>
        <w:tc>
          <w:tcPr>
            <w:tcW w:w="1820" w:type="dxa"/>
            <w:vAlign w:val="bottom"/>
            <w:tcBorders>
              <w:top w:val="single" w:sz="8" w:color="auto"/>
              <w:right w:val="single" w:sz="8" w:color="auto"/>
            </w:tcBorders>
          </w:tcPr>
          <w:p>
            <w:pPr>
              <w:ind w:left="26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62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20" w:type="dxa"/>
            <w:vAlign w:val="bottom"/>
            <w:tcBorders>
              <w:right w:val="single" w:sz="8" w:color="auto"/>
            </w:tcBorders>
          </w:tcPr>
          <w:p>
            <w:pPr>
              <w:ind w:left="26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620" w:type="dxa"/>
            <w:vAlign w:val="bottom"/>
            <w:tcBorders>
              <w:left w:val="single" w:sz="8" w:color="auto"/>
              <w:bottom w:val="single" w:sz="8" w:color="auto"/>
              <w:right w:val="single" w:sz="8" w:color="auto"/>
            </w:tcBorders>
          </w:tcPr>
          <w:p>
            <w:pPr>
              <w:spacing w:after="0"/>
              <w:rPr>
                <w:sz w:val="23"/>
                <w:szCs w:val="23"/>
                <w:color w:val="auto"/>
              </w:rPr>
            </w:pPr>
          </w:p>
        </w:tc>
        <w:tc>
          <w:tcPr>
            <w:tcW w:w="1820" w:type="dxa"/>
            <w:vAlign w:val="bottom"/>
            <w:tcBorders>
              <w:bottom w:val="single" w:sz="8" w:color="auto"/>
              <w:right w:val="single" w:sz="8" w:color="auto"/>
            </w:tcBorders>
          </w:tcPr>
          <w:p>
            <w:pPr>
              <w:ind w:left="26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620" w:type="dxa"/>
            <w:vAlign w:val="bottom"/>
            <w:tcBorders>
              <w:left w:val="single" w:sz="8" w:color="auto"/>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2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left="120" w:right="18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5"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color w:val="auto"/>
        </w:rPr>
        <w:t>LVS: N/A</w:t>
      </w:r>
    </w:p>
    <w:p>
      <w:pPr>
        <w:ind w:left="480"/>
        <w:spacing w:after="0"/>
        <w:rPr>
          <w:sz w:val="20"/>
          <w:szCs w:val="20"/>
          <w:color w:val="auto"/>
        </w:rPr>
      </w:pPr>
      <w:r>
        <w:rPr>
          <w:rFonts w:ascii="Times New Roman" w:cs="Times New Roman" w:eastAsia="Times New Roman" w:hAnsi="Times New Roman"/>
          <w:sz w:val="22"/>
          <w:szCs w:val="22"/>
          <w:color w:val="auto"/>
        </w:rPr>
        <w:t>GBS: N/A</w:t>
      </w:r>
    </w:p>
    <w:p>
      <w:pPr>
        <w:ind w:left="480"/>
        <w:spacing w:after="0"/>
        <w:rPr>
          <w:sz w:val="20"/>
          <w:szCs w:val="20"/>
          <w:color w:val="auto"/>
        </w:rPr>
      </w:pPr>
      <w:r>
        <w:rPr>
          <w:rFonts w:ascii="Times New Roman" w:cs="Times New Roman" w:eastAsia="Times New Roman" w:hAnsi="Times New Roman"/>
          <w:sz w:val="22"/>
          <w:szCs w:val="22"/>
          <w:color w:val="auto"/>
        </w:rPr>
        <w:t>CIV: N/A</w:t>
      </w:r>
    </w:p>
    <w:p>
      <w:pPr>
        <w:spacing w:after="0" w:line="251"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120" w:right="180"/>
        <w:spacing w:after="0" w:line="271"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39" w:lineRule="exact"/>
        <w:rPr>
          <w:sz w:val="20"/>
          <w:szCs w:val="20"/>
          <w:color w:val="auto"/>
        </w:rPr>
      </w:pPr>
    </w:p>
    <w:p>
      <w:pPr>
        <w:ind w:left="1400"/>
        <w:spacing w:after="0"/>
        <w:rPr>
          <w:sz w:val="20"/>
          <w:szCs w:val="20"/>
          <w:color w:val="auto"/>
        </w:rPr>
      </w:pPr>
      <w:r>
        <w:rPr>
          <w:rFonts w:ascii="Times New Roman" w:cs="Times New Roman" w:eastAsia="Times New Roman" w:hAnsi="Times New Roman"/>
          <w:sz w:val="22"/>
          <w:szCs w:val="22"/>
          <w:b w:val="1"/>
          <w:bCs w:val="1"/>
          <w:color w:val="auto"/>
        </w:rPr>
        <w:t>D. “SOFTWARE”</w:t>
      </w:r>
    </w:p>
    <w:p>
      <w:pPr>
        <w:spacing w:after="0" w:line="200" w:lineRule="exact"/>
        <w:rPr>
          <w:sz w:val="20"/>
          <w:szCs w:val="20"/>
          <w:color w:val="auto"/>
        </w:rPr>
      </w:pPr>
    </w:p>
    <w:p>
      <w:pPr>
        <w:spacing w:after="0" w:line="305" w:lineRule="exact"/>
        <w:rPr>
          <w:sz w:val="20"/>
          <w:szCs w:val="20"/>
          <w:color w:val="auto"/>
        </w:rPr>
      </w:pPr>
    </w:p>
    <w:p>
      <w:pPr>
        <w:ind w:left="120" w:right="180"/>
        <w:spacing w:after="0" w:line="274" w:lineRule="auto"/>
        <w:rPr>
          <w:sz w:val="20"/>
          <w:szCs w:val="20"/>
          <w:color w:val="auto"/>
        </w:rPr>
      </w:pPr>
      <w:r>
        <w:rPr>
          <w:rFonts w:ascii="Times New Roman" w:cs="Times New Roman" w:eastAsia="Times New Roman" w:hAnsi="Times New Roman"/>
          <w:sz w:val="22"/>
          <w:szCs w:val="22"/>
          <w:b w:val="1"/>
          <w:bCs w:val="1"/>
          <w:color w:val="auto"/>
        </w:rPr>
        <w:t>5D001 “Software” as follows (see List of Items Controlled).</w:t>
      </w:r>
    </w:p>
    <w:p>
      <w:pPr>
        <w:spacing w:after="0" w:line="182" w:lineRule="exact"/>
        <w:rPr>
          <w:sz w:val="20"/>
          <w:szCs w:val="20"/>
          <w:color w:val="auto"/>
        </w:rPr>
      </w:pPr>
    </w:p>
    <w:p>
      <w:pPr>
        <w:ind w:left="1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480"/>
        <w:spacing w:after="0"/>
        <w:tabs>
          <w:tab w:leader="none" w:pos="23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SL,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020" w:type="dxa"/>
            <w:vAlign w:val="bottom"/>
            <w:tcBorders>
              <w:top w:val="single" w:sz="8" w:color="auto"/>
              <w:left w:val="single" w:sz="8" w:color="auto"/>
              <w:right w:val="single" w:sz="8" w:color="auto"/>
            </w:tcBorders>
            <w:vMerge w:val="restart"/>
          </w:tcPr>
          <w:p>
            <w:pPr>
              <w:ind w:left="5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620" w:type="dxa"/>
            <w:vAlign w:val="bottom"/>
            <w:tcBorders>
              <w:top w:val="single" w:sz="8" w:color="auto"/>
              <w:right w:val="single" w:sz="8" w:color="auto"/>
            </w:tcBorders>
            <w:gridSpan w:val="5"/>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 Supp.</w:t>
            </w:r>
          </w:p>
        </w:tc>
        <w:tc>
          <w:tcPr>
            <w:tcW w:w="0" w:type="dxa"/>
            <w:vAlign w:val="bottom"/>
          </w:tcPr>
          <w:p>
            <w:pPr>
              <w:spacing w:after="0"/>
              <w:rPr>
                <w:sz w:val="1"/>
                <w:szCs w:val="1"/>
                <w:color w:val="auto"/>
              </w:rPr>
            </w:pPr>
          </w:p>
        </w:tc>
      </w:tr>
      <w:tr>
        <w:trPr>
          <w:trHeight w:val="164"/>
        </w:trPr>
        <w:tc>
          <w:tcPr>
            <w:tcW w:w="2020" w:type="dxa"/>
            <w:vAlign w:val="bottom"/>
            <w:tcBorders>
              <w:left w:val="single" w:sz="8" w:color="auto"/>
              <w:right w:val="single" w:sz="8" w:color="auto"/>
            </w:tcBorders>
            <w:vMerge w:val="continue"/>
          </w:tcPr>
          <w:p>
            <w:pPr>
              <w:spacing w:after="0"/>
              <w:rPr>
                <w:sz w:val="14"/>
                <w:szCs w:val="14"/>
                <w:color w:val="auto"/>
              </w:rPr>
            </w:pPr>
          </w:p>
        </w:tc>
        <w:tc>
          <w:tcPr>
            <w:tcW w:w="2280" w:type="dxa"/>
            <w:vAlign w:val="bottom"/>
            <w:gridSpan w:val="4"/>
            <w:vMerge w:val="restart"/>
          </w:tcPr>
          <w:p>
            <w:pPr>
              <w:jc w:val="center"/>
              <w:ind w:left="210"/>
              <w:spacing w:after="0"/>
              <w:rPr>
                <w:sz w:val="20"/>
                <w:szCs w:val="20"/>
                <w:color w:val="auto"/>
              </w:rPr>
            </w:pPr>
            <w:r>
              <w:rPr>
                <w:rFonts w:ascii="Times New Roman" w:cs="Times New Roman" w:eastAsia="Times New Roman" w:hAnsi="Times New Roman"/>
                <w:sz w:val="22"/>
                <w:szCs w:val="22"/>
                <w:i w:val="1"/>
                <w:iCs w:val="1"/>
                <w:color w:val="auto"/>
                <w:w w:val="99"/>
              </w:rPr>
              <w:t>No.1 to part 738)</w:t>
            </w:r>
          </w:p>
        </w:tc>
        <w:tc>
          <w:tcPr>
            <w:tcW w:w="340" w:type="dxa"/>
            <w:vAlign w:val="bottom"/>
            <w:tcBorders>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108"/>
        </w:trPr>
        <w:tc>
          <w:tcPr>
            <w:tcW w:w="2020" w:type="dxa"/>
            <w:vAlign w:val="bottom"/>
            <w:tcBorders>
              <w:left w:val="single" w:sz="8" w:color="auto"/>
              <w:bottom w:val="single" w:sz="8" w:color="auto"/>
              <w:right w:val="single" w:sz="8" w:color="auto"/>
            </w:tcBorders>
          </w:tcPr>
          <w:p>
            <w:pPr>
              <w:spacing w:after="0"/>
              <w:rPr>
                <w:sz w:val="9"/>
                <w:szCs w:val="9"/>
                <w:color w:val="auto"/>
              </w:rPr>
            </w:pPr>
          </w:p>
        </w:tc>
        <w:tc>
          <w:tcPr>
            <w:tcW w:w="2280" w:type="dxa"/>
            <w:vAlign w:val="bottom"/>
            <w:tcBorders>
              <w:bottom w:val="single" w:sz="8" w:color="auto"/>
            </w:tcBorders>
            <w:gridSpan w:val="4"/>
            <w:vMerge w:val="continue"/>
          </w:tcPr>
          <w:p>
            <w:pPr>
              <w:spacing w:after="0"/>
              <w:rPr>
                <w:sz w:val="9"/>
                <w:szCs w:val="9"/>
                <w:color w:val="auto"/>
              </w:rPr>
            </w:pPr>
          </w:p>
        </w:tc>
        <w:tc>
          <w:tcPr>
            <w:tcW w:w="340" w:type="dxa"/>
            <w:vAlign w:val="bottom"/>
            <w:tcBorders>
              <w:bottom w:val="single" w:sz="8" w:color="auto"/>
              <w:right w:val="single" w:sz="8" w:color="auto"/>
            </w:tcBorders>
          </w:tcPr>
          <w:p>
            <w:pPr>
              <w:spacing w:after="0"/>
              <w:rPr>
                <w:sz w:val="9"/>
                <w:szCs w:val="9"/>
                <w:color w:val="auto"/>
              </w:rPr>
            </w:pPr>
          </w:p>
        </w:tc>
        <w:tc>
          <w:tcPr>
            <w:tcW w:w="0" w:type="dxa"/>
            <w:vAlign w:val="bottom"/>
          </w:tcPr>
          <w:p>
            <w:pPr>
              <w:spacing w:after="0"/>
              <w:rPr>
                <w:sz w:val="1"/>
                <w:szCs w:val="1"/>
                <w:color w:val="auto"/>
              </w:rPr>
            </w:pPr>
          </w:p>
        </w:tc>
      </w:tr>
      <w:tr>
        <w:trPr>
          <w:trHeight w:val="227"/>
        </w:trPr>
        <w:tc>
          <w:tcPr>
            <w:tcW w:w="202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NS applies to entire</w:t>
            </w:r>
          </w:p>
        </w:tc>
        <w:tc>
          <w:tcPr>
            <w:tcW w:w="1700" w:type="dxa"/>
            <w:vAlign w:val="bottom"/>
            <w:gridSpan w:val="3"/>
          </w:tcPr>
          <w:p>
            <w:pPr>
              <w:ind w:left="100"/>
              <w:spacing w:after="0" w:line="227" w:lineRule="exact"/>
              <w:rPr>
                <w:sz w:val="20"/>
                <w:szCs w:val="20"/>
                <w:color w:val="auto"/>
              </w:rPr>
            </w:pPr>
            <w:r>
              <w:rPr>
                <w:rFonts w:ascii="Times New Roman" w:cs="Times New Roman" w:eastAsia="Times New Roman" w:hAnsi="Times New Roman"/>
                <w:sz w:val="22"/>
                <w:szCs w:val="22"/>
                <w:color w:val="auto"/>
              </w:rPr>
              <w:t>NS Column 1.</w:t>
            </w:r>
          </w:p>
        </w:tc>
        <w:tc>
          <w:tcPr>
            <w:tcW w:w="580" w:type="dxa"/>
            <w:vAlign w:val="bottom"/>
          </w:tcPr>
          <w:p>
            <w:pPr>
              <w:spacing w:after="0"/>
              <w:rPr>
                <w:sz w:val="19"/>
                <w:szCs w:val="19"/>
                <w:color w:val="auto"/>
              </w:rPr>
            </w:pPr>
          </w:p>
        </w:tc>
        <w:tc>
          <w:tcPr>
            <w:tcW w:w="34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269"/>
        </w:trPr>
        <w:tc>
          <w:tcPr>
            <w:tcW w:w="2020" w:type="dxa"/>
            <w:vAlign w:val="bottom"/>
            <w:tcBorders>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entry</w:t>
            </w:r>
          </w:p>
        </w:tc>
        <w:tc>
          <w:tcPr>
            <w:tcW w:w="580" w:type="dxa"/>
            <w:vAlign w:val="bottom"/>
            <w:tcBorders>
              <w:bottom w:val="single" w:sz="8" w:color="auto"/>
            </w:tcBorders>
          </w:tcPr>
          <w:p>
            <w:pPr>
              <w:spacing w:after="0"/>
              <w:rPr>
                <w:sz w:val="23"/>
                <w:szCs w:val="23"/>
                <w:color w:val="auto"/>
              </w:rPr>
            </w:pPr>
          </w:p>
        </w:tc>
        <w:tc>
          <w:tcPr>
            <w:tcW w:w="32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580" w:type="dxa"/>
            <w:vAlign w:val="bottom"/>
            <w:tcBorders>
              <w:bottom w:val="single" w:sz="8" w:color="auto"/>
            </w:tcBorders>
          </w:tcPr>
          <w:p>
            <w:pPr>
              <w:spacing w:after="0"/>
              <w:rPr>
                <w:sz w:val="23"/>
                <w:szCs w:val="23"/>
                <w:color w:val="auto"/>
              </w:rPr>
            </w:pPr>
          </w:p>
        </w:tc>
        <w:tc>
          <w:tcPr>
            <w:tcW w:w="34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27"/>
        </w:trPr>
        <w:tc>
          <w:tcPr>
            <w:tcW w:w="202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SL applies to the</w:t>
            </w:r>
          </w:p>
        </w:tc>
        <w:tc>
          <w:tcPr>
            <w:tcW w:w="2620" w:type="dxa"/>
            <w:vAlign w:val="bottom"/>
            <w:tcBorders>
              <w:right w:val="single" w:sz="8" w:color="auto"/>
            </w:tcBorders>
            <w:gridSpan w:val="5"/>
          </w:tcPr>
          <w:p>
            <w:pPr>
              <w:ind w:left="100"/>
              <w:spacing w:after="0" w:line="227" w:lineRule="exact"/>
              <w:rPr>
                <w:sz w:val="20"/>
                <w:szCs w:val="20"/>
                <w:color w:val="auto"/>
              </w:rPr>
            </w:pPr>
            <w:r>
              <w:rPr>
                <w:rFonts w:ascii="Times New Roman" w:cs="Times New Roman" w:eastAsia="Times New Roman" w:hAnsi="Times New Roman"/>
                <w:sz w:val="22"/>
                <w:szCs w:val="22"/>
                <w:color w:val="auto"/>
              </w:rPr>
              <w:t>A license is required for</w:t>
            </w:r>
          </w:p>
        </w:tc>
        <w:tc>
          <w:tcPr>
            <w:tcW w:w="0" w:type="dxa"/>
            <w:vAlign w:val="bottom"/>
          </w:tcPr>
          <w:p>
            <w:pPr>
              <w:spacing w:after="0"/>
              <w:rPr>
                <w:sz w:val="1"/>
                <w:szCs w:val="1"/>
                <w:color w:val="auto"/>
              </w:rPr>
            </w:pPr>
          </w:p>
        </w:tc>
      </w:tr>
      <w:tr>
        <w:trPr>
          <w:trHeight w:val="253"/>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entire entry as</w:t>
            </w:r>
          </w:p>
        </w:tc>
        <w:tc>
          <w:tcPr>
            <w:tcW w:w="5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all</w:t>
            </w:r>
          </w:p>
        </w:tc>
        <w:tc>
          <w:tcPr>
            <w:tcW w:w="1700" w:type="dxa"/>
            <w:vAlign w:val="bottom"/>
            <w:gridSpan w:val="3"/>
          </w:tcPr>
          <w:p>
            <w:pPr>
              <w:jc w:val="center"/>
              <w:ind w:right="130"/>
              <w:spacing w:after="0"/>
              <w:rPr>
                <w:sz w:val="20"/>
                <w:szCs w:val="20"/>
                <w:color w:val="auto"/>
              </w:rPr>
            </w:pPr>
            <w:r>
              <w:rPr>
                <w:rFonts w:ascii="Times New Roman" w:cs="Times New Roman" w:eastAsia="Times New Roman" w:hAnsi="Times New Roman"/>
                <w:sz w:val="22"/>
                <w:szCs w:val="22"/>
                <w:color w:val="auto"/>
                <w:w w:val="99"/>
              </w:rPr>
              <w:t>destinations,</w:t>
            </w:r>
          </w:p>
        </w:tc>
        <w:tc>
          <w:tcPr>
            <w:tcW w:w="3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as</w:t>
            </w:r>
          </w:p>
        </w:tc>
        <w:tc>
          <w:tcPr>
            <w:tcW w:w="0" w:type="dxa"/>
            <w:vAlign w:val="bottom"/>
          </w:tcPr>
          <w:p>
            <w:pPr>
              <w:spacing w:after="0"/>
              <w:rPr>
                <w:sz w:val="1"/>
                <w:szCs w:val="1"/>
                <w:color w:val="auto"/>
              </w:rPr>
            </w:pPr>
          </w:p>
        </w:tc>
      </w:tr>
      <w:tr>
        <w:trPr>
          <w:trHeight w:val="253"/>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applicable for</w:t>
            </w:r>
          </w:p>
        </w:tc>
        <w:tc>
          <w:tcPr>
            <w:tcW w:w="262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color w:val="auto"/>
              </w:rPr>
              <w:t>specified in § 742.13 of</w:t>
            </w:r>
          </w:p>
        </w:tc>
        <w:tc>
          <w:tcPr>
            <w:tcW w:w="0" w:type="dxa"/>
            <w:vAlign w:val="bottom"/>
          </w:tcPr>
          <w:p>
            <w:pPr>
              <w:spacing w:after="0"/>
              <w:rPr>
                <w:sz w:val="1"/>
                <w:szCs w:val="1"/>
                <w:color w:val="auto"/>
              </w:rPr>
            </w:pPr>
          </w:p>
        </w:tc>
      </w:tr>
      <w:tr>
        <w:trPr>
          <w:trHeight w:val="252"/>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equipment,</w:t>
            </w:r>
          </w:p>
        </w:tc>
        <w:tc>
          <w:tcPr>
            <w:tcW w:w="2280" w:type="dxa"/>
            <w:vAlign w:val="bottom"/>
            <w:gridSpan w:val="4"/>
          </w:tcPr>
          <w:p>
            <w:pPr>
              <w:ind w:left="100"/>
              <w:spacing w:after="0"/>
              <w:rPr>
                <w:sz w:val="20"/>
                <w:szCs w:val="20"/>
                <w:color w:val="auto"/>
              </w:rPr>
            </w:pPr>
            <w:r>
              <w:rPr>
                <w:rFonts w:ascii="Times New Roman" w:cs="Times New Roman" w:eastAsia="Times New Roman" w:hAnsi="Times New Roman"/>
                <w:sz w:val="22"/>
                <w:szCs w:val="22"/>
                <w:color w:val="auto"/>
              </w:rPr>
              <w:t>the EAR. Accordingly,</w:t>
            </w:r>
          </w:p>
        </w:tc>
        <w:tc>
          <w:tcPr>
            <w:tcW w:w="3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a</w:t>
            </w:r>
          </w:p>
        </w:tc>
        <w:tc>
          <w:tcPr>
            <w:tcW w:w="0" w:type="dxa"/>
            <w:vAlign w:val="bottom"/>
          </w:tcPr>
          <w:p>
            <w:pPr>
              <w:spacing w:after="0"/>
              <w:rPr>
                <w:sz w:val="1"/>
                <w:szCs w:val="1"/>
                <w:color w:val="auto"/>
              </w:rPr>
            </w:pPr>
          </w:p>
        </w:tc>
      </w:tr>
      <w:tr>
        <w:trPr>
          <w:trHeight w:val="253"/>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functions, features,</w:t>
            </w:r>
          </w:p>
        </w:tc>
        <w:tc>
          <w:tcPr>
            <w:tcW w:w="900" w:type="dxa"/>
            <w:vAlign w:val="bottom"/>
            <w:gridSpan w:val="2"/>
          </w:tcPr>
          <w:p>
            <w:pPr>
              <w:ind w:left="100"/>
              <w:spacing w:after="0"/>
              <w:rPr>
                <w:sz w:val="20"/>
                <w:szCs w:val="20"/>
                <w:color w:val="auto"/>
              </w:rPr>
            </w:pPr>
            <w:r>
              <w:rPr>
                <w:rFonts w:ascii="Times New Roman" w:cs="Times New Roman" w:eastAsia="Times New Roman" w:hAnsi="Times New Roman"/>
                <w:sz w:val="22"/>
                <w:szCs w:val="22"/>
                <w:color w:val="auto"/>
              </w:rPr>
              <w:t>column</w:t>
            </w:r>
          </w:p>
        </w:tc>
        <w:tc>
          <w:tcPr>
            <w:tcW w:w="800" w:type="dxa"/>
            <w:vAlign w:val="bottom"/>
          </w:tcPr>
          <w:p>
            <w:pPr>
              <w:jc w:val="center"/>
              <w:spacing w:after="0"/>
              <w:rPr>
                <w:sz w:val="20"/>
                <w:szCs w:val="20"/>
                <w:color w:val="auto"/>
              </w:rPr>
            </w:pPr>
            <w:r>
              <w:rPr>
                <w:rFonts w:ascii="Times New Roman" w:cs="Times New Roman" w:eastAsia="Times New Roman" w:hAnsi="Times New Roman"/>
                <w:sz w:val="22"/>
                <w:szCs w:val="22"/>
                <w:color w:val="auto"/>
                <w:w w:val="99"/>
              </w:rPr>
              <w:t>specific</w:t>
            </w:r>
          </w:p>
        </w:tc>
        <w:tc>
          <w:tcPr>
            <w:tcW w:w="92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to  this</w:t>
            </w:r>
          </w:p>
        </w:tc>
        <w:tc>
          <w:tcPr>
            <w:tcW w:w="0" w:type="dxa"/>
            <w:vAlign w:val="bottom"/>
          </w:tcPr>
          <w:p>
            <w:pPr>
              <w:spacing w:after="0"/>
              <w:rPr>
                <w:sz w:val="1"/>
                <w:szCs w:val="1"/>
                <w:color w:val="auto"/>
              </w:rPr>
            </w:pPr>
          </w:p>
        </w:tc>
      </w:tr>
      <w:tr>
        <w:trPr>
          <w:trHeight w:val="253"/>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or characteristics</w:t>
            </w:r>
          </w:p>
        </w:tc>
        <w:tc>
          <w:tcPr>
            <w:tcW w:w="262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color w:val="auto"/>
              </w:rPr>
              <w:t>control does not appear on</w:t>
            </w:r>
          </w:p>
        </w:tc>
        <w:tc>
          <w:tcPr>
            <w:tcW w:w="0" w:type="dxa"/>
            <w:vAlign w:val="bottom"/>
          </w:tcPr>
          <w:p>
            <w:pPr>
              <w:spacing w:after="0"/>
              <w:rPr>
                <w:sz w:val="1"/>
                <w:szCs w:val="1"/>
                <w:color w:val="auto"/>
              </w:rPr>
            </w:pPr>
          </w:p>
        </w:tc>
      </w:tr>
      <w:tr>
        <w:trPr>
          <w:trHeight w:val="253"/>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controlled by</w:t>
            </w:r>
          </w:p>
        </w:tc>
        <w:tc>
          <w:tcPr>
            <w:tcW w:w="5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the</w:t>
            </w:r>
          </w:p>
        </w:tc>
        <w:tc>
          <w:tcPr>
            <w:tcW w:w="1120" w:type="dxa"/>
            <w:vAlign w:val="bottom"/>
            <w:gridSpan w:val="2"/>
          </w:tcPr>
          <w:p>
            <w:pPr>
              <w:spacing w:after="0"/>
              <w:rPr>
                <w:sz w:val="20"/>
                <w:szCs w:val="20"/>
                <w:color w:val="auto"/>
              </w:rPr>
            </w:pPr>
            <w:r>
              <w:rPr>
                <w:rFonts w:ascii="Times New Roman" w:cs="Times New Roman" w:eastAsia="Times New Roman" w:hAnsi="Times New Roman"/>
                <w:sz w:val="22"/>
                <w:szCs w:val="22"/>
                <w:color w:val="auto"/>
              </w:rPr>
              <w:t>Commerce</w:t>
            </w:r>
          </w:p>
        </w:tc>
        <w:tc>
          <w:tcPr>
            <w:tcW w:w="92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Country</w:t>
            </w:r>
          </w:p>
        </w:tc>
        <w:tc>
          <w:tcPr>
            <w:tcW w:w="0" w:type="dxa"/>
            <w:vAlign w:val="bottom"/>
          </w:tcPr>
          <w:p>
            <w:pPr>
              <w:spacing w:after="0"/>
              <w:rPr>
                <w:sz w:val="1"/>
                <w:szCs w:val="1"/>
                <w:color w:val="auto"/>
              </w:rPr>
            </w:pPr>
          </w:p>
        </w:tc>
      </w:tr>
      <w:tr>
        <w:trPr>
          <w:trHeight w:val="253"/>
        </w:trPr>
        <w:tc>
          <w:tcPr>
            <w:tcW w:w="20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5A001.f.1</w:t>
            </w:r>
          </w:p>
        </w:tc>
        <w:tc>
          <w:tcPr>
            <w:tcW w:w="580" w:type="dxa"/>
            <w:vAlign w:val="bottom"/>
          </w:tcPr>
          <w:p>
            <w:pPr>
              <w:ind w:left="100"/>
              <w:spacing w:after="0"/>
              <w:rPr>
                <w:sz w:val="20"/>
                <w:szCs w:val="20"/>
                <w:color w:val="auto"/>
              </w:rPr>
            </w:pPr>
            <w:r>
              <w:rPr>
                <w:rFonts w:ascii="Times New Roman" w:cs="Times New Roman" w:eastAsia="Times New Roman" w:hAnsi="Times New Roman"/>
                <w:sz w:val="22"/>
                <w:szCs w:val="22"/>
                <w:color w:val="auto"/>
                <w:w w:val="93"/>
              </w:rPr>
              <w:t>Chart</w:t>
            </w:r>
          </w:p>
        </w:tc>
        <w:tc>
          <w:tcPr>
            <w:tcW w:w="1700" w:type="dxa"/>
            <w:vAlign w:val="bottom"/>
            <w:gridSpan w:val="3"/>
          </w:tcPr>
          <w:p>
            <w:pPr>
              <w:ind w:left="120"/>
              <w:spacing w:after="0"/>
              <w:rPr>
                <w:sz w:val="20"/>
                <w:szCs w:val="20"/>
                <w:color w:val="auto"/>
              </w:rPr>
            </w:pPr>
            <w:r>
              <w:rPr>
                <w:rFonts w:ascii="Times New Roman" w:cs="Times New Roman" w:eastAsia="Times New Roman" w:hAnsi="Times New Roman"/>
                <w:sz w:val="22"/>
                <w:szCs w:val="22"/>
                <w:color w:val="auto"/>
              </w:rPr>
              <w:t>(Supplement No.</w:t>
            </w:r>
          </w:p>
        </w:tc>
        <w:tc>
          <w:tcPr>
            <w:tcW w:w="3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1</w:t>
            </w:r>
          </w:p>
        </w:tc>
        <w:tc>
          <w:tcPr>
            <w:tcW w:w="0" w:type="dxa"/>
            <w:vAlign w:val="bottom"/>
          </w:tcPr>
          <w:p>
            <w:pPr>
              <w:spacing w:after="0"/>
              <w:rPr>
                <w:sz w:val="1"/>
                <w:szCs w:val="1"/>
                <w:color w:val="auto"/>
              </w:rPr>
            </w:pPr>
          </w:p>
        </w:tc>
      </w:tr>
      <w:tr>
        <w:trPr>
          <w:trHeight w:val="286"/>
        </w:trPr>
        <w:tc>
          <w:tcPr>
            <w:tcW w:w="2020" w:type="dxa"/>
            <w:vAlign w:val="bottom"/>
            <w:tcBorders>
              <w:left w:val="single" w:sz="8" w:color="auto"/>
              <w:right w:val="single" w:sz="8" w:color="auto"/>
            </w:tcBorders>
          </w:tcPr>
          <w:p>
            <w:pPr>
              <w:spacing w:after="0"/>
              <w:rPr>
                <w:sz w:val="24"/>
                <w:szCs w:val="24"/>
                <w:color w:val="auto"/>
              </w:rPr>
            </w:pPr>
          </w:p>
        </w:tc>
        <w:tc>
          <w:tcPr>
            <w:tcW w:w="2280" w:type="dxa"/>
            <w:vAlign w:val="bottom"/>
            <w:gridSpan w:val="4"/>
          </w:tcPr>
          <w:p>
            <w:pPr>
              <w:ind w:left="100"/>
              <w:spacing w:after="0"/>
              <w:rPr>
                <w:sz w:val="20"/>
                <w:szCs w:val="20"/>
                <w:color w:val="auto"/>
              </w:rPr>
            </w:pPr>
            <w:r>
              <w:rPr>
                <w:rFonts w:ascii="Times New Roman" w:cs="Times New Roman" w:eastAsia="Times New Roman" w:hAnsi="Times New Roman"/>
                <w:sz w:val="22"/>
                <w:szCs w:val="22"/>
                <w:color w:val="auto"/>
              </w:rPr>
              <w:t>to Part 738 of the EAR).</w:t>
            </w:r>
          </w:p>
        </w:tc>
        <w:tc>
          <w:tcPr>
            <w:tcW w:w="34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90"/>
        </w:trPr>
        <w:tc>
          <w:tcPr>
            <w:tcW w:w="2020" w:type="dxa"/>
            <w:vAlign w:val="bottom"/>
            <w:tcBorders>
              <w:left w:val="single" w:sz="8" w:color="auto"/>
              <w:bottom w:val="single" w:sz="8" w:color="auto"/>
              <w:right w:val="single" w:sz="8" w:color="auto"/>
            </w:tcBorders>
          </w:tcPr>
          <w:p>
            <w:pPr>
              <w:spacing w:after="0"/>
              <w:rPr>
                <w:sz w:val="24"/>
                <w:szCs w:val="24"/>
                <w:color w:val="auto"/>
              </w:rPr>
            </w:pPr>
          </w:p>
        </w:tc>
        <w:tc>
          <w:tcPr>
            <w:tcW w:w="580" w:type="dxa"/>
            <w:vAlign w:val="bottom"/>
            <w:tcBorders>
              <w:bottom w:val="single" w:sz="8" w:color="auto"/>
            </w:tcBorders>
          </w:tcPr>
          <w:p>
            <w:pPr>
              <w:ind w:left="100"/>
              <w:spacing w:after="0"/>
              <w:rPr>
                <w:sz w:val="20"/>
                <w:szCs w:val="20"/>
                <w:color w:val="auto"/>
              </w:rPr>
            </w:pPr>
            <w:r>
              <w:rPr>
                <w:rFonts w:ascii="Times New Roman" w:cs="Times New Roman" w:eastAsia="Times New Roman" w:hAnsi="Times New Roman"/>
                <w:sz w:val="22"/>
                <w:szCs w:val="22"/>
                <w:b w:val="1"/>
                <w:bCs w:val="1"/>
                <w:i w:val="1"/>
                <w:iCs w:val="1"/>
                <w:color w:val="auto"/>
              </w:rPr>
              <w:t>Note</w:t>
            </w:r>
          </w:p>
        </w:tc>
        <w:tc>
          <w:tcPr>
            <w:tcW w:w="320" w:type="dxa"/>
            <w:vAlign w:val="bottom"/>
            <w:tcBorders>
              <w:bottom w:val="single" w:sz="8" w:color="auto"/>
            </w:tcBorders>
          </w:tcPr>
          <w:p>
            <w:pPr>
              <w:ind w:left="120"/>
              <w:spacing w:after="0"/>
              <w:rPr>
                <w:sz w:val="20"/>
                <w:szCs w:val="20"/>
                <w:color w:val="auto"/>
              </w:rPr>
            </w:pPr>
            <w:r>
              <w:rPr>
                <w:rFonts w:ascii="Times New Roman" w:cs="Times New Roman" w:eastAsia="Times New Roman" w:hAnsi="Times New Roman"/>
                <w:sz w:val="22"/>
                <w:szCs w:val="22"/>
                <w:b w:val="1"/>
                <w:bCs w:val="1"/>
                <w:i w:val="1"/>
                <w:iCs w:val="1"/>
                <w:color w:val="auto"/>
              </w:rPr>
              <w:t>to</w:t>
            </w:r>
          </w:p>
        </w:tc>
        <w:tc>
          <w:tcPr>
            <w:tcW w:w="1720" w:type="dxa"/>
            <w:vAlign w:val="bottom"/>
            <w:tcBorders>
              <w:bottom w:val="single" w:sz="8" w:color="auto"/>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b w:val="1"/>
                <w:bCs w:val="1"/>
                <w:i w:val="1"/>
                <w:iCs w:val="1"/>
                <w:color w:val="auto"/>
              </w:rPr>
              <w:t>SL  paragraph</w:t>
            </w:r>
            <w:r>
              <w:rPr>
                <w:rFonts w:ascii="Times New Roman" w:cs="Times New Roman" w:eastAsia="Times New Roman" w:hAnsi="Times New Roman"/>
                <w:sz w:val="22"/>
                <w:szCs w:val="22"/>
                <w:i w:val="1"/>
                <w:iCs w:val="1"/>
                <w:color w:val="auto"/>
              </w:rPr>
              <w:t>:</w:t>
            </w: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2">
            <w:col w:w="4440" w:space="480"/>
            <w:col w:w="4620"/>
          </w:cols>
          <w:pgMar w:left="1440" w:top="1422" w:right="1260" w:bottom="892" w:gutter="0" w:footer="0" w:header="0"/>
          <w:type w:val="continuous"/>
        </w:sectPr>
      </w:pPr>
    </w:p>
    <w:p>
      <w:pPr>
        <w:spacing w:after="0" w:line="156" w:lineRule="exact"/>
        <w:rPr>
          <w:sz w:val="20"/>
          <w:szCs w:val="20"/>
          <w:color w:val="auto"/>
        </w:rPr>
      </w:pPr>
    </w:p>
    <w:p>
      <w:pPr>
        <w:spacing w:after="0"/>
        <w:tabs>
          <w:tab w:leader="none" w:pos="3400" w:val="left"/>
          <w:tab w:leader="none" w:pos="80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October 24, 2018</w:t>
      </w:r>
    </w:p>
    <w:sectPr>
      <w:pgSz w:w="12240" w:h="15840" w:orient="portrait"/>
      <w:cols w:equalWidth="0" w:num="1">
        <w:col w:w="9540"/>
      </w:cols>
      <w:pgMar w:left="1440" w:top="1422" w:right="1260" w:bottom="892"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1F16E9E8"/>
    <w:multiLevelType w:val="hybridMultilevel"/>
    <w:lvl w:ilvl="0">
      <w:lvlJc w:val="left"/>
      <w:lvlText w:val="%1."/>
      <w:numFmt w:val="decimal"/>
      <w:start w:val="1"/>
    </w:lvl>
  </w:abstractNum>
  <w:abstractNum w:abstractNumId="1">
    <w:nsid w:val="1190CDE7"/>
    <w:multiLevelType w:val="hybridMultilevel"/>
    <w:lvl w:ilvl="0">
      <w:lvlJc w:val="left"/>
      <w:lvlText w:val="%1."/>
      <w:numFmt w:val="decimal"/>
      <w:start w:val="2"/>
    </w:lvl>
    <w:lvl w:ilvl="1">
      <w:lvlJc w:val="left"/>
      <w:lvlText w:val="%2."/>
      <w:numFmt w:val="upperLetter"/>
      <w:start w:val="1"/>
    </w:lvl>
  </w:abstractNum>
  <w:abstractNum w:abstractNumId="2">
    <w:nsid w:val="66EF438D"/>
    <w:multiLevelType w:val="hybridMultilevel"/>
    <w:lvl w:ilvl="0">
      <w:lvlJc w:val="left"/>
      <w:lvlText w:val="(%1)"/>
      <w:numFmt w:val="decimal"/>
      <w:start w:val="2"/>
    </w:lvl>
  </w:abstractNum>
  <w:abstractNum w:abstractNumId="3">
    <w:nsid w:val="140E0F76"/>
    <w:multiLevelType w:val="hybridMultilevel"/>
    <w:lvl w:ilvl="0">
      <w:lvlJc w:val="left"/>
      <w:lvlText w:val="%1."/>
      <w:numFmt w:val="lowerLetter"/>
      <w:start w:val="2"/>
    </w:lvl>
  </w:abstractNum>
  <w:abstractNum w:abstractNumId="4">
    <w:nsid w:val="3352255A"/>
    <w:multiLevelType w:val="hybridMultilevel"/>
    <w:lvl w:ilvl="0">
      <w:lvlJc w:val="left"/>
      <w:lvlText w:val="%1"/>
      <w:numFmt w:val="lowerLetter"/>
      <w:start w:val="1"/>
    </w:lvl>
    <w:lvl w:ilvl="1">
      <w:lvlJc w:val="left"/>
      <w:lvlText w:val="%2."/>
      <w:numFmt w:val="decimal"/>
      <w:start w:val="1"/>
    </w:lvl>
  </w:abstractNum>
  <w:abstractNum w:abstractNumId="5">
    <w:nsid w:val="109CF92E"/>
    <w:multiLevelType w:val="hybridMultilevel"/>
    <w:lvl w:ilvl="0">
      <w:lvlJc w:val="left"/>
      <w:lvlText w:val="%1."/>
      <w:numFmt w:val="lowerLetter"/>
      <w:start w:val="3"/>
    </w:lvl>
    <w:lvl w:ilvl="1">
      <w:lvlJc w:val="left"/>
      <w:lvlText w:val="%2"/>
      <w:numFmt w:val="decimal"/>
      <w:start w:val="1"/>
    </w:lvl>
  </w:abstractNum>
  <w:abstractNum w:abstractNumId="6">
    <w:nsid w:val="DED7263"/>
    <w:multiLevelType w:val="hybridMultilevel"/>
    <w:lvl w:ilvl="0">
      <w:lvlJc w:val="left"/>
      <w:lvlText w:val="%1."/>
      <w:numFmt w:val="lowerLetter"/>
      <w:start w:val="2"/>
    </w:lvl>
  </w:abstractNum>
  <w:abstractNum w:abstractNumId="7">
    <w:nsid w:val="7FDCC233"/>
    <w:multiLevelType w:val="hybridMultilevel"/>
    <w:lvl w:ilvl="0">
      <w:lvlJc w:val="left"/>
      <w:lvlText w:val="%1."/>
      <w:numFmt w:val="lowerLetter"/>
      <w:start w:val="5"/>
    </w:lvl>
  </w:abstractNum>
  <w:abstractNum w:abstractNumId="8">
    <w:nsid w:val="1BEFD79F"/>
    <w:multiLevelType w:val="hybridMultilevel"/>
    <w:lvl w:ilvl="0">
      <w:lvlJc w:val="left"/>
      <w:lvlText w:val="%1."/>
      <w:numFmt w:val="lowerLetter"/>
      <w:start w:val="6"/>
    </w:lvl>
  </w:abstractNum>
  <w:abstractNum w:abstractNumId="9">
    <w:nsid w:val="41A7C4C9"/>
    <w:multiLevelType w:val="hybridMultilevel"/>
    <w:lvl w:ilvl="0">
      <w:lvlJc w:val="left"/>
      <w:lvlText w:val="%1."/>
      <w:numFmt w:val="lowerLetter"/>
      <w:start w:val="1"/>
    </w:lvl>
  </w:abstractNum>
  <w:abstractNum w:abstractNumId="10">
    <w:nsid w:val="6B68079A"/>
    <w:multiLevelType w:val="hybridMultilevel"/>
    <w:lvl w:ilvl="0">
      <w:lvlJc w:val="left"/>
      <w:lvlText w:val="%1"/>
      <w:numFmt w:val="lowerLetter"/>
      <w:start w:val="1"/>
    </w:lvl>
    <w:lvl w:ilvl="1">
      <w:lvlJc w:val="left"/>
      <w:lvlText w:val="%2."/>
      <w:numFmt w:val="lowerLetter"/>
      <w:start w:val="2"/>
    </w:lvl>
  </w:abstractNum>
  <w:abstractNum w:abstractNumId="11">
    <w:nsid w:val="4E6AFB66"/>
    <w:multiLevelType w:val="hybridMultilevel"/>
    <w:lvl w:ilvl="0">
      <w:lvlJc w:val="left"/>
      <w:lvlText w:val="%1."/>
      <w:numFmt w:val="lowerLetter"/>
      <w:start w:val="8"/>
    </w:lvl>
    <w:lvl w:ilvl="1">
      <w:lvlJc w:val="left"/>
      <w:lvlText w:val="%2"/>
      <w:numFmt w:val="lowerLetter"/>
      <w:start w:val="1"/>
    </w:lvl>
  </w:abstractNum>
  <w:abstractNum w:abstractNumId="12">
    <w:nsid w:val="25E45D32"/>
    <w:multiLevelType w:val="hybridMultilevel"/>
    <w:lvl w:ilvl="0">
      <w:lvlJc w:val="left"/>
      <w:lvlText w:val="%1."/>
      <w:numFmt w:val="lowerRoman"/>
      <w:start w:val="1"/>
    </w:lvl>
  </w:abstractNum>
  <w:abstractNum w:abstractNumId="13">
    <w:nsid w:val="519B500D"/>
    <w:multiLevelType w:val="hybridMultilevel"/>
    <w:lvl w:ilvl="0">
      <w:lvlJc w:val="left"/>
      <w:lvlText w:val="%1."/>
      <w:numFmt w:val="decimal"/>
      <w:start w:val="1"/>
    </w:lvl>
  </w:abstractNum>
  <w:abstractNum w:abstractNumId="14">
    <w:nsid w:val="431BD7B7"/>
    <w:multiLevelType w:val="hybridMultilevel"/>
    <w:lvl w:ilvl="0">
      <w:lvlJc w:val="left"/>
      <w:lvlText w:val="%1."/>
      <w:numFmt w:val="lowerLetter"/>
      <w:start w:val="1"/>
    </w:lvl>
  </w:abstractNum>
  <w:abstractNum w:abstractNumId="15">
    <w:nsid w:val="3F2DBA31"/>
    <w:multiLevelType w:val="hybridMultilevel"/>
    <w:lvl w:ilvl="0">
      <w:lvlJc w:val="left"/>
      <w:lvlText w:val="%1."/>
      <w:numFmt w:val="lowerLetter"/>
      <w:start w:val="1"/>
    </w:lvl>
    <w:lvl w:ilvl="1">
      <w:lvlJc w:val="left"/>
      <w:lvlText w:val="%2."/>
      <w:numFmt w:val="decimal"/>
      <w:start w:val="1"/>
    </w:lvl>
  </w:abstractNum>
  <w:abstractNum w:abstractNumId="16">
    <w:nsid w:val="7C83E458"/>
    <w:multiLevelType w:val="hybridMultilevel"/>
    <w:lvl w:ilvl="0">
      <w:lvlJc w:val="left"/>
      <w:lvlText w:val="%1."/>
      <w:numFmt w:val="decimal"/>
      <w:start w:val="1"/>
    </w:lvl>
  </w:abstractNum>
  <w:abstractNum w:abstractNumId="17">
    <w:nsid w:val="257130A3"/>
    <w:multiLevelType w:val="hybridMultilevel"/>
    <w:lvl w:ilvl="0">
      <w:lvlJc w:val="left"/>
      <w:lvlText w:val="%1."/>
      <w:numFmt w:val="decimal"/>
      <w:start w:val="1"/>
    </w:lvl>
  </w:abstractNum>
  <w:abstractNum w:abstractNumId="18">
    <w:nsid w:val="62BBD95A"/>
    <w:multiLevelType w:val="hybridMultilevel"/>
    <w:lvl w:ilvl="0">
      <w:lvlJc w:val="left"/>
      <w:lvlText w:val="%1."/>
      <w:numFmt w:val="lowerLetter"/>
      <w:start w:val="3"/>
    </w:lvl>
  </w:abstractNum>
  <w:abstractNum w:abstractNumId="19">
    <w:nsid w:val="436C6125"/>
    <w:multiLevelType w:val="hybridMultilevel"/>
    <w:lvl w:ilvl="0">
      <w:lvlJc w:val="left"/>
      <w:lvlText w:val="%1."/>
      <w:numFmt w:val="lowerLetter"/>
      <w:start w:val="4"/>
    </w:lvl>
  </w:abstractNum>
  <w:abstractNum w:abstractNumId="20">
    <w:nsid w:val="628C895D"/>
    <w:multiLevelType w:val="hybridMultilevel"/>
    <w:lvl w:ilvl="0">
      <w:lvlJc w:val="left"/>
      <w:lvlText w:val="%1."/>
      <w:numFmt w:val="lowerLetter"/>
      <w:start w:val="6"/>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2020-05-27T05:27:22Z</dcterms:created>
  <dcterms:modified xsi:type="dcterms:W3CDTF">2020-05-27T05:27:22Z</dcterms:modified>
</cp:coreProperties>
</file>