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ps="http://schemas.microsoft.com/office/word/2010/wordprocessingShape">
  <w:body>
    <w:bookmarkStart w:id="0" w:name="page1"/>
    <w:bookmarkEnd w:id="0"/>
    <w:p>
      <w:pPr>
        <w:spacing w:after="0"/>
        <w:tabs>
          <w:tab w:leader="none" w:pos="3540" w:val="left"/>
          <w:tab w:leader="none" w:pos="66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Info. Security—page 1</w:t>
      </w:r>
    </w:p>
    <w:p>
      <w:pPr>
        <w:sectPr>
          <w:pgSz w:w="12240" w:h="15840" w:orient="portrait"/>
          <w:cols w:equalWidth="0" w:num="1">
            <w:col w:w="9360"/>
          </w:cols>
          <w:pgMar w:left="1440" w:top="1422" w:right="1440" w:bottom="892" w:gutter="0" w:footer="0" w:header="0"/>
        </w:sectPr>
      </w:pPr>
    </w:p>
    <w:p>
      <w:pPr>
        <w:spacing w:after="0" w:line="210" w:lineRule="exact"/>
        <w:rPr>
          <w:sz w:val="24"/>
          <w:szCs w:val="24"/>
          <w:color w:val="auto"/>
        </w:rPr>
      </w:pPr>
    </w:p>
    <w:p>
      <w:pPr>
        <w:ind w:right="14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CATEGORY 5 – TELECOMMUNICATIONS AND “INFORMATION SECURITY”</w:t>
      </w:r>
    </w:p>
    <w:p>
      <w:pPr>
        <w:spacing w:after="0" w:line="177" w:lineRule="exact"/>
        <w:rPr>
          <w:sz w:val="24"/>
          <w:szCs w:val="24"/>
          <w:color w:val="auto"/>
        </w:rPr>
      </w:pPr>
    </w:p>
    <w:p>
      <w:pPr>
        <w:ind w:left="300"/>
        <w:spacing w:after="0"/>
        <w:rPr>
          <w:sz w:val="20"/>
          <w:szCs w:val="20"/>
          <w:color w:val="auto"/>
        </w:rPr>
      </w:pPr>
      <w:r>
        <w:rPr>
          <w:rFonts w:ascii="Times New Roman" w:cs="Times New Roman" w:eastAsia="Times New Roman" w:hAnsi="Times New Roman"/>
          <w:sz w:val="22"/>
          <w:szCs w:val="22"/>
          <w:b w:val="1"/>
          <w:bCs w:val="1"/>
          <w:i w:val="1"/>
          <w:iCs w:val="1"/>
          <w:color w:val="auto"/>
        </w:rPr>
        <w:t>Part 2 – “INFORMATION SECURITY”</w:t>
      </w:r>
    </w:p>
    <w:p>
      <w:pPr>
        <w:spacing w:after="0" w:line="200" w:lineRule="exact"/>
        <w:rPr>
          <w:sz w:val="24"/>
          <w:szCs w:val="24"/>
          <w:color w:val="auto"/>
        </w:rPr>
      </w:pPr>
    </w:p>
    <w:p>
      <w:pPr>
        <w:spacing w:after="0" w:line="307" w:lineRule="exact"/>
        <w:rPr>
          <w:sz w:val="24"/>
          <w:szCs w:val="24"/>
          <w:color w:val="auto"/>
        </w:rPr>
      </w:pPr>
    </w:p>
    <w:p>
      <w:pPr>
        <w:ind w:left="360"/>
        <w:spacing w:after="0"/>
        <w:rPr>
          <w:sz w:val="20"/>
          <w:szCs w:val="20"/>
          <w:color w:val="auto"/>
        </w:rPr>
      </w:pPr>
      <w:r>
        <w:rPr>
          <w:rFonts w:ascii="Times New Roman" w:cs="Times New Roman" w:eastAsia="Times New Roman" w:hAnsi="Times New Roman"/>
          <w:sz w:val="22"/>
          <w:szCs w:val="22"/>
          <w:b w:val="1"/>
          <w:bCs w:val="1"/>
          <w:i w:val="1"/>
          <w:iCs w:val="1"/>
          <w:color w:val="auto"/>
        </w:rPr>
        <w:t xml:space="preserve">Note 1: </w:t>
      </w:r>
      <w:r>
        <w:rPr>
          <w:rFonts w:ascii="Times New Roman" w:cs="Times New Roman" w:eastAsia="Times New Roman" w:hAnsi="Times New Roman"/>
          <w:sz w:val="22"/>
          <w:szCs w:val="22"/>
          <w:i w:val="1"/>
          <w:iCs w:val="1"/>
          <w:color w:val="auto"/>
        </w:rPr>
        <w:t>[RESERVED]</w:t>
      </w:r>
    </w:p>
    <w:p>
      <w:pPr>
        <w:spacing w:after="0" w:line="252" w:lineRule="exact"/>
        <w:rPr>
          <w:sz w:val="24"/>
          <w:szCs w:val="24"/>
          <w:color w:val="auto"/>
        </w:rPr>
      </w:pPr>
    </w:p>
    <w:p>
      <w:pPr>
        <w:jc w:val="both"/>
        <w:ind w:firstLine="415"/>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2: </w:t>
      </w:r>
      <w:r>
        <w:rPr>
          <w:rFonts w:ascii="Times New Roman" w:cs="Times New Roman" w:eastAsia="Times New Roman" w:hAnsi="Times New Roman"/>
          <w:sz w:val="22"/>
          <w:szCs w:val="22"/>
          <w:i w:val="1"/>
          <w:iCs w:val="1"/>
          <w:color w:val="auto"/>
        </w:rPr>
        <w:t>Category 5</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̶Part 2, “information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security” products, when accompanying their user for the user's personal use or as tools of trade, are eligible for License Exceptions TMP or BAG, subject to the terms and conditions of these license exceptions.</w:t>
      </w:r>
    </w:p>
    <w:p>
      <w:pPr>
        <w:spacing w:after="0" w:line="209" w:lineRule="exact"/>
        <w:rPr>
          <w:sz w:val="24"/>
          <w:szCs w:val="24"/>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3: </w:t>
      </w:r>
      <w:r>
        <w:rPr>
          <w:rFonts w:ascii="Times New Roman" w:cs="Times New Roman" w:eastAsia="Times New Roman" w:hAnsi="Times New Roman"/>
          <w:sz w:val="22"/>
          <w:szCs w:val="22"/>
          <w:i w:val="1"/>
          <w:iCs w:val="1"/>
          <w:color w:val="auto"/>
        </w:rPr>
        <w:t>Cryptography Note: ECCNs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5A002, 5D002.a.1, .b, and .c.1, do not control items as follows:</w:t>
      </w:r>
    </w:p>
    <w:p>
      <w:pPr>
        <w:spacing w:after="0" w:line="196" w:lineRule="exact"/>
        <w:rPr>
          <w:sz w:val="24"/>
          <w:szCs w:val="24"/>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a</w:t>
      </w:r>
      <w:r>
        <w:rPr>
          <w:rFonts w:ascii="Times New Roman" w:cs="Times New Roman" w:eastAsia="Times New Roman" w:hAnsi="Times New Roman"/>
          <w:sz w:val="22"/>
          <w:szCs w:val="22"/>
          <w:i w:val="1"/>
          <w:iCs w:val="1"/>
          <w:color w:val="auto"/>
        </w:rPr>
        <w:t>. Items meeting all of the following:</w:t>
      </w:r>
    </w:p>
    <w:p>
      <w:pPr>
        <w:spacing w:after="0" w:line="255" w:lineRule="exact"/>
        <w:rPr>
          <w:sz w:val="24"/>
          <w:szCs w:val="24"/>
          <w:color w:val="auto"/>
        </w:rPr>
      </w:pPr>
    </w:p>
    <w:p>
      <w:pPr>
        <w:ind w:right="140" w:firstLine="180"/>
        <w:spacing w:after="0" w:line="257" w:lineRule="auto"/>
        <w:tabs>
          <w:tab w:leader="none" w:pos="456" w:val="left"/>
        </w:tabs>
        <w:numPr>
          <w:ilvl w:val="0"/>
          <w:numId w:val="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Generally available to the public by being sold, without restriction, from stock at retail selling points by means of any of the following:</w:t>
      </w:r>
    </w:p>
    <w:p>
      <w:pPr>
        <w:spacing w:after="0" w:line="198" w:lineRule="exact"/>
        <w:rPr>
          <w:rFonts w:ascii="Times New Roman" w:cs="Times New Roman" w:eastAsia="Times New Roman" w:hAnsi="Times New Roman"/>
          <w:sz w:val="22"/>
          <w:szCs w:val="22"/>
          <w:i w:val="1"/>
          <w:iCs w:val="1"/>
          <w:color w:val="auto"/>
        </w:rPr>
      </w:pPr>
    </w:p>
    <w:p>
      <w:pPr>
        <w:ind w:left="640" w:hanging="280"/>
        <w:spacing w:after="0"/>
        <w:tabs>
          <w:tab w:leader="none" w:pos="640" w:val="left"/>
        </w:tabs>
        <w:numPr>
          <w:ilvl w:val="1"/>
          <w:numId w:val="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Over-the-counter transactions;</w:t>
      </w:r>
    </w:p>
    <w:p>
      <w:pPr>
        <w:spacing w:after="0" w:line="253" w:lineRule="exact"/>
        <w:rPr>
          <w:rFonts w:ascii="Times New Roman" w:cs="Times New Roman" w:eastAsia="Times New Roman" w:hAnsi="Times New Roman"/>
          <w:sz w:val="22"/>
          <w:szCs w:val="22"/>
          <w:i w:val="1"/>
          <w:iCs w:val="1"/>
          <w:color w:val="auto"/>
        </w:rPr>
      </w:pPr>
    </w:p>
    <w:p>
      <w:pPr>
        <w:ind w:left="640" w:hanging="280"/>
        <w:spacing w:after="0"/>
        <w:tabs>
          <w:tab w:leader="none" w:pos="640" w:val="left"/>
        </w:tabs>
        <w:numPr>
          <w:ilvl w:val="1"/>
          <w:numId w:val="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Mail order transactions;</w:t>
      </w:r>
    </w:p>
    <w:p>
      <w:pPr>
        <w:spacing w:after="0" w:line="252" w:lineRule="exact"/>
        <w:rPr>
          <w:rFonts w:ascii="Times New Roman" w:cs="Times New Roman" w:eastAsia="Times New Roman" w:hAnsi="Times New Roman"/>
          <w:sz w:val="22"/>
          <w:szCs w:val="22"/>
          <w:i w:val="1"/>
          <w:iCs w:val="1"/>
          <w:color w:val="auto"/>
        </w:rPr>
      </w:pPr>
    </w:p>
    <w:p>
      <w:pPr>
        <w:ind w:left="620" w:hanging="260"/>
        <w:spacing w:after="0"/>
        <w:tabs>
          <w:tab w:leader="none" w:pos="620" w:val="left"/>
        </w:tabs>
        <w:numPr>
          <w:ilvl w:val="1"/>
          <w:numId w:val="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Electronic transactions; </w:t>
      </w:r>
      <w:r>
        <w:rPr>
          <w:rFonts w:ascii="Times New Roman" w:cs="Times New Roman" w:eastAsia="Times New Roman" w:hAnsi="Times New Roman"/>
          <w:sz w:val="22"/>
          <w:szCs w:val="22"/>
          <w:i w:val="1"/>
          <w:iCs w:val="1"/>
          <w:u w:val="single" w:color="auto"/>
          <w:color w:val="auto"/>
        </w:rPr>
        <w:t>or</w:t>
      </w:r>
    </w:p>
    <w:p>
      <w:pPr>
        <w:spacing w:after="0" w:line="253" w:lineRule="exact"/>
        <w:rPr>
          <w:rFonts w:ascii="Times New Roman" w:cs="Times New Roman" w:eastAsia="Times New Roman" w:hAnsi="Times New Roman"/>
          <w:sz w:val="22"/>
          <w:szCs w:val="22"/>
          <w:i w:val="1"/>
          <w:iCs w:val="1"/>
          <w:color w:val="auto"/>
        </w:rPr>
      </w:pPr>
    </w:p>
    <w:p>
      <w:pPr>
        <w:ind w:left="640" w:hanging="280"/>
        <w:spacing w:after="0"/>
        <w:tabs>
          <w:tab w:leader="none" w:pos="640" w:val="left"/>
        </w:tabs>
        <w:numPr>
          <w:ilvl w:val="1"/>
          <w:numId w:val="1"/>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Telephone call transactions;</w:t>
      </w:r>
    </w:p>
    <w:p>
      <w:pPr>
        <w:spacing w:after="0" w:line="253" w:lineRule="exact"/>
        <w:rPr>
          <w:rFonts w:ascii="Times New Roman" w:cs="Times New Roman" w:eastAsia="Times New Roman" w:hAnsi="Times New Roman"/>
          <w:sz w:val="22"/>
          <w:szCs w:val="22"/>
          <w:i w:val="1"/>
          <w:iCs w:val="1"/>
          <w:color w:val="auto"/>
        </w:rPr>
      </w:pPr>
    </w:p>
    <w:p>
      <w:pPr>
        <w:ind w:firstLine="180"/>
        <w:spacing w:after="0" w:line="274" w:lineRule="auto"/>
        <w:tabs>
          <w:tab w:leader="none" w:pos="506" w:val="left"/>
        </w:tabs>
        <w:numPr>
          <w:ilvl w:val="0"/>
          <w:numId w:val="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The cryptographic functionality cannot be easily changed by the user;</w:t>
      </w:r>
    </w:p>
    <w:p>
      <w:pPr>
        <w:spacing w:after="0" w:line="180" w:lineRule="exact"/>
        <w:rPr>
          <w:rFonts w:ascii="Times New Roman" w:cs="Times New Roman" w:eastAsia="Times New Roman" w:hAnsi="Times New Roman"/>
          <w:sz w:val="22"/>
          <w:szCs w:val="22"/>
          <w:b w:val="1"/>
          <w:bCs w:val="1"/>
          <w:i w:val="1"/>
          <w:iCs w:val="1"/>
          <w:color w:val="auto"/>
        </w:rPr>
      </w:pPr>
    </w:p>
    <w:p>
      <w:pPr>
        <w:jc w:val="both"/>
        <w:ind w:firstLine="180"/>
        <w:spacing w:after="0" w:line="257" w:lineRule="auto"/>
        <w:tabs>
          <w:tab w:leader="none" w:pos="517" w:val="left"/>
        </w:tabs>
        <w:numPr>
          <w:ilvl w:val="0"/>
          <w:numId w:val="1"/>
        </w:numPr>
        <w:rPr>
          <w:rFonts w:ascii="Times New Roman" w:cs="Times New Roman" w:eastAsia="Times New Roman" w:hAnsi="Times New Roman"/>
          <w:sz w:val="22"/>
          <w:szCs w:val="22"/>
          <w:b w:val="1"/>
          <w:bCs w:val="1"/>
          <w:i w:val="1"/>
          <w:iCs w:val="1"/>
          <w:color w:val="auto"/>
        </w:rPr>
      </w:pPr>
      <w:r>
        <w:rPr>
          <w:rFonts w:ascii="Times New Roman" w:cs="Times New Roman" w:eastAsia="Times New Roman" w:hAnsi="Times New Roman"/>
          <w:sz w:val="22"/>
          <w:szCs w:val="22"/>
          <w:i w:val="1"/>
          <w:iCs w:val="1"/>
          <w:color w:val="auto"/>
        </w:rPr>
        <w:t xml:space="preserve">Designed for installation by the user without further substantial support by the supplier; </w:t>
      </w:r>
      <w:r>
        <w:rPr>
          <w:rFonts w:ascii="Times New Roman" w:cs="Times New Roman" w:eastAsia="Times New Roman" w:hAnsi="Times New Roman"/>
          <w:sz w:val="22"/>
          <w:szCs w:val="22"/>
          <w:i w:val="1"/>
          <w:iCs w:val="1"/>
          <w:u w:val="single" w:color="auto"/>
          <w:color w:val="auto"/>
        </w:rPr>
        <w:t>and</w:t>
      </w:r>
    </w:p>
    <w:p>
      <w:pPr>
        <w:spacing w:after="0" w:line="200" w:lineRule="exact"/>
        <w:rPr>
          <w:sz w:val="24"/>
          <w:szCs w:val="24"/>
          <w:color w:val="auto"/>
        </w:rPr>
      </w:pPr>
    </w:p>
    <w:p>
      <w:pPr>
        <w:spacing w:after="0" w:line="250" w:lineRule="exact"/>
        <w:rPr>
          <w:sz w:val="24"/>
          <w:szCs w:val="24"/>
          <w:color w:val="auto"/>
        </w:rPr>
      </w:pPr>
    </w:p>
    <w:p>
      <w:pPr>
        <w:jc w:val="both"/>
        <w:ind w:firstLine="180"/>
        <w:spacing w:after="0" w:line="247" w:lineRule="auto"/>
        <w:rPr>
          <w:sz w:val="20"/>
          <w:szCs w:val="20"/>
          <w:color w:val="auto"/>
        </w:rPr>
      </w:pPr>
      <w:r>
        <w:rPr>
          <w:rFonts w:ascii="Times New Roman" w:cs="Times New Roman" w:eastAsia="Times New Roman" w:hAnsi="Times New Roman"/>
          <w:sz w:val="22"/>
          <w:szCs w:val="22"/>
          <w:b w:val="1"/>
          <w:bCs w:val="1"/>
          <w:i w:val="1"/>
          <w:iCs w:val="1"/>
          <w:color w:val="auto"/>
        </w:rPr>
        <w:t>4</w:t>
      </w:r>
      <w:r>
        <w:rPr>
          <w:rFonts w:ascii="Times New Roman" w:cs="Times New Roman" w:eastAsia="Times New Roman" w:hAnsi="Times New Roman"/>
          <w:sz w:val="22"/>
          <w:szCs w:val="22"/>
          <w:i w:val="1"/>
          <w:iCs w:val="1"/>
          <w:color w:val="auto"/>
        </w:rPr>
        <w:t>. When necessary, details of the items are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accessible and will be provided, upon request, to the appropriate authority in the exporter’s country in order to ascertain compliance with conditions described in paragraphs a.1 through a.3 of this Note;</w:t>
      </w:r>
    </w:p>
    <w:p>
      <w:pPr>
        <w:spacing w:after="0" w:line="20" w:lineRule="exact"/>
        <w:rPr>
          <w:sz w:val="24"/>
          <w:szCs w:val="24"/>
          <w:color w:val="auto"/>
        </w:rPr>
      </w:pPr>
      <w:r>
        <w:rPr>
          <w:sz w:val="24"/>
          <w:szCs w:val="24"/>
          <w:color w:val="auto"/>
        </w:rPr>
        <w:br w:type="column"/>
      </w:r>
    </w:p>
    <w:p>
      <w:pPr>
        <w:spacing w:after="0" w:line="200" w:lineRule="exact"/>
        <w:rPr>
          <w:sz w:val="24"/>
          <w:szCs w:val="24"/>
          <w:color w:val="auto"/>
        </w:rPr>
      </w:pPr>
    </w:p>
    <w:p>
      <w:pPr>
        <w:spacing w:after="0" w:line="243" w:lineRule="exact"/>
        <w:rPr>
          <w:sz w:val="24"/>
          <w:szCs w:val="24"/>
          <w:color w:val="auto"/>
        </w:rPr>
      </w:pPr>
    </w:p>
    <w:p>
      <w:pPr>
        <w:jc w:val="both"/>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b</w:t>
      </w:r>
      <w:r>
        <w:rPr>
          <w:rFonts w:ascii="Times New Roman" w:cs="Times New Roman" w:eastAsia="Times New Roman" w:hAnsi="Times New Roman"/>
          <w:sz w:val="22"/>
          <w:szCs w:val="22"/>
          <w:i w:val="1"/>
          <w:iCs w:val="1"/>
          <w:color w:val="auto"/>
        </w:rPr>
        <w:t>. Hardware components or ‘executable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software’, of existing items described in paragraph a. of this Note, that have been designed for these existing items, and meeting all of the following:</w:t>
      </w:r>
    </w:p>
    <w:p>
      <w:pPr>
        <w:spacing w:after="0" w:line="206" w:lineRule="exact"/>
        <w:rPr>
          <w:sz w:val="24"/>
          <w:szCs w:val="24"/>
          <w:color w:val="auto"/>
        </w:rPr>
      </w:pPr>
    </w:p>
    <w:p>
      <w:pPr>
        <w:jc w:val="both"/>
        <w:ind w:firstLine="18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1</w:t>
      </w:r>
      <w:r>
        <w:rPr>
          <w:rFonts w:ascii="Times New Roman" w:cs="Times New Roman" w:eastAsia="Times New Roman" w:hAnsi="Times New Roman"/>
          <w:sz w:val="22"/>
          <w:szCs w:val="22"/>
          <w:i w:val="1"/>
          <w:iCs w:val="1"/>
          <w:color w:val="auto"/>
        </w:rPr>
        <w:t>. “Information security” is not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primary function or set of functions of the component or ‘executable software’;</w:t>
      </w:r>
    </w:p>
    <w:p>
      <w:pPr>
        <w:spacing w:after="0" w:line="199" w:lineRule="exact"/>
        <w:rPr>
          <w:sz w:val="24"/>
          <w:szCs w:val="24"/>
          <w:color w:val="auto"/>
        </w:rPr>
      </w:pPr>
    </w:p>
    <w:p>
      <w:pPr>
        <w:jc w:val="both"/>
        <w:ind w:firstLine="18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2</w:t>
      </w:r>
      <w:r>
        <w:rPr>
          <w:rFonts w:ascii="Times New Roman" w:cs="Times New Roman" w:eastAsia="Times New Roman" w:hAnsi="Times New Roman"/>
          <w:sz w:val="22"/>
          <w:szCs w:val="22"/>
          <w:i w:val="1"/>
          <w:iCs w:val="1"/>
          <w:color w:val="auto"/>
        </w:rPr>
        <w:t>. The component or ‘executable software’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does not change any cryptographic functionality of the existing items, or add new cryptographic functionality to the existing items;</w:t>
      </w:r>
    </w:p>
    <w:p>
      <w:pPr>
        <w:spacing w:after="0" w:line="202" w:lineRule="exact"/>
        <w:rPr>
          <w:sz w:val="24"/>
          <w:szCs w:val="24"/>
          <w:color w:val="auto"/>
        </w:rPr>
      </w:pPr>
    </w:p>
    <w:p>
      <w:pPr>
        <w:jc w:val="both"/>
        <w:ind w:firstLine="18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3</w:t>
      </w:r>
      <w:r>
        <w:rPr>
          <w:rFonts w:ascii="Times New Roman" w:cs="Times New Roman" w:eastAsia="Times New Roman" w:hAnsi="Times New Roman"/>
          <w:sz w:val="22"/>
          <w:szCs w:val="22"/>
          <w:i w:val="1"/>
          <w:iCs w:val="1"/>
          <w:color w:val="auto"/>
        </w:rPr>
        <w:t>. The feature set of the component 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 xml:space="preserve">‘executable software’ is fixed and is not designed or modified to customer specification; </w:t>
      </w:r>
      <w:r>
        <w:rPr>
          <w:rFonts w:ascii="Times New Roman" w:cs="Times New Roman" w:eastAsia="Times New Roman" w:hAnsi="Times New Roman"/>
          <w:sz w:val="22"/>
          <w:szCs w:val="22"/>
          <w:i w:val="1"/>
          <w:iCs w:val="1"/>
          <w:u w:val="single" w:color="auto"/>
          <w:color w:val="auto"/>
        </w:rPr>
        <w:t>and</w:t>
      </w:r>
    </w:p>
    <w:p>
      <w:pPr>
        <w:spacing w:after="0" w:line="202" w:lineRule="exact"/>
        <w:rPr>
          <w:sz w:val="24"/>
          <w:szCs w:val="24"/>
          <w:color w:val="auto"/>
        </w:rPr>
      </w:pPr>
    </w:p>
    <w:p>
      <w:pPr>
        <w:jc w:val="both"/>
        <w:ind w:firstLine="180"/>
        <w:spacing w:after="0" w:line="246" w:lineRule="auto"/>
        <w:rPr>
          <w:sz w:val="20"/>
          <w:szCs w:val="20"/>
          <w:color w:val="auto"/>
        </w:rPr>
      </w:pPr>
      <w:r>
        <w:rPr>
          <w:rFonts w:ascii="Times New Roman" w:cs="Times New Roman" w:eastAsia="Times New Roman" w:hAnsi="Times New Roman"/>
          <w:sz w:val="22"/>
          <w:szCs w:val="22"/>
          <w:b w:val="1"/>
          <w:bCs w:val="1"/>
          <w:i w:val="1"/>
          <w:iCs w:val="1"/>
          <w:color w:val="auto"/>
        </w:rPr>
        <w:t>4</w:t>
      </w:r>
      <w:r>
        <w:rPr>
          <w:rFonts w:ascii="Times New Roman" w:cs="Times New Roman" w:eastAsia="Times New Roman" w:hAnsi="Times New Roman"/>
          <w:sz w:val="22"/>
          <w:szCs w:val="22"/>
          <w:i w:val="1"/>
          <w:iCs w:val="1"/>
          <w:color w:val="auto"/>
        </w:rPr>
        <w:t>. When necessary, as determined by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appropriate authority in the exporter’s country, details of the component or ‘executable software’, and details of relevant end- items are accessible and will be provided to the authority upon request, in order to ascertain compliance with conditions described above.</w:t>
      </w:r>
    </w:p>
    <w:p>
      <w:pPr>
        <w:spacing w:after="0" w:line="208" w:lineRule="exact"/>
        <w:rPr>
          <w:sz w:val="24"/>
          <w:szCs w:val="24"/>
          <w:color w:val="auto"/>
        </w:rPr>
      </w:pPr>
    </w:p>
    <w:p>
      <w:pPr>
        <w:jc w:val="both"/>
        <w:ind w:firstLine="18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For the purpose of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Cryptography Note, ‘executable software’ means “software” in executable form, from an existing hardware component excluded from 5A002, by the Cryptography Note.</w:t>
      </w:r>
    </w:p>
    <w:p>
      <w:pPr>
        <w:spacing w:after="0" w:line="206" w:lineRule="exact"/>
        <w:rPr>
          <w:sz w:val="24"/>
          <w:szCs w:val="24"/>
          <w:color w:val="auto"/>
        </w:rPr>
      </w:pPr>
    </w:p>
    <w:p>
      <w:pPr>
        <w:jc w:val="both"/>
        <w:ind w:firstLine="18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‘Executable software’ does not include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complete binary images of the “software” running on an end-item.</w:t>
      </w:r>
    </w:p>
    <w:p>
      <w:pPr>
        <w:spacing w:after="0" w:line="200" w:lineRule="exact"/>
        <w:rPr>
          <w:sz w:val="24"/>
          <w:szCs w:val="24"/>
          <w:color w:val="auto"/>
        </w:rPr>
      </w:pPr>
    </w:p>
    <w:p>
      <w:pPr>
        <w:spacing w:after="0" w:line="249" w:lineRule="exact"/>
        <w:rPr>
          <w:sz w:val="24"/>
          <w:szCs w:val="24"/>
          <w:color w:val="auto"/>
        </w:rPr>
      </w:pPr>
    </w:p>
    <w:p>
      <w:pPr>
        <w:jc w:val="center"/>
        <w:ind w:right="760"/>
        <w:spacing w:after="0"/>
        <w:rPr>
          <w:sz w:val="20"/>
          <w:szCs w:val="20"/>
          <w:color w:val="auto"/>
        </w:rPr>
      </w:pPr>
      <w:r>
        <w:rPr>
          <w:rFonts w:ascii="Times New Roman" w:cs="Times New Roman" w:eastAsia="Times New Roman" w:hAnsi="Times New Roman"/>
          <w:sz w:val="22"/>
          <w:szCs w:val="22"/>
          <w:b w:val="1"/>
          <w:bCs w:val="1"/>
          <w:i w:val="1"/>
          <w:iCs w:val="1"/>
          <w:color w:val="auto"/>
        </w:rPr>
        <w:t>Note to the Cryptography Note:</w:t>
      </w:r>
    </w:p>
    <w:p>
      <w:pPr>
        <w:spacing w:after="0" w:line="255" w:lineRule="exact"/>
        <w:rPr>
          <w:sz w:val="24"/>
          <w:szCs w:val="24"/>
          <w:color w:val="auto"/>
        </w:rPr>
      </w:pPr>
    </w:p>
    <w:p>
      <w:pPr>
        <w:ind w:firstLine="180"/>
        <w:spacing w:after="0" w:line="274" w:lineRule="auto"/>
        <w:tabs>
          <w:tab w:leader="none" w:pos="426" w:val="left"/>
        </w:tabs>
        <w:numPr>
          <w:ilvl w:val="0"/>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To meet paragraph a. of Note 3, all of the following must apply:</w:t>
      </w:r>
    </w:p>
    <w:p>
      <w:pPr>
        <w:spacing w:after="0" w:line="241" w:lineRule="exact"/>
        <w:rPr>
          <w:rFonts w:ascii="Times New Roman" w:cs="Times New Roman" w:eastAsia="Times New Roman" w:hAnsi="Times New Roman"/>
          <w:sz w:val="22"/>
          <w:szCs w:val="22"/>
          <w:i w:val="1"/>
          <w:iCs w:val="1"/>
          <w:color w:val="auto"/>
        </w:rPr>
      </w:pPr>
    </w:p>
    <w:p>
      <w:pPr>
        <w:ind w:firstLine="720"/>
        <w:spacing w:after="0" w:line="273" w:lineRule="auto"/>
        <w:tabs>
          <w:tab w:leader="none" w:pos="971" w:val="left"/>
        </w:tabs>
        <w:numPr>
          <w:ilvl w:val="1"/>
          <w:numId w:val="2"/>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The item is of potential interest to a wide range of individuals and businesses; </w:t>
      </w:r>
      <w:r>
        <w:rPr>
          <w:rFonts w:ascii="Times New Roman" w:cs="Times New Roman" w:eastAsia="Times New Roman" w:hAnsi="Times New Roman"/>
          <w:sz w:val="22"/>
          <w:szCs w:val="22"/>
          <w:i w:val="1"/>
          <w:iCs w:val="1"/>
          <w:u w:val="single" w:color="auto"/>
          <w:color w:val="auto"/>
        </w:rPr>
        <w:t>and</w:t>
      </w:r>
    </w:p>
    <w:p>
      <w:pPr>
        <w:spacing w:after="0" w:line="200" w:lineRule="exact"/>
        <w:rPr>
          <w:sz w:val="24"/>
          <w:szCs w:val="24"/>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15" w:lineRule="exact"/>
        <w:rPr>
          <w:sz w:val="24"/>
          <w:szCs w:val="24"/>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1" w:name="page2"/>
    <w:bookmarkEnd w:id="1"/>
    <w:p>
      <w:pPr>
        <w:spacing w:after="0"/>
        <w:tabs>
          <w:tab w:leader="none" w:pos="3540" w:val="left"/>
          <w:tab w:leader="none" w:pos="66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Info. Security—page 2</w:t>
      </w:r>
    </w:p>
    <w:p>
      <w:pPr>
        <w:sectPr>
          <w:pgSz w:w="12240" w:h="15840" w:orient="portrait"/>
          <w:cols w:equalWidth="0" w:num="1">
            <w:col w:w="9480"/>
          </w:cols>
          <w:pgMar w:left="1440" w:top="1422" w:right="1320" w:bottom="892" w:gutter="0" w:footer="0" w:header="0"/>
        </w:sectPr>
      </w:pPr>
    </w:p>
    <w:p>
      <w:pPr>
        <w:spacing w:after="0" w:line="200" w:lineRule="exact"/>
        <w:rPr>
          <w:sz w:val="20"/>
          <w:szCs w:val="20"/>
          <w:color w:val="auto"/>
        </w:rPr>
      </w:pPr>
    </w:p>
    <w:p>
      <w:pPr>
        <w:spacing w:after="0" w:line="325" w:lineRule="exact"/>
        <w:rPr>
          <w:sz w:val="20"/>
          <w:szCs w:val="20"/>
          <w:color w:val="auto"/>
        </w:rPr>
      </w:pPr>
    </w:p>
    <w:p>
      <w:pPr>
        <w:jc w:val="both"/>
        <w:ind w:firstLine="720"/>
        <w:spacing w:after="0" w:line="248" w:lineRule="auto"/>
        <w:rPr>
          <w:sz w:val="20"/>
          <w:szCs w:val="20"/>
          <w:color w:val="auto"/>
        </w:rPr>
      </w:pPr>
      <w:r>
        <w:rPr>
          <w:rFonts w:ascii="Times New Roman" w:cs="Times New Roman" w:eastAsia="Times New Roman" w:hAnsi="Times New Roman"/>
          <w:sz w:val="22"/>
          <w:szCs w:val="22"/>
          <w:i w:val="1"/>
          <w:iCs w:val="1"/>
          <w:color w:val="auto"/>
        </w:rPr>
        <w:t>b. The price and information about the main functionality of the item are available before purchase without the need to consult the vendor or supplier. A simple price inquiry is not considered to be a consultation.</w:t>
      </w:r>
    </w:p>
    <w:p>
      <w:pPr>
        <w:spacing w:after="0" w:line="211" w:lineRule="exact"/>
        <w:rPr>
          <w:sz w:val="20"/>
          <w:szCs w:val="20"/>
          <w:color w:val="auto"/>
        </w:rPr>
      </w:pPr>
    </w:p>
    <w:p>
      <w:pPr>
        <w:jc w:val="both"/>
        <w:ind w:firstLine="180"/>
        <w:spacing w:after="0" w:line="246" w:lineRule="auto"/>
        <w:tabs>
          <w:tab w:leader="none" w:pos="360" w:val="left"/>
        </w:tabs>
        <w:numPr>
          <w:ilvl w:val="0"/>
          <w:numId w:val="3"/>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In determining eligibility of paragraph a. of Note 3, BIS may take into account relevant factors such as quantity, price, required technical skill, existing sales channels, typical customers, typical use or any exclusionary practices of the supplier.</w:t>
      </w:r>
    </w:p>
    <w:p>
      <w:pPr>
        <w:spacing w:after="0" w:line="212" w:lineRule="exact"/>
        <w:rPr>
          <w:sz w:val="20"/>
          <w:szCs w:val="20"/>
          <w:color w:val="auto"/>
        </w:rPr>
      </w:pPr>
    </w:p>
    <w:p>
      <w:pPr>
        <w:jc w:val="both"/>
        <w:ind w:firstLine="415"/>
        <w:spacing w:after="0" w:line="251" w:lineRule="auto"/>
        <w:rPr>
          <w:sz w:val="20"/>
          <w:szCs w:val="20"/>
          <w:color w:val="auto"/>
        </w:rPr>
      </w:pPr>
      <w:r>
        <w:rPr>
          <w:rFonts w:ascii="Times New Roman" w:cs="Times New Roman" w:eastAsia="Times New Roman" w:hAnsi="Times New Roman"/>
          <w:sz w:val="21"/>
          <w:szCs w:val="21"/>
          <w:b w:val="1"/>
          <w:bCs w:val="1"/>
          <w:i w:val="1"/>
          <w:iCs w:val="1"/>
          <w:color w:val="auto"/>
        </w:rPr>
        <w:t xml:space="preserve">N.B. to Note 3 (Cryptography Note): </w:t>
      </w:r>
      <w:r>
        <w:rPr>
          <w:rFonts w:ascii="Times New Roman" w:cs="Times New Roman" w:eastAsia="Times New Roman" w:hAnsi="Times New Roman"/>
          <w:sz w:val="21"/>
          <w:szCs w:val="21"/>
          <w:i w:val="1"/>
          <w:iCs w:val="1"/>
          <w:color w:val="auto"/>
        </w:rPr>
        <w:t>You</w:t>
      </w:r>
      <w:r>
        <w:rPr>
          <w:rFonts w:ascii="Times New Roman" w:cs="Times New Roman" w:eastAsia="Times New Roman" w:hAnsi="Times New Roman"/>
          <w:sz w:val="21"/>
          <w:szCs w:val="21"/>
          <w:b w:val="1"/>
          <w:bCs w:val="1"/>
          <w:i w:val="1"/>
          <w:iCs w:val="1"/>
          <w:color w:val="auto"/>
        </w:rPr>
        <w:t xml:space="preserve"> </w:t>
      </w:r>
      <w:r>
        <w:rPr>
          <w:rFonts w:ascii="Times New Roman" w:cs="Times New Roman" w:eastAsia="Times New Roman" w:hAnsi="Times New Roman"/>
          <w:sz w:val="21"/>
          <w:szCs w:val="21"/>
          <w:i w:val="1"/>
          <w:iCs w:val="1"/>
          <w:color w:val="auto"/>
        </w:rPr>
        <w:t>must submit a classification request or self-classification report to BIS for mass market encryption commodities and software eligible for the Cryptography Note employing a key length greater than 64 bits for the symmetric algorithm (or, for commodities and software not implementing any symmetric algorithms, employing a key length greater than 768 bits for asymmetric algorithms described by Technical note 2.b to 5A002.a or greater than 128 bits for elliptic curve algorithms, or any asymmetric algorithm described by Technical Note 2.c to 5A002.a) in accordance with the requirements of</w:t>
      </w:r>
    </w:p>
    <w:p>
      <w:pPr>
        <w:spacing w:after="0" w:line="13" w:lineRule="exact"/>
        <w:rPr>
          <w:sz w:val="20"/>
          <w:szCs w:val="20"/>
          <w:color w:val="auto"/>
        </w:rPr>
      </w:pPr>
    </w:p>
    <w:p>
      <w:pPr>
        <w:jc w:val="both"/>
        <w:spacing w:after="0" w:line="255" w:lineRule="auto"/>
        <w:tabs>
          <w:tab w:leader="none" w:pos="190" w:val="left"/>
        </w:tabs>
        <w:numPr>
          <w:ilvl w:val="0"/>
          <w:numId w:val="4"/>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740.17(b) of the EAR in order to be released from the “EI” and “NS” controls of ECCN 5A002 or 5D002.</w:t>
      </w:r>
    </w:p>
    <w:p>
      <w:pPr>
        <w:spacing w:after="0" w:line="200" w:lineRule="exact"/>
        <w:rPr>
          <w:rFonts w:ascii="Times New Roman" w:cs="Times New Roman" w:eastAsia="Times New Roman" w:hAnsi="Times New Roman"/>
          <w:sz w:val="22"/>
          <w:szCs w:val="22"/>
          <w:i w:val="1"/>
          <w:iCs w:val="1"/>
          <w:color w:val="auto"/>
        </w:rPr>
      </w:pPr>
    </w:p>
    <w:p>
      <w:pPr>
        <w:spacing w:after="0" w:line="254" w:lineRule="exact"/>
        <w:rPr>
          <w:rFonts w:ascii="Times New Roman" w:cs="Times New Roman" w:eastAsia="Times New Roman" w:hAnsi="Times New Roman"/>
          <w:sz w:val="22"/>
          <w:szCs w:val="22"/>
          <w:i w:val="1"/>
          <w:iCs w:val="1"/>
          <w:color w:val="auto"/>
        </w:rPr>
      </w:pPr>
    </w:p>
    <w:p>
      <w:pPr>
        <w:ind w:left="220" w:right="220" w:firstLine="183"/>
        <w:spacing w:after="0" w:line="253" w:lineRule="auto"/>
        <w:tabs>
          <w:tab w:leader="none" w:pos="729" w:val="left"/>
        </w:tabs>
        <w:numPr>
          <w:ilvl w:val="1"/>
          <w:numId w:val="4"/>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color w:val="auto"/>
        </w:rPr>
        <w:t>“END ITEMS,” “EQUIPMENT,” “ACCESSORIES,” “ATTACHMENTS,”</w:t>
      </w:r>
    </w:p>
    <w:p>
      <w:pPr>
        <w:ind w:left="440"/>
        <w:spacing w:after="0"/>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2"/>
          <w:szCs w:val="22"/>
          <w:b w:val="1"/>
          <w:bCs w:val="1"/>
          <w:color w:val="auto"/>
        </w:rPr>
        <w:t>“PARTS,” “COMPONENTS,” AND</w:t>
      </w:r>
    </w:p>
    <w:p>
      <w:pPr>
        <w:ind w:left="1540"/>
        <w:spacing w:after="0"/>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2"/>
          <w:szCs w:val="22"/>
          <w:b w:val="1"/>
          <w:bCs w:val="1"/>
          <w:color w:val="auto"/>
        </w:rPr>
        <w:t>“SYSTEMS”</w:t>
      </w:r>
    </w:p>
    <w:p>
      <w:pPr>
        <w:spacing w:after="0" w:line="249" w:lineRule="exact"/>
        <w:rPr>
          <w:rFonts w:ascii="Times New Roman" w:cs="Times New Roman" w:eastAsia="Times New Roman" w:hAnsi="Times New Roman"/>
          <w:sz w:val="21"/>
          <w:szCs w:val="21"/>
          <w:b w:val="1"/>
          <w:bCs w:val="1"/>
          <w:color w:val="auto"/>
        </w:rPr>
      </w:pPr>
    </w:p>
    <w:p>
      <w:pPr>
        <w:ind w:left="640" w:right="640" w:firstLine="439"/>
        <w:spacing w:after="0" w:line="299" w:lineRule="auto"/>
        <w:tabs>
          <w:tab w:leader="none" w:pos="1279" w:val="left"/>
        </w:tabs>
        <w:numPr>
          <w:ilvl w:val="2"/>
          <w:numId w:val="4"/>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color w:val="auto"/>
        </w:rPr>
        <w:t>CRYPTOGRAPHIC “INFORMATION SECURITY”</w:t>
      </w:r>
    </w:p>
    <w:p>
      <w:pPr>
        <w:spacing w:after="0" w:line="200" w:lineRule="exact"/>
        <w:rPr>
          <w:sz w:val="20"/>
          <w:szCs w:val="20"/>
          <w:color w:val="auto"/>
        </w:rPr>
      </w:pPr>
    </w:p>
    <w:p>
      <w:pPr>
        <w:spacing w:after="0" w:line="210" w:lineRule="exact"/>
        <w:rPr>
          <w:sz w:val="20"/>
          <w:szCs w:val="20"/>
          <w:color w:val="auto"/>
        </w:rPr>
      </w:pPr>
    </w:p>
    <w:p>
      <w:pPr>
        <w:jc w:val="both"/>
        <w:spacing w:after="0" w:line="257" w:lineRule="auto"/>
        <w:rPr>
          <w:sz w:val="20"/>
          <w:szCs w:val="20"/>
          <w:color w:val="auto"/>
        </w:rPr>
      </w:pPr>
      <w:r>
        <w:rPr>
          <w:rFonts w:ascii="Times New Roman" w:cs="Times New Roman" w:eastAsia="Times New Roman" w:hAnsi="Times New Roman"/>
          <w:sz w:val="22"/>
          <w:szCs w:val="22"/>
          <w:b w:val="1"/>
          <w:bCs w:val="1"/>
          <w:color w:val="auto"/>
        </w:rPr>
        <w:t>5A002 “Information security” systems, equipment and “components,” as follows (see List of Items Controlled).</w:t>
      </w:r>
    </w:p>
    <w:p>
      <w:pPr>
        <w:spacing w:after="0" w:line="1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44" w:lineRule="exact"/>
        <w:rPr>
          <w:sz w:val="20"/>
          <w:szCs w:val="20"/>
          <w:color w:val="auto"/>
        </w:rPr>
      </w:pPr>
    </w:p>
    <w:p>
      <w:pPr>
        <w:jc w:val="center"/>
        <w:ind w:right="680"/>
        <w:spacing w:after="0"/>
        <w:tabs>
          <w:tab w:leader="none" w:pos="14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 EI</w:t>
      </w:r>
    </w:p>
    <w:p>
      <w:pPr>
        <w:spacing w:after="0" w:line="200" w:lineRule="exact"/>
        <w:rPr>
          <w:sz w:val="20"/>
          <w:szCs w:val="20"/>
          <w:color w:val="auto"/>
        </w:rPr>
      </w:pPr>
    </w:p>
    <w:p>
      <w:pPr>
        <w:spacing w:after="0" w:line="300"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60" w:type="dxa"/>
            <w:vAlign w:val="bottom"/>
            <w:tcBorders>
              <w:top w:val="single" w:sz="8" w:color="auto"/>
              <w:left w:val="single" w:sz="8" w:color="auto"/>
              <w:right w:val="single" w:sz="8" w:color="auto"/>
            </w:tcBorders>
          </w:tcPr>
          <w:p>
            <w:pPr>
              <w:spacing w:after="0"/>
              <w:rPr>
                <w:sz w:val="21"/>
                <w:szCs w:val="21"/>
                <w:color w:val="auto"/>
              </w:rPr>
            </w:pPr>
          </w:p>
        </w:tc>
        <w:tc>
          <w:tcPr>
            <w:tcW w:w="2000" w:type="dxa"/>
            <w:vAlign w:val="bottom"/>
            <w:tcBorders>
              <w:top w:val="single" w:sz="8" w:color="auto"/>
              <w:right w:val="single" w:sz="8" w:color="auto"/>
            </w:tcBorders>
          </w:tcPr>
          <w:p>
            <w:pPr>
              <w:ind w:left="120"/>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 (See</w:t>
            </w:r>
          </w:p>
        </w:tc>
      </w:tr>
      <w:tr>
        <w:trPr>
          <w:trHeight w:val="253"/>
        </w:trPr>
        <w:tc>
          <w:tcPr>
            <w:tcW w:w="2560" w:type="dxa"/>
            <w:vAlign w:val="bottom"/>
            <w:tcBorders>
              <w:left w:val="single" w:sz="8" w:color="auto"/>
              <w:right w:val="single" w:sz="8" w:color="auto"/>
            </w:tcBorders>
          </w:tcPr>
          <w:p>
            <w:pPr>
              <w:ind w:left="82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2000" w:type="dxa"/>
            <w:vAlign w:val="bottom"/>
            <w:tcBorders>
              <w:right w:val="single" w:sz="8" w:color="auto"/>
            </w:tcBorders>
          </w:tcPr>
          <w:p>
            <w:pPr>
              <w:ind w:left="160"/>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ind w:left="780"/>
              <w:spacing w:after="0"/>
              <w:rPr>
                <w:sz w:val="20"/>
                <w:szCs w:val="20"/>
                <w:color w:val="auto"/>
              </w:rPr>
            </w:pPr>
            <w:r>
              <w:rPr>
                <w:rFonts w:ascii="Times New Roman" w:cs="Times New Roman" w:eastAsia="Times New Roman" w:hAnsi="Times New Roman"/>
                <w:sz w:val="22"/>
                <w:szCs w:val="22"/>
                <w:i w:val="1"/>
                <w:iCs w:val="1"/>
                <w:color w:val="auto"/>
              </w:rPr>
              <w:t>738)</w:t>
            </w:r>
          </w:p>
        </w:tc>
      </w:tr>
      <w:tr>
        <w:trPr>
          <w:trHeight w:val="243"/>
        </w:trPr>
        <w:tc>
          <w:tcPr>
            <w:tcW w:w="25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1</w:t>
            </w:r>
          </w:p>
        </w:tc>
      </w:tr>
      <w:tr>
        <w:trPr>
          <w:trHeight w:val="243"/>
        </w:trPr>
        <w:tc>
          <w:tcPr>
            <w:tcW w:w="256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20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AT Column 1</w:t>
            </w:r>
          </w:p>
        </w:tc>
      </w:tr>
      <w:tr>
        <w:trPr>
          <w:trHeight w:val="227"/>
        </w:trPr>
        <w:tc>
          <w:tcPr>
            <w:tcW w:w="2560" w:type="dxa"/>
            <w:vAlign w:val="bottom"/>
            <w:tcBorders>
              <w:left w:val="single" w:sz="8" w:color="auto"/>
              <w:right w:val="single" w:sz="8" w:color="auto"/>
            </w:tcBorders>
          </w:tcPr>
          <w:p>
            <w:pPr>
              <w:ind w:left="120"/>
              <w:spacing w:after="0" w:line="227" w:lineRule="exact"/>
              <w:rPr>
                <w:sz w:val="20"/>
                <w:szCs w:val="20"/>
                <w:color w:val="auto"/>
              </w:rPr>
            </w:pPr>
            <w:r>
              <w:rPr>
                <w:rFonts w:ascii="Times New Roman" w:cs="Times New Roman" w:eastAsia="Times New Roman" w:hAnsi="Times New Roman"/>
                <w:sz w:val="22"/>
                <w:szCs w:val="22"/>
                <w:color w:val="auto"/>
              </w:rPr>
              <w:t>EI applies to entire entry</w:t>
            </w:r>
          </w:p>
        </w:tc>
        <w:tc>
          <w:tcPr>
            <w:tcW w:w="2000" w:type="dxa"/>
            <w:vAlign w:val="bottom"/>
            <w:tcBorders>
              <w:righ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Refer to §742.15 of</w:t>
            </w:r>
          </w:p>
        </w:tc>
      </w:tr>
      <w:tr>
        <w:trPr>
          <w:trHeight w:val="270"/>
        </w:trPr>
        <w:tc>
          <w:tcPr>
            <w:tcW w:w="2560" w:type="dxa"/>
            <w:vAlign w:val="bottom"/>
            <w:tcBorders>
              <w:left w:val="single" w:sz="8" w:color="auto"/>
              <w:bottom w:val="single" w:sz="8" w:color="auto"/>
              <w:right w:val="single" w:sz="8" w:color="auto"/>
            </w:tcBorders>
          </w:tcPr>
          <w:p>
            <w:pPr>
              <w:spacing w:after="0"/>
              <w:rPr>
                <w:sz w:val="23"/>
                <w:szCs w:val="23"/>
                <w:color w:val="auto"/>
              </w:rPr>
            </w:pPr>
          </w:p>
        </w:tc>
        <w:tc>
          <w:tcPr>
            <w:tcW w:w="2000" w:type="dxa"/>
            <w:vAlign w:val="bottom"/>
            <w:tcBorders>
              <w:bottom w:val="single" w:sz="8" w:color="auto"/>
              <w:righ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the EAR.</w:t>
            </w:r>
          </w:p>
        </w:tc>
      </w:tr>
    </w:tbl>
    <w:p>
      <w:pPr>
        <w:spacing w:after="0" w:line="232" w:lineRule="exact"/>
        <w:rPr>
          <w:sz w:val="20"/>
          <w:szCs w:val="20"/>
          <w:color w:val="auto"/>
        </w:rPr>
      </w:pPr>
    </w:p>
    <w:p>
      <w:pPr>
        <w:jc w:val="both"/>
        <w:ind w:left="120" w:right="120"/>
        <w:spacing w:after="0" w:line="244" w:lineRule="auto"/>
        <w:rPr>
          <w:sz w:val="20"/>
          <w:szCs w:val="20"/>
          <w:color w:val="auto"/>
        </w:rPr>
      </w:pPr>
      <w:r>
        <w:rPr>
          <w:rFonts w:ascii="Times New Roman" w:cs="Times New Roman" w:eastAsia="Times New Roman" w:hAnsi="Times New Roman"/>
          <w:sz w:val="22"/>
          <w:szCs w:val="22"/>
          <w:b w:val="1"/>
          <w:bCs w:val="1"/>
          <w:i w:val="1"/>
          <w:iCs w:val="1"/>
          <w:color w:val="auto"/>
        </w:rPr>
        <w:t>License Requirements Note</w:t>
      </w:r>
      <w:r>
        <w:rPr>
          <w:rFonts w:ascii="Times New Roman" w:cs="Times New Roman" w:eastAsia="Times New Roman" w:hAnsi="Times New Roman"/>
          <w:sz w:val="22"/>
          <w:szCs w:val="22"/>
          <w:i w:val="1"/>
          <w:iCs w:val="1"/>
          <w:color w:val="auto"/>
        </w:rPr>
        <w:t>: See § 744.17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EAR for additional license requirements for microprocessors having a processing speed of 5 GFLOPS or more and an arithmetic logic unit with an access width of 32 bit or more, including those incorporating “information security” functionality, and associated “software” and “technology” for the “production” or “development” of such microprocessors.</w:t>
      </w:r>
    </w:p>
    <w:p>
      <w:pPr>
        <w:spacing w:after="0" w:line="200" w:lineRule="exact"/>
        <w:rPr>
          <w:sz w:val="20"/>
          <w:szCs w:val="20"/>
          <w:color w:val="auto"/>
        </w:rPr>
      </w:pPr>
    </w:p>
    <w:p>
      <w:pPr>
        <w:spacing w:after="0" w:line="269" w:lineRule="exact"/>
        <w:rPr>
          <w:sz w:val="20"/>
          <w:szCs w:val="20"/>
          <w:color w:val="auto"/>
        </w:rPr>
      </w:pPr>
    </w:p>
    <w:p>
      <w:pPr>
        <w:jc w:val="both"/>
        <w:ind w:left="120"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tbl>
      <w:tblPr>
        <w:tblLayout w:type="fixed"/>
        <w:tblInd w:w="480" w:type="dxa"/>
        <w:tblCellMar>
          <w:top w:w="0" w:type="dxa"/>
          <w:left w:w="0" w:type="dxa"/>
          <w:bottom w:w="0" w:type="dxa"/>
          <w:right w:w="0" w:type="dxa"/>
        </w:tblCellMar>
      </w:tblPr>
      <w:tr>
        <w:trPr>
          <w:trHeight w:val="256"/>
        </w:trPr>
        <w:tc>
          <w:tcPr>
            <w:tcW w:w="620" w:type="dxa"/>
            <w:vAlign w:val="bottom"/>
          </w:tcPr>
          <w:p>
            <w:pPr>
              <w:spacing w:after="0"/>
              <w:rPr>
                <w:sz w:val="20"/>
                <w:szCs w:val="20"/>
                <w:color w:val="auto"/>
              </w:rPr>
            </w:pPr>
            <w:r>
              <w:rPr>
                <w:rFonts w:ascii="Times New Roman" w:cs="Times New Roman" w:eastAsia="Times New Roman" w:hAnsi="Times New Roman"/>
                <w:sz w:val="22"/>
                <w:szCs w:val="22"/>
                <w:i w:val="1"/>
                <w:iCs w:val="1"/>
                <w:color w:val="auto"/>
              </w:rPr>
              <w:t>LVS:</w:t>
            </w:r>
          </w:p>
        </w:tc>
        <w:tc>
          <w:tcPr>
            <w:tcW w:w="334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Yes: $500 for “components”.</w:t>
            </w:r>
          </w:p>
        </w:tc>
        <w:tc>
          <w:tcPr>
            <w:tcW w:w="0" w:type="dxa"/>
            <w:vAlign w:val="bottom"/>
          </w:tcPr>
          <w:p>
            <w:pPr>
              <w:spacing w:after="0"/>
              <w:rPr>
                <w:sz w:val="1"/>
                <w:szCs w:val="1"/>
                <w:color w:val="auto"/>
              </w:rPr>
            </w:pPr>
          </w:p>
        </w:tc>
      </w:tr>
      <w:tr>
        <w:trPr>
          <w:trHeight w:val="253"/>
        </w:trPr>
        <w:tc>
          <w:tcPr>
            <w:tcW w:w="620" w:type="dxa"/>
            <w:vAlign w:val="bottom"/>
            <w:vMerge w:val="restart"/>
          </w:tcPr>
          <w:p>
            <w:pPr>
              <w:spacing w:after="0"/>
              <w:rPr>
                <w:sz w:val="20"/>
                <w:szCs w:val="20"/>
                <w:color w:val="auto"/>
              </w:rPr>
            </w:pPr>
            <w:r>
              <w:rPr>
                <w:rFonts w:ascii="Times New Roman" w:cs="Times New Roman" w:eastAsia="Times New Roman" w:hAnsi="Times New Roman"/>
                <w:sz w:val="22"/>
                <w:szCs w:val="22"/>
                <w:i w:val="1"/>
                <w:iCs w:val="1"/>
                <w:color w:val="auto"/>
              </w:rPr>
              <w:t>GBS:</w:t>
            </w:r>
          </w:p>
        </w:tc>
        <w:tc>
          <w:tcPr>
            <w:tcW w:w="334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N/A for systems and equipment.</w:t>
            </w:r>
          </w:p>
        </w:tc>
        <w:tc>
          <w:tcPr>
            <w:tcW w:w="0" w:type="dxa"/>
            <w:vAlign w:val="bottom"/>
          </w:tcPr>
          <w:p>
            <w:pPr>
              <w:spacing w:after="0"/>
              <w:rPr>
                <w:sz w:val="1"/>
                <w:szCs w:val="1"/>
                <w:color w:val="auto"/>
              </w:rPr>
            </w:pPr>
          </w:p>
        </w:tc>
      </w:tr>
      <w:tr>
        <w:trPr>
          <w:trHeight w:val="249"/>
        </w:trPr>
        <w:tc>
          <w:tcPr>
            <w:tcW w:w="620" w:type="dxa"/>
            <w:vAlign w:val="bottom"/>
            <w:vMerge w:val="continue"/>
          </w:tcPr>
          <w:p>
            <w:pPr>
              <w:spacing w:after="0"/>
              <w:rPr>
                <w:sz w:val="21"/>
                <w:szCs w:val="21"/>
                <w:color w:val="auto"/>
              </w:rPr>
            </w:pPr>
          </w:p>
        </w:tc>
        <w:tc>
          <w:tcPr>
            <w:tcW w:w="3340" w:type="dxa"/>
            <w:vAlign w:val="bottom"/>
          </w:tcPr>
          <w:p>
            <w:pPr>
              <w:ind w:left="100"/>
              <w:spacing w:after="0" w:line="249" w:lineRule="exact"/>
              <w:rPr>
                <w:sz w:val="20"/>
                <w:szCs w:val="20"/>
                <w:color w:val="auto"/>
              </w:rPr>
            </w:pPr>
            <w:r>
              <w:rPr>
                <w:rFonts w:ascii="Times New Roman" w:cs="Times New Roman" w:eastAsia="Times New Roman" w:hAnsi="Times New Roman"/>
                <w:sz w:val="22"/>
                <w:szCs w:val="22"/>
                <w:color w:val="auto"/>
              </w:rPr>
              <w:t>N/A</w:t>
            </w:r>
          </w:p>
        </w:tc>
        <w:tc>
          <w:tcPr>
            <w:tcW w:w="0" w:type="dxa"/>
            <w:vAlign w:val="bottom"/>
          </w:tcPr>
          <w:p>
            <w:pPr>
              <w:spacing w:after="0"/>
              <w:rPr>
                <w:sz w:val="1"/>
                <w:szCs w:val="1"/>
                <w:color w:val="auto"/>
              </w:rPr>
            </w:pPr>
          </w:p>
        </w:tc>
      </w:tr>
      <w:tr>
        <w:trPr>
          <w:trHeight w:val="253"/>
        </w:trPr>
        <w:tc>
          <w:tcPr>
            <w:tcW w:w="620" w:type="dxa"/>
            <w:vAlign w:val="bottom"/>
          </w:tcPr>
          <w:p>
            <w:pPr>
              <w:spacing w:after="0"/>
              <w:rPr>
                <w:sz w:val="20"/>
                <w:szCs w:val="20"/>
                <w:color w:val="auto"/>
              </w:rPr>
            </w:pPr>
            <w:r>
              <w:rPr>
                <w:rFonts w:ascii="Times New Roman" w:cs="Times New Roman" w:eastAsia="Times New Roman" w:hAnsi="Times New Roman"/>
                <w:sz w:val="22"/>
                <w:szCs w:val="22"/>
                <w:i w:val="1"/>
                <w:iCs w:val="1"/>
                <w:color w:val="auto"/>
              </w:rPr>
              <w:t>CIV:</w:t>
            </w:r>
          </w:p>
        </w:tc>
        <w:tc>
          <w:tcPr>
            <w:tcW w:w="334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N/A</w:t>
            </w:r>
          </w:p>
        </w:tc>
        <w:tc>
          <w:tcPr>
            <w:tcW w:w="0" w:type="dxa"/>
            <w:vAlign w:val="bottom"/>
          </w:tcPr>
          <w:p>
            <w:pPr>
              <w:spacing w:after="0"/>
              <w:rPr>
                <w:sz w:val="1"/>
                <w:szCs w:val="1"/>
                <w:color w:val="auto"/>
              </w:rPr>
            </w:pPr>
          </w:p>
        </w:tc>
      </w:tr>
      <w:tr>
        <w:trPr>
          <w:trHeight w:val="257"/>
        </w:trPr>
        <w:tc>
          <w:tcPr>
            <w:tcW w:w="620" w:type="dxa"/>
            <w:vAlign w:val="bottom"/>
          </w:tcPr>
          <w:p>
            <w:pPr>
              <w:spacing w:after="0"/>
              <w:rPr>
                <w:sz w:val="20"/>
                <w:szCs w:val="20"/>
                <w:color w:val="auto"/>
              </w:rPr>
            </w:pPr>
            <w:r>
              <w:rPr>
                <w:rFonts w:ascii="Times New Roman" w:cs="Times New Roman" w:eastAsia="Times New Roman" w:hAnsi="Times New Roman"/>
                <w:sz w:val="22"/>
                <w:szCs w:val="22"/>
                <w:i w:val="1"/>
                <w:iCs w:val="1"/>
                <w:color w:val="auto"/>
              </w:rPr>
              <w:t>ENC:</w:t>
            </w:r>
          </w:p>
        </w:tc>
        <w:tc>
          <w:tcPr>
            <w:tcW w:w="334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Yes  for  certain  EI  controlled</w:t>
            </w:r>
          </w:p>
        </w:tc>
        <w:tc>
          <w:tcPr>
            <w:tcW w:w="0" w:type="dxa"/>
            <w:vAlign w:val="bottom"/>
          </w:tcPr>
          <w:p>
            <w:pPr>
              <w:spacing w:after="0"/>
              <w:rPr>
                <w:sz w:val="1"/>
                <w:szCs w:val="1"/>
                <w:color w:val="auto"/>
              </w:rPr>
            </w:pPr>
          </w:p>
        </w:tc>
      </w:tr>
      <w:tr>
        <w:trPr>
          <w:trHeight w:val="253"/>
        </w:trPr>
        <w:tc>
          <w:tcPr>
            <w:tcW w:w="620" w:type="dxa"/>
            <w:vAlign w:val="bottom"/>
          </w:tcPr>
          <w:p>
            <w:pPr>
              <w:spacing w:after="0"/>
              <w:rPr>
                <w:sz w:val="22"/>
                <w:szCs w:val="22"/>
                <w:color w:val="auto"/>
              </w:rPr>
            </w:pPr>
          </w:p>
        </w:tc>
        <w:tc>
          <w:tcPr>
            <w:tcW w:w="334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commodities,  see  §740.17  of  the</w:t>
            </w:r>
          </w:p>
        </w:tc>
        <w:tc>
          <w:tcPr>
            <w:tcW w:w="0" w:type="dxa"/>
            <w:vAlign w:val="bottom"/>
          </w:tcPr>
          <w:p>
            <w:pPr>
              <w:spacing w:after="0"/>
              <w:rPr>
                <w:sz w:val="1"/>
                <w:szCs w:val="1"/>
                <w:color w:val="auto"/>
              </w:rPr>
            </w:pPr>
          </w:p>
        </w:tc>
      </w:tr>
      <w:tr>
        <w:trPr>
          <w:trHeight w:val="286"/>
        </w:trPr>
        <w:tc>
          <w:tcPr>
            <w:tcW w:w="620" w:type="dxa"/>
            <w:vAlign w:val="bottom"/>
          </w:tcPr>
          <w:p>
            <w:pPr>
              <w:spacing w:after="0"/>
              <w:rPr>
                <w:sz w:val="24"/>
                <w:szCs w:val="24"/>
                <w:color w:val="auto"/>
              </w:rPr>
            </w:pPr>
          </w:p>
        </w:tc>
        <w:tc>
          <w:tcPr>
            <w:tcW w:w="334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EAR for eligibility.</w:t>
            </w:r>
          </w:p>
        </w:tc>
        <w:tc>
          <w:tcPr>
            <w:tcW w:w="0" w:type="dxa"/>
            <w:vAlign w:val="bottom"/>
          </w:tcPr>
          <w:p>
            <w:pPr>
              <w:spacing w:after="0"/>
              <w:rPr>
                <w:sz w:val="1"/>
                <w:szCs w:val="1"/>
                <w:color w:val="auto"/>
              </w:rPr>
            </w:pPr>
          </w:p>
        </w:tc>
      </w:tr>
    </w:tbl>
    <w:p>
      <w:pPr>
        <w:spacing w:after="0" w:line="217" w:lineRule="exact"/>
        <w:rPr>
          <w:sz w:val="20"/>
          <w:szCs w:val="20"/>
          <w:color w:val="auto"/>
        </w:rPr>
      </w:pPr>
    </w:p>
    <w:p>
      <w:pPr>
        <w:ind w:left="18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480" w:right="120"/>
        <w:spacing w:after="0" w:line="243" w:lineRule="auto"/>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(1) ECCN 5A002.a</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controls “components” providing the means or functions necessary for “information security.” All such “components” are presumptively “specially designed” and controlled by 5A002.a. (2) See USML Categories XI (including XI(b)) and XIII(b) (including XIII(b)(2)) for controls on systems, equipment, and components described in 5A002.d or .e that are subject to the ITAR. (3) For Global Navigation</w:t>
      </w:r>
    </w:p>
    <w:p>
      <w:pPr>
        <w:spacing w:after="0" w:line="200" w:lineRule="exact"/>
        <w:rPr>
          <w:sz w:val="20"/>
          <w:szCs w:val="20"/>
          <w:color w:val="auto"/>
        </w:rPr>
      </w:pPr>
    </w:p>
    <w:p>
      <w:pPr>
        <w:sectPr>
          <w:pgSz w:w="12240" w:h="15840" w:orient="portrait"/>
          <w:cols w:equalWidth="0" w:num="2">
            <w:col w:w="4320" w:space="600"/>
            <w:col w:w="4560"/>
          </w:cols>
          <w:pgMar w:left="1440" w:top="1422" w:right="1320" w:bottom="892" w:gutter="0" w:footer="0" w:header="0"/>
          <w:type w:val="continuous"/>
        </w:sectPr>
      </w:pPr>
    </w:p>
    <w:p>
      <w:pPr>
        <w:spacing w:after="0" w:line="161"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422" w:right="1320" w:bottom="892" w:gutter="0" w:footer="0" w:header="0"/>
          <w:type w:val="continuous"/>
        </w:sectPr>
      </w:pPr>
    </w:p>
    <w:bookmarkStart w:id="2" w:name="page3"/>
    <w:bookmarkEnd w:id="2"/>
    <w:p>
      <w:pPr>
        <w:spacing w:after="0"/>
        <w:tabs>
          <w:tab w:leader="none" w:pos="3540" w:val="left"/>
          <w:tab w:leader="none" w:pos="66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Info. Security—page 3</w:t>
      </w:r>
    </w:p>
    <w:p>
      <w:pPr>
        <w:sectPr>
          <w:pgSz w:w="12240" w:h="15840" w:orient="portrait"/>
          <w:cols w:equalWidth="0" w:num="1">
            <w:col w:w="9360"/>
          </w:cols>
          <w:pgMar w:left="1440" w:top="1422" w:right="1440" w:bottom="892" w:gutter="0" w:footer="0" w:header="0"/>
        </w:sectPr>
      </w:pPr>
    </w:p>
    <w:p>
      <w:pPr>
        <w:spacing w:after="0" w:line="215" w:lineRule="exact"/>
        <w:rPr>
          <w:sz w:val="20"/>
          <w:szCs w:val="20"/>
          <w:color w:val="auto"/>
        </w:rPr>
      </w:pPr>
    </w:p>
    <w:p>
      <w:pPr>
        <w:jc w:val="both"/>
        <w:ind w:left="360"/>
        <w:spacing w:after="0" w:line="239" w:lineRule="auto"/>
        <w:rPr>
          <w:sz w:val="20"/>
          <w:szCs w:val="20"/>
          <w:color w:val="auto"/>
        </w:rPr>
      </w:pPr>
      <w:r>
        <w:rPr>
          <w:rFonts w:ascii="Times New Roman" w:cs="Times New Roman" w:eastAsia="Times New Roman" w:hAnsi="Times New Roman"/>
          <w:sz w:val="22"/>
          <w:szCs w:val="22"/>
          <w:color w:val="auto"/>
        </w:rPr>
        <w:t>Satellite Systems (GNSS) receiving equipment containing or employing decryption see 7A005, and for related decryption “software” and “technology” see 7D005 and 7E001. (4) Noting that items may be controlled elsewhere on the CCL, examples of items not controlled by ECCN 5A002.a.4 include the following: (a) An automobile where the only ‘cryptography for data confidentiality’ having a ‘described security algorithm’ is performed by a Category 5 – Part 2 Note 3 eligible mobile telephone that is built into the car. In this case, secure phone communications support</w:t>
      </w:r>
    </w:p>
    <w:p>
      <w:pPr>
        <w:spacing w:after="0" w:line="14" w:lineRule="exact"/>
        <w:rPr>
          <w:sz w:val="20"/>
          <w:szCs w:val="20"/>
          <w:color w:val="auto"/>
        </w:rPr>
      </w:pPr>
    </w:p>
    <w:p>
      <w:pPr>
        <w:jc w:val="both"/>
        <w:ind w:left="360"/>
        <w:spacing w:after="0" w:line="241" w:lineRule="auto"/>
        <w:tabs>
          <w:tab w:leader="none" w:pos="575" w:val="left"/>
        </w:tabs>
        <w:numPr>
          <w:ilvl w:val="0"/>
          <w:numId w:val="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non-primary function of the automobile but the mobile telephone (equipment), as a standalone item, is not controlled by ECCN 5A002 because it is excluded by the Cryptography Note (Note 3) (See ECCN 5A992.c). (b) An exercise bike with an embedded Category 5 – Part 2 Note 3 eligible web browser, where the only controlled cryptography is performed by the web browser. In this case, secure web browsing supports a non-primary function of the exercise bike but the web browser (“software”), as a standalone item, is not controlled by ECCN 5D002 because it is excluded by the Cryptography Note (Note 3) (See ECCN 5D992.c). (5) After classification or self-classification in accordance with § 740.17(b) of the EAR, mass market encryption commodities that meet eligibility requirements are released from “EI” and “NS” controls. These commodities are designated 5A992.c.</w:t>
      </w:r>
    </w:p>
    <w:p>
      <w:pPr>
        <w:spacing w:after="0" w:line="226"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jc w:val="both"/>
        <w:spacing w:after="0" w:line="245" w:lineRule="auto"/>
        <w:tabs>
          <w:tab w:leader="none" w:pos="360" w:val="left"/>
        </w:tabs>
        <w:numPr>
          <w:ilvl w:val="0"/>
          <w:numId w:val="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Designed or modified to use ‘cryptography for data confidentiality’ having a ‘described security algorithm’, where that cryptographic capability is usable, has been activated, or can be activated by means of “cryptographic activation” not employing a secure mechanism, as follows:</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48"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a.1. Items having “information security” as a primary function;</w:t>
      </w:r>
    </w:p>
    <w:p>
      <w:pPr>
        <w:spacing w:after="0" w:line="189" w:lineRule="exact"/>
        <w:rPr>
          <w:sz w:val="20"/>
          <w:szCs w:val="20"/>
          <w:color w:val="auto"/>
        </w:rPr>
      </w:pPr>
    </w:p>
    <w:p>
      <w:pPr>
        <w:jc w:val="both"/>
        <w:ind w:firstLine="360"/>
        <w:spacing w:after="0" w:line="255" w:lineRule="auto"/>
        <w:rPr>
          <w:sz w:val="20"/>
          <w:szCs w:val="20"/>
          <w:color w:val="auto"/>
        </w:rPr>
      </w:pPr>
      <w:r>
        <w:rPr>
          <w:rFonts w:ascii="Times New Roman" w:cs="Times New Roman" w:eastAsia="Times New Roman" w:hAnsi="Times New Roman"/>
          <w:sz w:val="22"/>
          <w:szCs w:val="22"/>
          <w:color w:val="auto"/>
        </w:rPr>
        <w:t>a.2. Digital communication or networking systems, equipment or components, not specified in paragraph 5A002.a.1;</w:t>
      </w:r>
    </w:p>
    <w:p>
      <w:pPr>
        <w:spacing w:after="0" w:line="205"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a.3. Computers, other items having information storage or processing as a primary function, and components therefor, not specified in paragraphs 5A002.a.1 or .a.2;</w:t>
      </w:r>
    </w:p>
    <w:p>
      <w:pPr>
        <w:spacing w:after="0" w:line="206"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 xml:space="preserve">N.B.: </w:t>
      </w:r>
      <w:r>
        <w:rPr>
          <w:rFonts w:ascii="Times New Roman" w:cs="Times New Roman" w:eastAsia="Times New Roman" w:hAnsi="Times New Roman"/>
          <w:sz w:val="22"/>
          <w:szCs w:val="22"/>
          <w:i w:val="1"/>
          <w:iCs w:val="1"/>
          <w:color w:val="auto"/>
        </w:rPr>
        <w:t>For operating systems see also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5D002.a.1 and .c.1.</w:t>
      </w:r>
    </w:p>
    <w:p>
      <w:pPr>
        <w:spacing w:after="0" w:line="183" w:lineRule="exact"/>
        <w:rPr>
          <w:sz w:val="20"/>
          <w:szCs w:val="20"/>
          <w:color w:val="auto"/>
        </w:rPr>
      </w:pPr>
    </w:p>
    <w:p>
      <w:pPr>
        <w:jc w:val="both"/>
        <w:ind w:firstLine="360"/>
        <w:spacing w:after="0" w:line="250" w:lineRule="auto"/>
        <w:rPr>
          <w:sz w:val="20"/>
          <w:szCs w:val="20"/>
          <w:color w:val="auto"/>
        </w:rPr>
      </w:pPr>
      <w:r>
        <w:rPr>
          <w:rFonts w:ascii="Times New Roman" w:cs="Times New Roman" w:eastAsia="Times New Roman" w:hAnsi="Times New Roman"/>
          <w:sz w:val="22"/>
          <w:szCs w:val="22"/>
          <w:color w:val="auto"/>
        </w:rPr>
        <w:t>a.4. Items, not specified in paragraphs 5A002.a.1 to a.3, where the ‘cryptography for data confidentiality’ having a ‘described security algorithm’ meets all of the following:</w:t>
      </w:r>
    </w:p>
    <w:p>
      <w:pPr>
        <w:spacing w:after="0" w:line="211" w:lineRule="exact"/>
        <w:rPr>
          <w:sz w:val="20"/>
          <w:szCs w:val="20"/>
          <w:color w:val="auto"/>
        </w:rPr>
      </w:pPr>
    </w:p>
    <w:p>
      <w:pPr>
        <w:jc w:val="both"/>
        <w:ind w:firstLine="720"/>
        <w:spacing w:after="0" w:line="271" w:lineRule="auto"/>
        <w:rPr>
          <w:sz w:val="20"/>
          <w:szCs w:val="20"/>
          <w:color w:val="auto"/>
        </w:rPr>
      </w:pPr>
      <w:r>
        <w:rPr>
          <w:rFonts w:ascii="Times New Roman" w:cs="Times New Roman" w:eastAsia="Times New Roman" w:hAnsi="Times New Roman"/>
          <w:sz w:val="22"/>
          <w:szCs w:val="22"/>
          <w:color w:val="auto"/>
        </w:rPr>
        <w:t xml:space="preserve">a.4.a. It supports a non-primary function of the item; </w:t>
      </w:r>
      <w:r>
        <w:rPr>
          <w:rFonts w:ascii="Times New Roman" w:cs="Times New Roman" w:eastAsia="Times New Roman" w:hAnsi="Times New Roman"/>
          <w:sz w:val="22"/>
          <w:szCs w:val="22"/>
          <w:i w:val="1"/>
          <w:iCs w:val="1"/>
          <w:color w:val="auto"/>
        </w:rPr>
        <w:t>and</w:t>
      </w:r>
    </w:p>
    <w:p>
      <w:pPr>
        <w:spacing w:after="0" w:line="187" w:lineRule="exact"/>
        <w:rPr>
          <w:sz w:val="20"/>
          <w:szCs w:val="20"/>
          <w:color w:val="auto"/>
        </w:rPr>
      </w:pPr>
    </w:p>
    <w:p>
      <w:pPr>
        <w:jc w:val="both"/>
        <w:ind w:firstLine="720"/>
        <w:spacing w:after="0" w:line="250" w:lineRule="auto"/>
        <w:rPr>
          <w:sz w:val="20"/>
          <w:szCs w:val="20"/>
          <w:color w:val="auto"/>
        </w:rPr>
      </w:pPr>
      <w:r>
        <w:rPr>
          <w:rFonts w:ascii="Times New Roman" w:cs="Times New Roman" w:eastAsia="Times New Roman" w:hAnsi="Times New Roman"/>
          <w:sz w:val="22"/>
          <w:szCs w:val="22"/>
          <w:color w:val="auto"/>
        </w:rPr>
        <w:t>a.4.b. It is performed by incorporated equipment or “software” that would, as a standalone item, be specified by ECCNs 5A002, 5A003, 5A004, 5B002 or 5D002.</w:t>
      </w:r>
    </w:p>
    <w:p>
      <w:pPr>
        <w:spacing w:after="0" w:line="206" w:lineRule="exact"/>
        <w:rPr>
          <w:sz w:val="20"/>
          <w:szCs w:val="20"/>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434042"/>
        </w:rPr>
        <w:t>N.B. to paragraph a.4</w:t>
      </w:r>
      <w:r>
        <w:rPr>
          <w:rFonts w:ascii="Times New Roman" w:cs="Times New Roman" w:eastAsia="Times New Roman" w:hAnsi="Times New Roman"/>
          <w:sz w:val="22"/>
          <w:szCs w:val="22"/>
          <w:i w:val="1"/>
          <w:iCs w:val="1"/>
          <w:color w:val="434042"/>
        </w:rPr>
        <w:t>: See Related Control</w:t>
      </w:r>
      <w:r>
        <w:rPr>
          <w:rFonts w:ascii="Times New Roman" w:cs="Times New Roman" w:eastAsia="Times New Roman" w:hAnsi="Times New Roman"/>
          <w:sz w:val="22"/>
          <w:szCs w:val="22"/>
          <w:b w:val="1"/>
          <w:bCs w:val="1"/>
          <w:i w:val="1"/>
          <w:iCs w:val="1"/>
          <w:color w:val="434042"/>
        </w:rPr>
        <w:t xml:space="preserve"> </w:t>
      </w:r>
      <w:r>
        <w:rPr>
          <w:rFonts w:ascii="Times New Roman" w:cs="Times New Roman" w:eastAsia="Times New Roman" w:hAnsi="Times New Roman"/>
          <w:sz w:val="22"/>
          <w:szCs w:val="22"/>
          <w:i w:val="1"/>
          <w:iCs w:val="1"/>
          <w:color w:val="434042"/>
        </w:rPr>
        <w:t>Paragraph (4) of this ECCN 5A002 for examples of items not controlled by 5A002.a.4.</w:t>
      </w:r>
    </w:p>
    <w:p>
      <w:pPr>
        <w:spacing w:after="0" w:line="197"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i w:val="1"/>
          <w:iCs w:val="1"/>
          <w:color w:val="auto"/>
        </w:rPr>
        <w:t>Technical Notes:</w:t>
      </w:r>
    </w:p>
    <w:p>
      <w:pPr>
        <w:spacing w:after="0" w:line="254" w:lineRule="exact"/>
        <w:rPr>
          <w:sz w:val="20"/>
          <w:szCs w:val="20"/>
          <w:color w:val="auto"/>
        </w:rPr>
      </w:pPr>
    </w:p>
    <w:p>
      <w:pPr>
        <w:jc w:val="both"/>
        <w:spacing w:after="0" w:line="248" w:lineRule="auto"/>
        <w:tabs>
          <w:tab w:leader="none" w:pos="361" w:val="left"/>
        </w:tabs>
        <w:numPr>
          <w:ilvl w:val="0"/>
          <w:numId w:val="7"/>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the purposes of 5A002.a, ‘cryptography for data confidentiality’ means “cryptography” that employs digital techniques and performs any cryptographic function other than any of the following:</w:t>
      </w:r>
    </w:p>
    <w:p>
      <w:pPr>
        <w:spacing w:after="0" w:line="21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1.a. “Authentication;”</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1.b. Digital signature;</w:t>
      </w:r>
    </w:p>
    <w:p>
      <w:pPr>
        <w:spacing w:after="0" w:line="25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1.c.  Data integrity;</w:t>
      </w:r>
    </w:p>
    <w:p>
      <w:pPr>
        <w:spacing w:after="0" w:line="491"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06"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3" w:name="page4"/>
    <w:bookmarkEnd w:id="3"/>
    <w:p>
      <w:pPr>
        <w:spacing w:after="0"/>
        <w:tabs>
          <w:tab w:leader="none" w:pos="3540" w:val="left"/>
          <w:tab w:leader="none" w:pos="66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Info. Security—page 4</w:t>
      </w:r>
    </w:p>
    <w:p>
      <w:pPr>
        <w:sectPr>
          <w:pgSz w:w="12240" w:h="15840" w:orient="portrait"/>
          <w:cols w:equalWidth="0" w:num="1">
            <w:col w:w="9360"/>
          </w:cols>
          <w:pgMar w:left="1440" w:top="1422" w:right="1440" w:bottom="892" w:gutter="0" w:footer="0" w:header="0"/>
        </w:sectPr>
      </w:pPr>
    </w:p>
    <w:p>
      <w:pPr>
        <w:spacing w:after="0" w:line="21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1.d. Non-repudiation;</w:t>
      </w:r>
    </w:p>
    <w:p>
      <w:pPr>
        <w:spacing w:after="0" w:line="252" w:lineRule="exact"/>
        <w:rPr>
          <w:sz w:val="20"/>
          <w:szCs w:val="20"/>
          <w:color w:val="auto"/>
        </w:rPr>
      </w:pPr>
    </w:p>
    <w:p>
      <w:pPr>
        <w:jc w:val="both"/>
        <w:ind w:firstLine="360"/>
        <w:spacing w:after="0" w:line="274" w:lineRule="auto"/>
        <w:rPr>
          <w:sz w:val="20"/>
          <w:szCs w:val="20"/>
          <w:color w:val="auto"/>
        </w:rPr>
      </w:pPr>
      <w:r>
        <w:rPr>
          <w:rFonts w:ascii="Times New Roman" w:cs="Times New Roman" w:eastAsia="Times New Roman" w:hAnsi="Times New Roman"/>
          <w:sz w:val="22"/>
          <w:szCs w:val="22"/>
          <w:i w:val="1"/>
          <w:iCs w:val="1"/>
          <w:color w:val="auto"/>
        </w:rPr>
        <w:t>1.e. Digital rights management, including the execution of copy-protected “software;”</w:t>
      </w:r>
    </w:p>
    <w:p>
      <w:pPr>
        <w:spacing w:after="0" w:line="181" w:lineRule="exact"/>
        <w:rPr>
          <w:sz w:val="20"/>
          <w:szCs w:val="20"/>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i w:val="1"/>
          <w:iCs w:val="1"/>
          <w:color w:val="auto"/>
        </w:rPr>
        <w:t>1</w:t>
      </w:r>
      <w:r>
        <w:rPr>
          <w:rFonts w:ascii="Times New Roman" w:cs="Times New Roman" w:eastAsia="Times New Roman" w:hAnsi="Times New Roman"/>
          <w:sz w:val="22"/>
          <w:szCs w:val="22"/>
          <w:color w:val="auto"/>
        </w:rPr>
        <w:t>.</w:t>
      </w:r>
      <w:r>
        <w:rPr>
          <w:rFonts w:ascii="Times New Roman" w:cs="Times New Roman" w:eastAsia="Times New Roman" w:hAnsi="Times New Roman"/>
          <w:sz w:val="22"/>
          <w:szCs w:val="22"/>
          <w:i w:val="1"/>
          <w:iCs w:val="1"/>
          <w:color w:val="auto"/>
        </w:rPr>
        <w:t xml:space="preserve">f. Encryption or decryption in support of entertainment, mass commercial broadcasts or medical records management; </w:t>
      </w:r>
      <w:r>
        <w:rPr>
          <w:rFonts w:ascii="Times New Roman" w:cs="Times New Roman" w:eastAsia="Times New Roman" w:hAnsi="Times New Roman"/>
          <w:sz w:val="22"/>
          <w:szCs w:val="22"/>
          <w:i w:val="1"/>
          <w:iCs w:val="1"/>
          <w:u w:val="single" w:color="auto"/>
          <w:color w:val="auto"/>
        </w:rPr>
        <w:t>or</w:t>
      </w:r>
    </w:p>
    <w:p>
      <w:pPr>
        <w:spacing w:after="0" w:line="197"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i w:val="1"/>
          <w:iCs w:val="1"/>
          <w:color w:val="auto"/>
        </w:rPr>
        <w:t>1.g. Key management in support of any function described in paragraphs 1.a to 1.f of this Technical Note paragraph 1.</w:t>
      </w:r>
    </w:p>
    <w:p>
      <w:pPr>
        <w:spacing w:after="0" w:line="199" w:lineRule="exact"/>
        <w:rPr>
          <w:sz w:val="20"/>
          <w:szCs w:val="20"/>
          <w:color w:val="auto"/>
        </w:rPr>
      </w:pPr>
    </w:p>
    <w:p>
      <w:pPr>
        <w:spacing w:after="0" w:line="274" w:lineRule="auto"/>
        <w:tabs>
          <w:tab w:leader="none" w:pos="361" w:val="left"/>
        </w:tabs>
        <w:numPr>
          <w:ilvl w:val="0"/>
          <w:numId w:val="8"/>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For the purposes of 5A002.a, ‘described security algorithm’ means any of the following:</w:t>
      </w:r>
    </w:p>
    <w:p>
      <w:pPr>
        <w:spacing w:after="0" w:line="182"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i w:val="1"/>
          <w:iCs w:val="1"/>
          <w:color w:val="auto"/>
        </w:rPr>
        <w:t xml:space="preserve">2.a. A “symmetric algorithm” employing a key length in excess of 56 bits, not including parity bits; </w:t>
      </w:r>
      <w:r>
        <w:rPr>
          <w:rFonts w:ascii="Times New Roman" w:cs="Times New Roman" w:eastAsia="Times New Roman" w:hAnsi="Times New Roman"/>
          <w:sz w:val="22"/>
          <w:szCs w:val="22"/>
          <w:i w:val="1"/>
          <w:iCs w:val="1"/>
          <w:u w:val="single" w:color="auto"/>
          <w:color w:val="auto"/>
        </w:rPr>
        <w:t>or</w:t>
      </w:r>
    </w:p>
    <w:p>
      <w:pPr>
        <w:spacing w:after="0" w:line="199"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i w:val="1"/>
          <w:iCs w:val="1"/>
          <w:color w:val="auto"/>
        </w:rPr>
        <w:t>2.b. An “asymmetric algorithm” where the security of the algorithm is based on any of the following:</w:t>
      </w:r>
    </w:p>
    <w:p>
      <w:pPr>
        <w:spacing w:after="0" w:line="199" w:lineRule="exact"/>
        <w:rPr>
          <w:sz w:val="20"/>
          <w:szCs w:val="20"/>
          <w:color w:val="auto"/>
        </w:rPr>
      </w:pPr>
    </w:p>
    <w:p>
      <w:pPr>
        <w:jc w:val="both"/>
        <w:ind w:firstLine="720"/>
        <w:spacing w:after="0" w:line="274" w:lineRule="auto"/>
        <w:rPr>
          <w:sz w:val="20"/>
          <w:szCs w:val="20"/>
          <w:color w:val="auto"/>
        </w:rPr>
      </w:pPr>
      <w:r>
        <w:rPr>
          <w:rFonts w:ascii="Times New Roman" w:cs="Times New Roman" w:eastAsia="Times New Roman" w:hAnsi="Times New Roman"/>
          <w:sz w:val="22"/>
          <w:szCs w:val="22"/>
          <w:i w:val="1"/>
          <w:iCs w:val="1"/>
          <w:color w:val="auto"/>
        </w:rPr>
        <w:t>2.b.1. Factorization of integers in excess of 512 bits (e.g., RSA);</w:t>
      </w:r>
    </w:p>
    <w:p>
      <w:pPr>
        <w:spacing w:after="0" w:line="182" w:lineRule="exact"/>
        <w:rPr>
          <w:sz w:val="20"/>
          <w:szCs w:val="20"/>
          <w:color w:val="auto"/>
        </w:rPr>
      </w:pPr>
    </w:p>
    <w:p>
      <w:pPr>
        <w:jc w:val="both"/>
        <w:ind w:firstLine="720"/>
        <w:spacing w:after="0" w:line="251" w:lineRule="auto"/>
        <w:rPr>
          <w:sz w:val="20"/>
          <w:szCs w:val="20"/>
          <w:color w:val="auto"/>
        </w:rPr>
      </w:pPr>
      <w:r>
        <w:rPr>
          <w:rFonts w:ascii="Times New Roman" w:cs="Times New Roman" w:eastAsia="Times New Roman" w:hAnsi="Times New Roman"/>
          <w:sz w:val="22"/>
          <w:szCs w:val="22"/>
          <w:i w:val="1"/>
          <w:iCs w:val="1"/>
          <w:color w:val="auto"/>
        </w:rPr>
        <w:t xml:space="preserve">2.b.2. Computation of discrete logarithms in a multiplicative group of a finite field of size greater than 512 bits (e.g., Diffie-Hellman over Z/pZ); </w:t>
      </w:r>
      <w:r>
        <w:rPr>
          <w:rFonts w:ascii="Times New Roman" w:cs="Times New Roman" w:eastAsia="Times New Roman" w:hAnsi="Times New Roman"/>
          <w:sz w:val="22"/>
          <w:szCs w:val="22"/>
          <w:i w:val="1"/>
          <w:iCs w:val="1"/>
          <w:u w:val="single" w:color="auto"/>
          <w:color w:val="auto"/>
        </w:rPr>
        <w:t>or</w:t>
      </w:r>
    </w:p>
    <w:p>
      <w:pPr>
        <w:spacing w:after="0" w:line="207" w:lineRule="exact"/>
        <w:rPr>
          <w:sz w:val="20"/>
          <w:szCs w:val="20"/>
          <w:color w:val="auto"/>
        </w:rPr>
      </w:pPr>
    </w:p>
    <w:p>
      <w:pPr>
        <w:jc w:val="both"/>
        <w:ind w:firstLine="720"/>
        <w:spacing w:after="0" w:line="251" w:lineRule="auto"/>
        <w:rPr>
          <w:sz w:val="20"/>
          <w:szCs w:val="20"/>
          <w:color w:val="auto"/>
        </w:rPr>
      </w:pPr>
      <w:r>
        <w:rPr>
          <w:rFonts w:ascii="Times New Roman" w:cs="Times New Roman" w:eastAsia="Times New Roman" w:hAnsi="Times New Roman"/>
          <w:sz w:val="22"/>
          <w:szCs w:val="22"/>
          <w:i w:val="1"/>
          <w:iCs w:val="1"/>
          <w:color w:val="auto"/>
        </w:rPr>
        <w:t>2.b.3. Discrete logarithms in a group other than mentioned in paragraph 2.b.2 of this Technical Note in excess of 112 bits (e.g., Diffie-Hellman over an elliptic curve).</w:t>
      </w:r>
    </w:p>
    <w:p>
      <w:pPr>
        <w:spacing w:after="0" w:line="206"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i w:val="1"/>
          <w:iCs w:val="1"/>
          <w:color w:val="auto"/>
        </w:rPr>
        <w:t>2.c. An “asymmetric algorithm” where the security of the algorithm is based on any of the following:</w:t>
      </w:r>
    </w:p>
    <w:p>
      <w:pPr>
        <w:spacing w:after="0" w:line="199" w:lineRule="exact"/>
        <w:rPr>
          <w:sz w:val="20"/>
          <w:szCs w:val="20"/>
          <w:color w:val="auto"/>
        </w:rPr>
      </w:pPr>
    </w:p>
    <w:p>
      <w:pPr>
        <w:jc w:val="both"/>
        <w:ind w:firstLine="720"/>
        <w:spacing w:after="0" w:line="251" w:lineRule="auto"/>
        <w:rPr>
          <w:sz w:val="20"/>
          <w:szCs w:val="20"/>
          <w:color w:val="auto"/>
        </w:rPr>
      </w:pPr>
      <w:r>
        <w:rPr>
          <w:rFonts w:ascii="Times New Roman" w:cs="Times New Roman" w:eastAsia="Times New Roman" w:hAnsi="Times New Roman"/>
          <w:sz w:val="22"/>
          <w:szCs w:val="22"/>
          <w:i w:val="1"/>
          <w:iCs w:val="1"/>
          <w:color w:val="auto"/>
        </w:rPr>
        <w:t>2.c.1. Shortest vector or closest vector problems associated with lattices (e.g., NewHope, Frodo, NTRUEncrypt, Kyber, Titanium);</w:t>
      </w:r>
    </w:p>
    <w:p>
      <w:pPr>
        <w:spacing w:after="0" w:line="20" w:lineRule="exact"/>
        <w:rPr>
          <w:sz w:val="20"/>
          <w:szCs w:val="20"/>
          <w:color w:val="auto"/>
        </w:rPr>
      </w:pPr>
      <w:r>
        <w:rPr>
          <w:sz w:val="20"/>
          <w:szCs w:val="20"/>
          <w:color w:val="auto"/>
        </w:rPr>
        <w:br w:type="column"/>
      </w:r>
    </w:p>
    <w:p>
      <w:pPr>
        <w:spacing w:after="0" w:line="192" w:lineRule="exact"/>
        <w:rPr>
          <w:sz w:val="20"/>
          <w:szCs w:val="20"/>
          <w:color w:val="auto"/>
        </w:rPr>
      </w:pPr>
    </w:p>
    <w:p>
      <w:pPr>
        <w:ind w:left="720"/>
        <w:spacing w:after="0"/>
        <w:tabs>
          <w:tab w:leader="none" w:pos="1480" w:val="left"/>
          <w:tab w:leader="none" w:pos="2460" w:val="left"/>
          <w:tab w:leader="none" w:pos="3580" w:val="left"/>
        </w:tabs>
        <w:rPr>
          <w:sz w:val="20"/>
          <w:szCs w:val="20"/>
          <w:color w:val="auto"/>
        </w:rPr>
      </w:pPr>
      <w:r>
        <w:rPr>
          <w:rFonts w:ascii="Times New Roman" w:cs="Times New Roman" w:eastAsia="Times New Roman" w:hAnsi="Times New Roman"/>
          <w:sz w:val="22"/>
          <w:szCs w:val="22"/>
          <w:i w:val="1"/>
          <w:iCs w:val="1"/>
          <w:color w:val="auto"/>
        </w:rPr>
        <w:t>2.c.2.</w:t>
        <w:tab/>
        <w:t>Finding</w:t>
        <w:tab/>
        <w:t>isogenies</w:t>
      </w:r>
      <w:r>
        <w:rPr>
          <w:sz w:val="20"/>
          <w:szCs w:val="20"/>
          <w:color w:val="auto"/>
        </w:rPr>
        <w:tab/>
      </w:r>
      <w:r>
        <w:rPr>
          <w:rFonts w:ascii="Times New Roman" w:cs="Times New Roman" w:eastAsia="Times New Roman" w:hAnsi="Times New Roman"/>
          <w:sz w:val="21"/>
          <w:szCs w:val="21"/>
          <w:i w:val="1"/>
          <w:iCs w:val="1"/>
          <w:color w:val="auto"/>
        </w:rPr>
        <w:t>between</w:t>
      </w:r>
    </w:p>
    <w:p>
      <w:pPr>
        <w:spacing w:after="0" w:line="4"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i w:val="1"/>
          <w:iCs w:val="1"/>
          <w:color w:val="auto"/>
        </w:rPr>
        <w:t xml:space="preserve">Supersingular elliptic curves (e.g., Supersingular Isogeny Key Encapsulation); </w:t>
      </w:r>
      <w:r>
        <w:rPr>
          <w:rFonts w:ascii="Times New Roman" w:cs="Times New Roman" w:eastAsia="Times New Roman" w:hAnsi="Times New Roman"/>
          <w:sz w:val="22"/>
          <w:szCs w:val="22"/>
          <w:i w:val="1"/>
          <w:iCs w:val="1"/>
          <w:u w:val="single" w:color="auto"/>
          <w:color w:val="auto"/>
        </w:rPr>
        <w:t>or</w:t>
      </w:r>
    </w:p>
    <w:p>
      <w:pPr>
        <w:spacing w:after="0" w:line="185" w:lineRule="exact"/>
        <w:rPr>
          <w:sz w:val="20"/>
          <w:szCs w:val="20"/>
          <w:color w:val="auto"/>
        </w:rPr>
      </w:pPr>
    </w:p>
    <w:p>
      <w:pPr>
        <w:jc w:val="both"/>
        <w:ind w:firstLine="720"/>
        <w:spacing w:after="0" w:line="274" w:lineRule="auto"/>
        <w:rPr>
          <w:sz w:val="20"/>
          <w:szCs w:val="20"/>
          <w:color w:val="auto"/>
        </w:rPr>
      </w:pPr>
      <w:r>
        <w:rPr>
          <w:rFonts w:ascii="Times New Roman" w:cs="Times New Roman" w:eastAsia="Times New Roman" w:hAnsi="Times New Roman"/>
          <w:sz w:val="22"/>
          <w:szCs w:val="22"/>
          <w:i w:val="1"/>
          <w:iCs w:val="1"/>
          <w:color w:val="auto"/>
        </w:rPr>
        <w:t>2. c.3. Decoding random codes (e.g., McEliece, Niederreiter).</w:t>
      </w:r>
    </w:p>
    <w:p>
      <w:pPr>
        <w:spacing w:after="0" w:line="180"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An algorithm described by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Technical Note 2.c. may be referred to as being post-quantum, quantum-safe or quantum-resistant.</w:t>
      </w:r>
    </w:p>
    <w:p>
      <w:pPr>
        <w:spacing w:after="0" w:line="202"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Note 1</w:t>
      </w:r>
      <w:r>
        <w:rPr>
          <w:rFonts w:ascii="Times New Roman" w:cs="Times New Roman" w:eastAsia="Times New Roman" w:hAnsi="Times New Roman"/>
          <w:sz w:val="22"/>
          <w:szCs w:val="22"/>
          <w:i w:val="1"/>
          <w:iCs w:val="1"/>
          <w:color w:val="auto"/>
        </w:rPr>
        <w:t>: Details of items must be accessible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and provided upon request, in order to establish any of the following:</w:t>
      </w:r>
    </w:p>
    <w:p>
      <w:pPr>
        <w:spacing w:after="0" w:line="201" w:lineRule="exact"/>
        <w:rPr>
          <w:sz w:val="20"/>
          <w:szCs w:val="20"/>
          <w:color w:val="auto"/>
        </w:rPr>
      </w:pPr>
    </w:p>
    <w:p>
      <w:pPr>
        <w:ind w:firstLine="360"/>
        <w:spacing w:after="0" w:line="274" w:lineRule="auto"/>
        <w:tabs>
          <w:tab w:leader="none" w:pos="720" w:val="left"/>
        </w:tabs>
        <w:numPr>
          <w:ilvl w:val="0"/>
          <w:numId w:val="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 xml:space="preserve">Whether the item meets the criteria of 5A002.a.1 to a.4; </w:t>
      </w:r>
      <w:r>
        <w:rPr>
          <w:rFonts w:ascii="Times New Roman" w:cs="Times New Roman" w:eastAsia="Times New Roman" w:hAnsi="Times New Roman"/>
          <w:sz w:val="22"/>
          <w:szCs w:val="22"/>
          <w:i w:val="1"/>
          <w:iCs w:val="1"/>
          <w:u w:val="single" w:color="auto"/>
          <w:color w:val="auto"/>
        </w:rPr>
        <w:t>or</w:t>
      </w:r>
    </w:p>
    <w:p>
      <w:pPr>
        <w:spacing w:after="0" w:line="180" w:lineRule="exact"/>
        <w:rPr>
          <w:rFonts w:ascii="Times New Roman" w:cs="Times New Roman" w:eastAsia="Times New Roman" w:hAnsi="Times New Roman"/>
          <w:sz w:val="22"/>
          <w:szCs w:val="22"/>
          <w:i w:val="1"/>
          <w:iCs w:val="1"/>
          <w:color w:val="auto"/>
        </w:rPr>
      </w:pPr>
    </w:p>
    <w:p>
      <w:pPr>
        <w:jc w:val="both"/>
        <w:ind w:firstLine="360"/>
        <w:spacing w:after="0" w:line="257" w:lineRule="auto"/>
        <w:tabs>
          <w:tab w:leader="none" w:pos="721" w:val="left"/>
        </w:tabs>
        <w:numPr>
          <w:ilvl w:val="0"/>
          <w:numId w:val="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Whether the cryptographic capability for data confidentiality specified by 5A002.a is usable without “cryptographic activation.”</w:t>
      </w:r>
    </w:p>
    <w:p>
      <w:pPr>
        <w:spacing w:after="0" w:line="198"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b w:val="1"/>
          <w:bCs w:val="1"/>
          <w:i w:val="1"/>
          <w:iCs w:val="1"/>
          <w:color w:val="auto"/>
        </w:rPr>
        <w:t>Note 2</w:t>
      </w:r>
      <w:r>
        <w:rPr>
          <w:rFonts w:ascii="Times New Roman" w:cs="Times New Roman" w:eastAsia="Times New Roman" w:hAnsi="Times New Roman"/>
          <w:sz w:val="22"/>
          <w:szCs w:val="22"/>
          <w:i w:val="1"/>
          <w:iCs w:val="1"/>
          <w:color w:val="auto"/>
        </w:rPr>
        <w:t>: 5A002.a does not control any of the</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following items, or specially designed “information security” components therefor:</w:t>
      </w:r>
    </w:p>
    <w:p>
      <w:pPr>
        <w:spacing w:after="0" w:line="201" w:lineRule="exact"/>
        <w:rPr>
          <w:sz w:val="20"/>
          <w:szCs w:val="20"/>
          <w:color w:val="auto"/>
        </w:rPr>
      </w:pPr>
    </w:p>
    <w:p>
      <w:pPr>
        <w:jc w:val="both"/>
        <w:spacing w:after="0" w:line="274" w:lineRule="auto"/>
        <w:rPr>
          <w:sz w:val="20"/>
          <w:szCs w:val="20"/>
          <w:color w:val="auto"/>
        </w:rPr>
      </w:pPr>
      <w:r>
        <w:rPr>
          <w:rFonts w:ascii="Times New Roman" w:cs="Times New Roman" w:eastAsia="Times New Roman" w:hAnsi="Times New Roman"/>
          <w:sz w:val="22"/>
          <w:szCs w:val="22"/>
          <w:i w:val="1"/>
          <w:iCs w:val="1"/>
          <w:color w:val="auto"/>
        </w:rPr>
        <w:t>a. Smart cards and smart card ‘readers/writers’ as follows:</w:t>
      </w:r>
    </w:p>
    <w:p>
      <w:pPr>
        <w:spacing w:after="0" w:line="181"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i w:val="1"/>
          <w:iCs w:val="1"/>
          <w:color w:val="auto"/>
        </w:rPr>
        <w:t>a.1. A smart card or an electronically readable personal document (e.g., token coin, e-passport) that meets any of the following:</w:t>
      </w:r>
    </w:p>
    <w:p>
      <w:pPr>
        <w:spacing w:after="0" w:line="200" w:lineRule="exact"/>
        <w:rPr>
          <w:sz w:val="20"/>
          <w:szCs w:val="20"/>
          <w:color w:val="auto"/>
        </w:rPr>
      </w:pPr>
    </w:p>
    <w:p>
      <w:pPr>
        <w:jc w:val="both"/>
        <w:ind w:firstLine="720"/>
        <w:spacing w:after="0" w:line="273" w:lineRule="auto"/>
        <w:rPr>
          <w:sz w:val="20"/>
          <w:szCs w:val="20"/>
          <w:color w:val="auto"/>
        </w:rPr>
      </w:pPr>
      <w:r>
        <w:rPr>
          <w:rFonts w:ascii="Times New Roman" w:cs="Times New Roman" w:eastAsia="Times New Roman" w:hAnsi="Times New Roman"/>
          <w:sz w:val="22"/>
          <w:szCs w:val="22"/>
          <w:i w:val="1"/>
          <w:iCs w:val="1"/>
          <w:color w:val="auto"/>
        </w:rPr>
        <w:t>a.1.a. The cryptographic capability meets all of the following:</w:t>
      </w:r>
    </w:p>
    <w:p>
      <w:pPr>
        <w:spacing w:after="0" w:line="183" w:lineRule="exact"/>
        <w:rPr>
          <w:sz w:val="20"/>
          <w:szCs w:val="20"/>
          <w:color w:val="auto"/>
        </w:rPr>
      </w:pPr>
    </w:p>
    <w:p>
      <w:pPr>
        <w:jc w:val="both"/>
        <w:ind w:firstLine="1080"/>
        <w:spacing w:after="0" w:line="274" w:lineRule="auto"/>
        <w:rPr>
          <w:sz w:val="20"/>
          <w:szCs w:val="20"/>
          <w:color w:val="auto"/>
        </w:rPr>
      </w:pPr>
      <w:r>
        <w:rPr>
          <w:rFonts w:ascii="Times New Roman" w:cs="Times New Roman" w:eastAsia="Times New Roman" w:hAnsi="Times New Roman"/>
          <w:sz w:val="22"/>
          <w:szCs w:val="22"/>
          <w:i w:val="1"/>
          <w:iCs w:val="1"/>
          <w:color w:val="auto"/>
        </w:rPr>
        <w:t>a.1.a.1. It is restricted for use in any of the following:</w:t>
      </w:r>
    </w:p>
    <w:p>
      <w:pPr>
        <w:spacing w:after="0" w:line="181" w:lineRule="exact"/>
        <w:rPr>
          <w:sz w:val="20"/>
          <w:szCs w:val="20"/>
          <w:color w:val="auto"/>
        </w:rPr>
      </w:pPr>
    </w:p>
    <w:p>
      <w:pPr>
        <w:ind w:left="1440"/>
        <w:spacing w:after="0"/>
        <w:tabs>
          <w:tab w:leader="none" w:pos="2840" w:val="left"/>
          <w:tab w:leader="none" w:pos="4100" w:val="left"/>
        </w:tabs>
        <w:rPr>
          <w:sz w:val="20"/>
          <w:szCs w:val="20"/>
          <w:color w:val="auto"/>
        </w:rPr>
      </w:pPr>
      <w:r>
        <w:rPr>
          <w:rFonts w:ascii="Times New Roman" w:cs="Times New Roman" w:eastAsia="Times New Roman" w:hAnsi="Times New Roman"/>
          <w:sz w:val="22"/>
          <w:szCs w:val="22"/>
          <w:i w:val="1"/>
          <w:iCs w:val="1"/>
          <w:color w:val="auto"/>
        </w:rPr>
        <w:t>a.1.a.1.a.</w:t>
      </w:r>
      <w:r>
        <w:rPr>
          <w:sz w:val="20"/>
          <w:szCs w:val="20"/>
          <w:color w:val="auto"/>
        </w:rPr>
        <w:tab/>
      </w:r>
      <w:r>
        <w:rPr>
          <w:rFonts w:ascii="Times New Roman" w:cs="Times New Roman" w:eastAsia="Times New Roman" w:hAnsi="Times New Roman"/>
          <w:sz w:val="22"/>
          <w:szCs w:val="22"/>
          <w:i w:val="1"/>
          <w:iCs w:val="1"/>
          <w:color w:val="auto"/>
        </w:rPr>
        <w:t>Equipment</w:t>
        <w:tab/>
        <w:t>or</w:t>
      </w:r>
    </w:p>
    <w:p>
      <w:pPr>
        <w:spacing w:after="0" w:line="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systems, not described by 5A002.a.1 to a.4;</w:t>
      </w:r>
    </w:p>
    <w:p>
      <w:pPr>
        <w:spacing w:after="0" w:line="249" w:lineRule="exact"/>
        <w:rPr>
          <w:sz w:val="20"/>
          <w:szCs w:val="20"/>
          <w:color w:val="auto"/>
        </w:rPr>
      </w:pPr>
    </w:p>
    <w:p>
      <w:pPr>
        <w:ind w:left="1440"/>
        <w:spacing w:after="0"/>
        <w:rPr>
          <w:sz w:val="20"/>
          <w:szCs w:val="20"/>
          <w:color w:val="auto"/>
        </w:rPr>
      </w:pPr>
      <w:r>
        <w:rPr>
          <w:rFonts w:ascii="Times New Roman" w:cs="Times New Roman" w:eastAsia="Times New Roman" w:hAnsi="Times New Roman"/>
          <w:sz w:val="22"/>
          <w:szCs w:val="22"/>
          <w:i w:val="1"/>
          <w:iCs w:val="1"/>
          <w:color w:val="auto"/>
        </w:rPr>
        <w:t>a.1.a.1.b. Equipment or systems,</w:t>
      </w:r>
    </w:p>
    <w:p>
      <w:pPr>
        <w:spacing w:after="0" w:line="4" w:lineRule="exact"/>
        <w:rPr>
          <w:sz w:val="20"/>
          <w:szCs w:val="20"/>
          <w:color w:val="auto"/>
        </w:rPr>
      </w:pPr>
    </w:p>
    <w:p>
      <w:pPr>
        <w:jc w:val="both"/>
        <w:spacing w:after="0" w:line="260" w:lineRule="auto"/>
        <w:rPr>
          <w:sz w:val="20"/>
          <w:szCs w:val="20"/>
          <w:color w:val="auto"/>
        </w:rPr>
      </w:pPr>
      <w:r>
        <w:rPr>
          <w:rFonts w:ascii="Times New Roman" w:cs="Times New Roman" w:eastAsia="Times New Roman" w:hAnsi="Times New Roman"/>
          <w:sz w:val="22"/>
          <w:szCs w:val="22"/>
          <w:i w:val="1"/>
          <w:iCs w:val="1"/>
          <w:color w:val="auto"/>
        </w:rPr>
        <w:t xml:space="preserve">not using ‘cryptography for data confidentiality’ having a ‘described security algorithm’; </w:t>
      </w:r>
      <w:r>
        <w:rPr>
          <w:rFonts w:ascii="Times New Roman" w:cs="Times New Roman" w:eastAsia="Times New Roman" w:hAnsi="Times New Roman"/>
          <w:sz w:val="22"/>
          <w:szCs w:val="22"/>
          <w:i w:val="1"/>
          <w:iCs w:val="1"/>
          <w:u w:val="single" w:color="auto"/>
          <w:color w:val="auto"/>
        </w:rPr>
        <w:t>or</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200" w:lineRule="exact"/>
        <w:rPr>
          <w:sz w:val="20"/>
          <w:szCs w:val="20"/>
          <w:color w:val="auto"/>
        </w:rPr>
      </w:pPr>
    </w:p>
    <w:p>
      <w:pPr>
        <w:spacing w:after="0" w:line="252"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4" w:name="page5"/>
    <w:bookmarkEnd w:id="4"/>
    <w:p>
      <w:pPr>
        <w:spacing w:after="0"/>
        <w:tabs>
          <w:tab w:leader="none" w:pos="3540" w:val="left"/>
          <w:tab w:leader="none" w:pos="66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Info. Security—page 5</w:t>
      </w:r>
    </w:p>
    <w:p>
      <w:pPr>
        <w:sectPr>
          <w:pgSz w:w="12240" w:h="15840" w:orient="portrait"/>
          <w:cols w:equalWidth="0" w:num="1">
            <w:col w:w="9360"/>
          </w:cols>
          <w:pgMar w:left="1440" w:top="1422" w:right="1440" w:bottom="892" w:gutter="0" w:footer="0" w:header="0"/>
        </w:sectPr>
      </w:pPr>
    </w:p>
    <w:p>
      <w:pPr>
        <w:spacing w:after="0" w:line="200" w:lineRule="exact"/>
        <w:rPr>
          <w:sz w:val="20"/>
          <w:szCs w:val="20"/>
          <w:color w:val="auto"/>
        </w:rPr>
      </w:pPr>
    </w:p>
    <w:p>
      <w:pPr>
        <w:spacing w:after="0" w:line="265" w:lineRule="exact"/>
        <w:rPr>
          <w:sz w:val="20"/>
          <w:szCs w:val="20"/>
          <w:color w:val="auto"/>
        </w:rPr>
      </w:pPr>
    </w:p>
    <w:p>
      <w:pPr>
        <w:jc w:val="both"/>
        <w:ind w:firstLine="1440"/>
        <w:spacing w:after="0" w:line="257" w:lineRule="auto"/>
        <w:rPr>
          <w:sz w:val="20"/>
          <w:szCs w:val="20"/>
          <w:color w:val="auto"/>
        </w:rPr>
      </w:pPr>
      <w:r>
        <w:rPr>
          <w:rFonts w:ascii="Times New Roman" w:cs="Times New Roman" w:eastAsia="Times New Roman" w:hAnsi="Times New Roman"/>
          <w:sz w:val="22"/>
          <w:szCs w:val="22"/>
          <w:i w:val="1"/>
          <w:iCs w:val="1"/>
          <w:color w:val="auto"/>
        </w:rPr>
        <w:t xml:space="preserve">a.1.a.1.c. Equipment or systems, excluded from 5A002.a by entries b. to f. of this Note; </w:t>
      </w:r>
      <w:r>
        <w:rPr>
          <w:rFonts w:ascii="Times New Roman" w:cs="Times New Roman" w:eastAsia="Times New Roman" w:hAnsi="Times New Roman"/>
          <w:sz w:val="22"/>
          <w:szCs w:val="22"/>
          <w:i w:val="1"/>
          <w:iCs w:val="1"/>
          <w:u w:val="single" w:color="auto"/>
          <w:color w:val="auto"/>
        </w:rPr>
        <w:t>and</w:t>
      </w:r>
    </w:p>
    <w:p>
      <w:pPr>
        <w:spacing w:after="0" w:line="199" w:lineRule="exact"/>
        <w:rPr>
          <w:sz w:val="20"/>
          <w:szCs w:val="20"/>
          <w:color w:val="auto"/>
        </w:rPr>
      </w:pPr>
    </w:p>
    <w:p>
      <w:pPr>
        <w:jc w:val="both"/>
        <w:ind w:firstLine="1080"/>
        <w:spacing w:after="0" w:line="274" w:lineRule="auto"/>
        <w:rPr>
          <w:sz w:val="20"/>
          <w:szCs w:val="20"/>
          <w:color w:val="auto"/>
        </w:rPr>
      </w:pPr>
      <w:r>
        <w:rPr>
          <w:rFonts w:ascii="Times New Roman" w:cs="Times New Roman" w:eastAsia="Times New Roman" w:hAnsi="Times New Roman"/>
          <w:sz w:val="22"/>
          <w:szCs w:val="22"/>
          <w:i w:val="1"/>
          <w:iCs w:val="1"/>
          <w:color w:val="auto"/>
        </w:rPr>
        <w:t xml:space="preserve">a.1.a.2. It cannot be reprogrammed for any other use; </w:t>
      </w:r>
      <w:r>
        <w:rPr>
          <w:rFonts w:ascii="Times New Roman" w:cs="Times New Roman" w:eastAsia="Times New Roman" w:hAnsi="Times New Roman"/>
          <w:sz w:val="22"/>
          <w:szCs w:val="22"/>
          <w:i w:val="1"/>
          <w:iCs w:val="1"/>
          <w:u w:val="single" w:color="auto"/>
          <w:color w:val="auto"/>
        </w:rPr>
        <w:t>or</w:t>
      </w:r>
    </w:p>
    <w:p>
      <w:pPr>
        <w:spacing w:after="0" w:line="181"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i w:val="1"/>
          <w:iCs w:val="1"/>
          <w:color w:val="auto"/>
        </w:rPr>
        <w:t>a.1.b. Having all of the following:</w:t>
      </w:r>
    </w:p>
    <w:p>
      <w:pPr>
        <w:spacing w:after="0" w:line="253" w:lineRule="exact"/>
        <w:rPr>
          <w:sz w:val="20"/>
          <w:szCs w:val="20"/>
          <w:color w:val="auto"/>
        </w:rPr>
      </w:pPr>
    </w:p>
    <w:p>
      <w:pPr>
        <w:jc w:val="both"/>
        <w:ind w:firstLine="1080"/>
        <w:spacing w:after="0" w:line="257" w:lineRule="auto"/>
        <w:rPr>
          <w:sz w:val="20"/>
          <w:szCs w:val="20"/>
          <w:color w:val="auto"/>
        </w:rPr>
      </w:pPr>
      <w:r>
        <w:rPr>
          <w:rFonts w:ascii="Times New Roman" w:cs="Times New Roman" w:eastAsia="Times New Roman" w:hAnsi="Times New Roman"/>
          <w:sz w:val="22"/>
          <w:szCs w:val="22"/>
          <w:i w:val="1"/>
          <w:iCs w:val="1"/>
          <w:color w:val="auto"/>
        </w:rPr>
        <w:t>a.1.b.1. It is specially designed and limited to allow protection of ‘personal data’ stored within;</w:t>
      </w:r>
    </w:p>
    <w:p>
      <w:pPr>
        <w:spacing w:after="0" w:line="199" w:lineRule="exact"/>
        <w:rPr>
          <w:sz w:val="20"/>
          <w:szCs w:val="20"/>
          <w:color w:val="auto"/>
        </w:rPr>
      </w:pPr>
    </w:p>
    <w:p>
      <w:pPr>
        <w:jc w:val="both"/>
        <w:ind w:firstLine="1080"/>
        <w:spacing w:after="0" w:line="257" w:lineRule="auto"/>
        <w:rPr>
          <w:sz w:val="20"/>
          <w:szCs w:val="20"/>
          <w:color w:val="auto"/>
        </w:rPr>
      </w:pPr>
      <w:r>
        <w:rPr>
          <w:rFonts w:ascii="Times New Roman" w:cs="Times New Roman" w:eastAsia="Times New Roman" w:hAnsi="Times New Roman"/>
          <w:sz w:val="22"/>
          <w:szCs w:val="22"/>
          <w:i w:val="1"/>
          <w:iCs w:val="1"/>
          <w:color w:val="auto"/>
        </w:rPr>
        <w:t xml:space="preserve">a.1.b.2. Has been, or can only be, personalized for public or commercial transactions or individual identification; </w:t>
      </w:r>
      <w:r>
        <w:rPr>
          <w:rFonts w:ascii="Times New Roman" w:cs="Times New Roman" w:eastAsia="Times New Roman" w:hAnsi="Times New Roman"/>
          <w:sz w:val="22"/>
          <w:szCs w:val="22"/>
          <w:i w:val="1"/>
          <w:iCs w:val="1"/>
          <w:u w:val="single" w:color="auto"/>
          <w:color w:val="auto"/>
        </w:rPr>
        <w:t>and</w:t>
      </w:r>
    </w:p>
    <w:p>
      <w:pPr>
        <w:spacing w:after="0" w:line="199" w:lineRule="exact"/>
        <w:rPr>
          <w:sz w:val="20"/>
          <w:szCs w:val="20"/>
          <w:color w:val="auto"/>
        </w:rPr>
      </w:pPr>
    </w:p>
    <w:p>
      <w:pPr>
        <w:jc w:val="both"/>
        <w:ind w:firstLine="1080"/>
        <w:spacing w:after="0" w:line="274" w:lineRule="auto"/>
        <w:rPr>
          <w:sz w:val="20"/>
          <w:szCs w:val="20"/>
          <w:color w:val="auto"/>
        </w:rPr>
      </w:pPr>
      <w:r>
        <w:rPr>
          <w:rFonts w:ascii="Times New Roman" w:cs="Times New Roman" w:eastAsia="Times New Roman" w:hAnsi="Times New Roman"/>
          <w:sz w:val="22"/>
          <w:szCs w:val="22"/>
          <w:i w:val="1"/>
          <w:iCs w:val="1"/>
          <w:color w:val="auto"/>
        </w:rPr>
        <w:t>a.1.b.3. Where the cryptographic capability is not user-accessible;</w:t>
      </w:r>
    </w:p>
    <w:p>
      <w:pPr>
        <w:spacing w:after="0" w:line="180" w:lineRule="exact"/>
        <w:rPr>
          <w:sz w:val="20"/>
          <w:szCs w:val="20"/>
          <w:color w:val="auto"/>
        </w:rPr>
      </w:pPr>
    </w:p>
    <w:p>
      <w:pPr>
        <w:jc w:val="both"/>
        <w:ind w:firstLine="72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to paragraph a.1.b of Note 2 </w:t>
      </w:r>
      <w:r>
        <w:rPr>
          <w:rFonts w:ascii="Times New Roman" w:cs="Times New Roman" w:eastAsia="Times New Roman" w:hAnsi="Times New Roman"/>
          <w:sz w:val="22"/>
          <w:szCs w:val="22"/>
          <w:i w:val="1"/>
          <w:iCs w:val="1"/>
          <w:color w:val="auto"/>
        </w:rPr>
        <w:t>: ‘Personal data’ includes any data</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specific to a particular person or entity, such as the amount of money stored and data necessary for “authentication.”</w:t>
      </w:r>
    </w:p>
    <w:p>
      <w:pPr>
        <w:spacing w:after="0" w:line="208" w:lineRule="exact"/>
        <w:rPr>
          <w:sz w:val="20"/>
          <w:szCs w:val="20"/>
          <w:color w:val="auto"/>
        </w:rPr>
      </w:pPr>
    </w:p>
    <w:p>
      <w:pPr>
        <w:jc w:val="both"/>
        <w:ind w:firstLine="360"/>
        <w:spacing w:after="0" w:line="257" w:lineRule="auto"/>
        <w:rPr>
          <w:sz w:val="20"/>
          <w:szCs w:val="20"/>
          <w:color w:val="auto"/>
        </w:rPr>
      </w:pPr>
      <w:r>
        <w:rPr>
          <w:rFonts w:ascii="Times New Roman" w:cs="Times New Roman" w:eastAsia="Times New Roman" w:hAnsi="Times New Roman"/>
          <w:sz w:val="22"/>
          <w:szCs w:val="22"/>
          <w:i w:val="1"/>
          <w:iCs w:val="1"/>
          <w:color w:val="auto"/>
        </w:rPr>
        <w:t>a.2. ‘Readers/writers’ specially designed or modified, and limited, for items specified by paragraph a.1 of this Note;</w:t>
      </w:r>
    </w:p>
    <w:p>
      <w:pPr>
        <w:spacing w:after="0" w:line="197"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Technical Note to paragraph a.2 of Note 2</w:t>
      </w:r>
      <w:r>
        <w:rPr>
          <w:rFonts w:ascii="Times New Roman" w:cs="Times New Roman" w:eastAsia="Times New Roman" w:hAnsi="Times New Roman"/>
          <w:sz w:val="22"/>
          <w:szCs w:val="22"/>
          <w:i w:val="1"/>
          <w:i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‘Readers/writers’ include equipment that communicates with smart cards or electronically readable documents through a network.</w:t>
      </w:r>
    </w:p>
    <w:p>
      <w:pPr>
        <w:spacing w:after="0" w:line="204" w:lineRule="exact"/>
        <w:rPr>
          <w:sz w:val="20"/>
          <w:szCs w:val="20"/>
          <w:color w:val="auto"/>
        </w:rPr>
      </w:pPr>
    </w:p>
    <w:p>
      <w:pPr>
        <w:jc w:val="both"/>
        <w:spacing w:after="0" w:line="257" w:lineRule="auto"/>
        <w:rPr>
          <w:sz w:val="20"/>
          <w:szCs w:val="20"/>
          <w:color w:val="auto"/>
        </w:rPr>
      </w:pPr>
      <w:r>
        <w:rPr>
          <w:rFonts w:ascii="Times New Roman" w:cs="Times New Roman" w:eastAsia="Times New Roman" w:hAnsi="Times New Roman"/>
          <w:sz w:val="22"/>
          <w:szCs w:val="22"/>
          <w:i w:val="1"/>
          <w:iCs w:val="1"/>
          <w:color w:val="auto"/>
        </w:rPr>
        <w:t>b. Cryptographic equipment specially designed and limited for banking use or ‘money transactions’;</w:t>
      </w:r>
    </w:p>
    <w:p>
      <w:pPr>
        <w:spacing w:after="0" w:line="197"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Technical Note to paragraph b. of Note 2</w:t>
      </w:r>
      <w:r>
        <w:rPr>
          <w:rFonts w:ascii="Times New Roman" w:cs="Times New Roman" w:eastAsia="Times New Roman" w:hAnsi="Times New Roman"/>
          <w:sz w:val="22"/>
          <w:szCs w:val="22"/>
          <w:i w:val="1"/>
          <w:iCs w:val="1"/>
          <w:color w:val="auto"/>
        </w:rPr>
        <w:t>:</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‘Money transactions’ in 5A002 Note 2 paragraph b. includes the collection and settlement of fares or credit functions.</w:t>
      </w:r>
    </w:p>
    <w:p>
      <w:pPr>
        <w:spacing w:after="0" w:line="205" w:lineRule="exact"/>
        <w:rPr>
          <w:sz w:val="20"/>
          <w:szCs w:val="20"/>
          <w:color w:val="auto"/>
        </w:rPr>
      </w:pPr>
    </w:p>
    <w:p>
      <w:pPr>
        <w:jc w:val="both"/>
        <w:spacing w:after="0" w:line="273" w:lineRule="auto"/>
        <w:rPr>
          <w:sz w:val="20"/>
          <w:szCs w:val="20"/>
          <w:color w:val="auto"/>
        </w:rPr>
      </w:pPr>
      <w:r>
        <w:rPr>
          <w:rFonts w:ascii="Times New Roman" w:cs="Times New Roman" w:eastAsia="Times New Roman" w:hAnsi="Times New Roman"/>
          <w:sz w:val="22"/>
          <w:szCs w:val="22"/>
          <w:i w:val="1"/>
          <w:iCs w:val="1"/>
          <w:color w:val="auto"/>
        </w:rPr>
        <w:t>c. Portable or mobile radiotelephones for civil use (e.g., for use with commercial civil cellular</w:t>
      </w:r>
    </w:p>
    <w:p>
      <w:pPr>
        <w:spacing w:after="0" w:line="20" w:lineRule="exact"/>
        <w:rPr>
          <w:sz w:val="20"/>
          <w:szCs w:val="20"/>
          <w:color w:val="auto"/>
        </w:rPr>
      </w:pPr>
      <w:r>
        <w:rPr>
          <w:sz w:val="20"/>
          <w:szCs w:val="20"/>
          <w:color w:val="auto"/>
        </w:rPr>
        <w:br w:type="column"/>
      </w:r>
    </w:p>
    <w:p>
      <w:pPr>
        <w:spacing w:after="0" w:line="192" w:lineRule="exact"/>
        <w:rPr>
          <w:sz w:val="20"/>
          <w:szCs w:val="20"/>
          <w:color w:val="auto"/>
        </w:rPr>
      </w:pPr>
    </w:p>
    <w:p>
      <w:pPr>
        <w:jc w:val="both"/>
        <w:spacing w:after="0" w:line="245" w:lineRule="auto"/>
        <w:rPr>
          <w:sz w:val="20"/>
          <w:szCs w:val="20"/>
          <w:color w:val="auto"/>
        </w:rPr>
      </w:pPr>
      <w:r>
        <w:rPr>
          <w:rFonts w:ascii="Times New Roman" w:cs="Times New Roman" w:eastAsia="Times New Roman" w:hAnsi="Times New Roman"/>
          <w:sz w:val="22"/>
          <w:szCs w:val="22"/>
          <w:i w:val="1"/>
          <w:iCs w:val="1"/>
          <w:color w:val="auto"/>
        </w:rPr>
        <w:t>radio communication systems) that are not capable of transmitting encrypted data directly to another radiotelephone or equipment (other than Radio Access Network (RAN) equipment), nor of passing encrypted data through RAN equipment (e.g., Radio Network Controller (RNC) or Base Station Controller (BSC));</w:t>
      </w:r>
    </w:p>
    <w:p>
      <w:pPr>
        <w:spacing w:after="0" w:line="215" w:lineRule="exact"/>
        <w:rPr>
          <w:sz w:val="20"/>
          <w:szCs w:val="20"/>
          <w:color w:val="auto"/>
        </w:rPr>
      </w:pPr>
    </w:p>
    <w:p>
      <w:pPr>
        <w:jc w:val="both"/>
        <w:spacing w:after="0" w:line="246" w:lineRule="auto"/>
        <w:tabs>
          <w:tab w:leader="none" w:pos="361" w:val="left"/>
        </w:tabs>
        <w:numPr>
          <w:ilvl w:val="0"/>
          <w:numId w:val="1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Cordless telephone equipment not capable of end-to-end encryption where the maximum effective range of unboosted cordless operation (i.e., a single, unrelayed hop between terminal and home base station) is less than 400 meters according to the manufacturer’s specifications;</w:t>
      </w:r>
    </w:p>
    <w:p>
      <w:pPr>
        <w:spacing w:after="0" w:line="215" w:lineRule="exact"/>
        <w:rPr>
          <w:rFonts w:ascii="Times New Roman" w:cs="Times New Roman" w:eastAsia="Times New Roman" w:hAnsi="Times New Roman"/>
          <w:sz w:val="22"/>
          <w:szCs w:val="22"/>
          <w:i w:val="1"/>
          <w:iCs w:val="1"/>
          <w:color w:val="auto"/>
        </w:rPr>
      </w:pPr>
    </w:p>
    <w:p>
      <w:pPr>
        <w:jc w:val="both"/>
        <w:spacing w:after="0" w:line="243" w:lineRule="auto"/>
        <w:tabs>
          <w:tab w:leader="none" w:pos="360" w:val="left"/>
        </w:tabs>
        <w:numPr>
          <w:ilvl w:val="0"/>
          <w:numId w:val="1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Portable or mobile radiotelephones and similar client wireless devices for civil use, that implement only published or commercial cryptographic standards (except for anti-piracy functions, which may be non-published) and also meet the provisions of paragraphs a.2 to a.4 of the Cryptography Note (Note 3 in Category 5 – Part 2), that have been customized for a specific civil industry application with features that do not affect the cryptographic functionality of these original non-customized devices;</w:t>
      </w:r>
    </w:p>
    <w:p>
      <w:pPr>
        <w:spacing w:after="0" w:line="215" w:lineRule="exact"/>
        <w:rPr>
          <w:rFonts w:ascii="Times New Roman" w:cs="Times New Roman" w:eastAsia="Times New Roman" w:hAnsi="Times New Roman"/>
          <w:sz w:val="22"/>
          <w:szCs w:val="22"/>
          <w:i w:val="1"/>
          <w:iCs w:val="1"/>
          <w:color w:val="auto"/>
        </w:rPr>
      </w:pPr>
    </w:p>
    <w:p>
      <w:pPr>
        <w:jc w:val="both"/>
        <w:spacing w:after="0" w:line="251" w:lineRule="auto"/>
        <w:tabs>
          <w:tab w:leader="none" w:pos="360" w:val="left"/>
        </w:tabs>
        <w:numPr>
          <w:ilvl w:val="0"/>
          <w:numId w:val="10"/>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Items, where the “information security” functionality is limited to wireless “personal area network” functionality, meeting all of the following:</w:t>
      </w:r>
    </w:p>
    <w:p>
      <w:pPr>
        <w:spacing w:after="0" w:line="206" w:lineRule="exact"/>
        <w:rPr>
          <w:sz w:val="20"/>
          <w:szCs w:val="20"/>
          <w:color w:val="auto"/>
        </w:rPr>
      </w:pPr>
    </w:p>
    <w:p>
      <w:pPr>
        <w:jc w:val="both"/>
        <w:ind w:firstLine="360"/>
        <w:spacing w:after="0" w:line="241" w:lineRule="auto"/>
        <w:rPr>
          <w:sz w:val="20"/>
          <w:szCs w:val="20"/>
          <w:color w:val="auto"/>
        </w:rPr>
      </w:pPr>
      <w:r>
        <w:rPr>
          <w:rFonts w:ascii="Times New Roman" w:cs="Times New Roman" w:eastAsia="Times New Roman" w:hAnsi="Times New Roman"/>
          <w:sz w:val="22"/>
          <w:szCs w:val="22"/>
          <w:i w:val="1"/>
          <w:iCs w:val="1"/>
          <w:color w:val="auto"/>
        </w:rPr>
        <w:t>f.1. Implement only published or commercial cryptographic standards; and</w:t>
      </w:r>
    </w:p>
    <w:p>
      <w:pPr>
        <w:spacing w:after="0" w:line="1" w:lineRule="exact"/>
        <w:rPr>
          <w:sz w:val="20"/>
          <w:szCs w:val="20"/>
          <w:color w:val="auto"/>
        </w:rPr>
      </w:pPr>
    </w:p>
    <w:p>
      <w:pPr>
        <w:jc w:val="both"/>
        <w:ind w:firstLine="360"/>
        <w:spacing w:after="0" w:line="245" w:lineRule="auto"/>
        <w:rPr>
          <w:sz w:val="20"/>
          <w:szCs w:val="20"/>
          <w:color w:val="auto"/>
        </w:rPr>
      </w:pPr>
      <w:r>
        <w:rPr>
          <w:rFonts w:ascii="Times New Roman" w:cs="Times New Roman" w:eastAsia="Times New Roman" w:hAnsi="Times New Roman"/>
          <w:sz w:val="22"/>
          <w:szCs w:val="22"/>
          <w:i w:val="1"/>
          <w:iCs w:val="1"/>
          <w:color w:val="auto"/>
        </w:rPr>
        <w:t>f.2. The cryptographic capability is limited to a nominal operating range not exceeding 30 meters according to the manufacturer’s specifications, or not exceeding 100 meters according to the manufacturer’s specifications for equipment that cannot interconnect with more than seven devices;</w:t>
      </w:r>
    </w:p>
    <w:p>
      <w:pPr>
        <w:spacing w:after="0" w:line="213" w:lineRule="exact"/>
        <w:rPr>
          <w:sz w:val="20"/>
          <w:szCs w:val="20"/>
          <w:color w:val="auto"/>
        </w:rPr>
      </w:pPr>
    </w:p>
    <w:p>
      <w:pPr>
        <w:jc w:val="both"/>
        <w:spacing w:after="0" w:line="267" w:lineRule="auto"/>
        <w:rPr>
          <w:sz w:val="20"/>
          <w:szCs w:val="20"/>
          <w:color w:val="auto"/>
        </w:rPr>
      </w:pPr>
      <w:r>
        <w:rPr>
          <w:rFonts w:ascii="Times New Roman" w:cs="Times New Roman" w:eastAsia="Times New Roman" w:hAnsi="Times New Roman"/>
          <w:sz w:val="21"/>
          <w:szCs w:val="21"/>
          <w:i w:val="1"/>
          <w:iCs w:val="1"/>
          <w:color w:val="auto"/>
        </w:rPr>
        <w:t>g. Mobile telecommunications Radio Access Network (RAN) equipment designed for civil use, which also meet the provisions of paragraphs a.2 to a.4 of the Cryptography Note (Note 3 in</w:t>
      </w:r>
    </w:p>
    <w:p>
      <w:pPr>
        <w:spacing w:after="0" w:line="207"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75"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5" w:name="page6"/>
    <w:bookmarkEnd w:id="5"/>
    <w:p>
      <w:pPr>
        <w:spacing w:after="0"/>
        <w:tabs>
          <w:tab w:leader="none" w:pos="3540" w:val="left"/>
          <w:tab w:leader="none" w:pos="66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Info. Security—page 6</w:t>
      </w:r>
    </w:p>
    <w:p>
      <w:pPr>
        <w:sectPr>
          <w:pgSz w:w="12240" w:h="15840" w:orient="portrait"/>
          <w:cols w:equalWidth="0" w:num="1">
            <w:col w:w="9480"/>
          </w:cols>
          <w:pgMar w:left="1440" w:top="1422" w:right="1320" w:bottom="892" w:gutter="0" w:footer="0" w:header="0"/>
        </w:sectPr>
      </w:pPr>
    </w:p>
    <w:p>
      <w:pPr>
        <w:spacing w:after="0" w:line="212" w:lineRule="exact"/>
        <w:rPr>
          <w:sz w:val="20"/>
          <w:szCs w:val="20"/>
          <w:color w:val="auto"/>
        </w:rPr>
      </w:pPr>
    </w:p>
    <w:p>
      <w:pPr>
        <w:jc w:val="both"/>
        <w:spacing w:after="0" w:line="257" w:lineRule="auto"/>
        <w:rPr>
          <w:sz w:val="20"/>
          <w:szCs w:val="20"/>
          <w:color w:val="auto"/>
        </w:rPr>
      </w:pPr>
      <w:r>
        <w:rPr>
          <w:rFonts w:ascii="Times New Roman" w:cs="Times New Roman" w:eastAsia="Times New Roman" w:hAnsi="Times New Roman"/>
          <w:sz w:val="22"/>
          <w:szCs w:val="22"/>
          <w:i w:val="1"/>
          <w:iCs w:val="1"/>
          <w:color w:val="auto"/>
        </w:rPr>
        <w:t>Category 5 -- Part 2), having an RF output power limited to 0.1W (20 dBm) or less, and supporting 16 or fewer concurrent users;</w:t>
      </w:r>
    </w:p>
    <w:p>
      <w:pPr>
        <w:spacing w:after="0" w:line="199" w:lineRule="exact"/>
        <w:rPr>
          <w:sz w:val="20"/>
          <w:szCs w:val="20"/>
          <w:color w:val="auto"/>
        </w:rPr>
      </w:pPr>
    </w:p>
    <w:p>
      <w:pPr>
        <w:jc w:val="both"/>
        <w:spacing w:after="0" w:line="246" w:lineRule="auto"/>
        <w:rPr>
          <w:sz w:val="20"/>
          <w:szCs w:val="20"/>
          <w:color w:val="auto"/>
        </w:rPr>
      </w:pPr>
      <w:r>
        <w:rPr>
          <w:rFonts w:ascii="Times New Roman" w:cs="Times New Roman" w:eastAsia="Times New Roman" w:hAnsi="Times New Roman"/>
          <w:sz w:val="22"/>
          <w:szCs w:val="22"/>
          <w:i w:val="1"/>
          <w:iCs w:val="1"/>
          <w:color w:val="auto"/>
        </w:rPr>
        <w:t xml:space="preserve">h. Routers, switches or relays, where the “information security” functionality is limited to the tasks of “Operations, Administration or Maintenance” (“OAM”) implementing only published or commercial cryptographic standards; </w:t>
      </w:r>
      <w:r>
        <w:rPr>
          <w:rFonts w:ascii="Times New Roman" w:cs="Times New Roman" w:eastAsia="Times New Roman" w:hAnsi="Times New Roman"/>
          <w:sz w:val="22"/>
          <w:szCs w:val="22"/>
          <w:i w:val="1"/>
          <w:iCs w:val="1"/>
          <w:u w:val="single" w:color="auto"/>
          <w:color w:val="auto"/>
        </w:rPr>
        <w:t>or</w:t>
      </w:r>
    </w:p>
    <w:p>
      <w:pPr>
        <w:spacing w:after="0" w:line="215" w:lineRule="exact"/>
        <w:rPr>
          <w:sz w:val="20"/>
          <w:szCs w:val="20"/>
          <w:color w:val="auto"/>
        </w:rPr>
      </w:pPr>
    </w:p>
    <w:p>
      <w:pPr>
        <w:jc w:val="both"/>
        <w:spacing w:after="0" w:line="257" w:lineRule="auto"/>
        <w:rPr>
          <w:sz w:val="20"/>
          <w:szCs w:val="20"/>
          <w:color w:val="auto"/>
        </w:rPr>
      </w:pPr>
      <w:r>
        <w:rPr>
          <w:rFonts w:ascii="Times New Roman" w:cs="Times New Roman" w:eastAsia="Times New Roman" w:hAnsi="Times New Roman"/>
          <w:sz w:val="22"/>
          <w:szCs w:val="22"/>
          <w:i w:val="1"/>
          <w:iCs w:val="1"/>
          <w:color w:val="auto"/>
        </w:rPr>
        <w:t>i. General purpose computing equipment or servers, where the “information security” functionality meets all of the following:</w:t>
      </w:r>
    </w:p>
    <w:p>
      <w:pPr>
        <w:spacing w:after="0" w:line="199" w:lineRule="exact"/>
        <w:rPr>
          <w:sz w:val="20"/>
          <w:szCs w:val="20"/>
          <w:color w:val="auto"/>
        </w:rPr>
      </w:pPr>
    </w:p>
    <w:p>
      <w:pPr>
        <w:jc w:val="both"/>
        <w:ind w:firstLine="360"/>
        <w:spacing w:after="0" w:line="274" w:lineRule="auto"/>
        <w:rPr>
          <w:sz w:val="20"/>
          <w:szCs w:val="20"/>
          <w:color w:val="auto"/>
        </w:rPr>
      </w:pPr>
      <w:r>
        <w:rPr>
          <w:rFonts w:ascii="Times New Roman" w:cs="Times New Roman" w:eastAsia="Times New Roman" w:hAnsi="Times New Roman"/>
          <w:sz w:val="22"/>
          <w:szCs w:val="22"/>
          <w:i w:val="1"/>
          <w:iCs w:val="1"/>
          <w:color w:val="auto"/>
        </w:rPr>
        <w:t xml:space="preserve">i.1. Uses only published or commercial cryptographic standards; </w:t>
      </w:r>
      <w:r>
        <w:rPr>
          <w:rFonts w:ascii="Times New Roman" w:cs="Times New Roman" w:eastAsia="Times New Roman" w:hAnsi="Times New Roman"/>
          <w:sz w:val="22"/>
          <w:szCs w:val="22"/>
          <w:i w:val="1"/>
          <w:iCs w:val="1"/>
          <w:u w:val="single" w:color="auto"/>
          <w:color w:val="auto"/>
        </w:rPr>
        <w:t>and</w:t>
      </w:r>
    </w:p>
    <w:p>
      <w:pPr>
        <w:spacing w:after="0" w:line="18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i.2. Is any of the following:</w:t>
      </w:r>
    </w:p>
    <w:p>
      <w:pPr>
        <w:spacing w:after="0" w:line="253" w:lineRule="exact"/>
        <w:rPr>
          <w:sz w:val="20"/>
          <w:szCs w:val="20"/>
          <w:color w:val="auto"/>
        </w:rPr>
      </w:pPr>
    </w:p>
    <w:p>
      <w:pPr>
        <w:jc w:val="both"/>
        <w:ind w:firstLine="720"/>
        <w:spacing w:after="0" w:line="274" w:lineRule="auto"/>
        <w:rPr>
          <w:sz w:val="20"/>
          <w:szCs w:val="20"/>
          <w:color w:val="auto"/>
        </w:rPr>
      </w:pPr>
      <w:r>
        <w:rPr>
          <w:rFonts w:ascii="Times New Roman" w:cs="Times New Roman" w:eastAsia="Times New Roman" w:hAnsi="Times New Roman"/>
          <w:sz w:val="22"/>
          <w:szCs w:val="22"/>
          <w:i w:val="1"/>
          <w:iCs w:val="1"/>
          <w:color w:val="auto"/>
        </w:rPr>
        <w:t>i.2.a. Integral to a CPU that meets the provisions of Note 3 in Category 5 ̶Part 2;</w:t>
      </w:r>
    </w:p>
    <w:p>
      <w:pPr>
        <w:spacing w:after="0" w:line="182" w:lineRule="exact"/>
        <w:rPr>
          <w:sz w:val="20"/>
          <w:szCs w:val="20"/>
          <w:color w:val="auto"/>
        </w:rPr>
      </w:pPr>
    </w:p>
    <w:p>
      <w:pPr>
        <w:jc w:val="both"/>
        <w:ind w:firstLine="720"/>
        <w:spacing w:after="0" w:line="273" w:lineRule="auto"/>
        <w:rPr>
          <w:sz w:val="20"/>
          <w:szCs w:val="20"/>
          <w:color w:val="auto"/>
        </w:rPr>
      </w:pPr>
      <w:r>
        <w:rPr>
          <w:rFonts w:ascii="Times New Roman" w:cs="Times New Roman" w:eastAsia="Times New Roman" w:hAnsi="Times New Roman"/>
          <w:sz w:val="22"/>
          <w:szCs w:val="22"/>
          <w:i w:val="1"/>
          <w:iCs w:val="1"/>
          <w:color w:val="auto"/>
        </w:rPr>
        <w:t xml:space="preserve">i.2.b. Integral to an operating system that is not specified by 5D002; </w:t>
      </w:r>
      <w:r>
        <w:rPr>
          <w:rFonts w:ascii="Times New Roman" w:cs="Times New Roman" w:eastAsia="Times New Roman" w:hAnsi="Times New Roman"/>
          <w:sz w:val="22"/>
          <w:szCs w:val="22"/>
          <w:i w:val="1"/>
          <w:iCs w:val="1"/>
          <w:u w:val="single" w:color="auto"/>
          <w:color w:val="auto"/>
        </w:rPr>
        <w:t>or</w:t>
      </w:r>
    </w:p>
    <w:p>
      <w:pPr>
        <w:spacing w:after="0" w:line="183" w:lineRule="exact"/>
        <w:rPr>
          <w:sz w:val="20"/>
          <w:szCs w:val="20"/>
          <w:color w:val="auto"/>
        </w:rPr>
      </w:pPr>
    </w:p>
    <w:p>
      <w:pPr>
        <w:jc w:val="both"/>
        <w:ind w:firstLine="720"/>
        <w:spacing w:after="0" w:line="274" w:lineRule="auto"/>
        <w:rPr>
          <w:sz w:val="20"/>
          <w:szCs w:val="20"/>
          <w:color w:val="auto"/>
        </w:rPr>
      </w:pPr>
      <w:r>
        <w:rPr>
          <w:rFonts w:ascii="Times New Roman" w:cs="Times New Roman" w:eastAsia="Times New Roman" w:hAnsi="Times New Roman"/>
          <w:sz w:val="22"/>
          <w:szCs w:val="22"/>
          <w:i w:val="1"/>
          <w:iCs w:val="1"/>
          <w:color w:val="auto"/>
        </w:rPr>
        <w:t>i.2.c. Limited to “OAM” of the equipment.</w:t>
      </w:r>
    </w:p>
    <w:p>
      <w:pPr>
        <w:spacing w:after="0" w:line="184" w:lineRule="exact"/>
        <w:rPr>
          <w:sz w:val="20"/>
          <w:szCs w:val="20"/>
          <w:color w:val="auto"/>
        </w:rPr>
      </w:pPr>
    </w:p>
    <w:p>
      <w:pPr>
        <w:jc w:val="both"/>
        <w:spacing w:after="0" w:line="243" w:lineRule="auto"/>
        <w:rPr>
          <w:sz w:val="20"/>
          <w:szCs w:val="20"/>
          <w:color w:val="auto"/>
        </w:rPr>
      </w:pPr>
      <w:r>
        <w:rPr>
          <w:rFonts w:ascii="Times New Roman" w:cs="Times New Roman" w:eastAsia="Times New Roman" w:hAnsi="Times New Roman"/>
          <w:sz w:val="22"/>
          <w:szCs w:val="22"/>
          <w:color w:val="auto"/>
        </w:rPr>
        <w:t>b. Designed or modified for converting, by means of “cryptographic activation”, an item not specified by Category 5 – Part 2 into an item specified by 5A002.a or 5D002.c.1, and not released by the Cryptography Note (Note 3 in Category 5 – Part 2), or for enabling, by means of “cryptographic activation”, additional functionality specified by 5A002.a of an item already specified by Category 5 – Part 2;</w:t>
      </w:r>
    </w:p>
    <w:p>
      <w:pPr>
        <w:spacing w:after="0" w:line="226" w:lineRule="exact"/>
        <w:rPr>
          <w:sz w:val="20"/>
          <w:szCs w:val="20"/>
          <w:color w:val="auto"/>
        </w:rPr>
      </w:pPr>
    </w:p>
    <w:p>
      <w:pPr>
        <w:jc w:val="both"/>
        <w:spacing w:after="0" w:line="270" w:lineRule="auto"/>
        <w:rPr>
          <w:sz w:val="20"/>
          <w:szCs w:val="20"/>
          <w:color w:val="auto"/>
        </w:rPr>
      </w:pPr>
      <w:r>
        <w:rPr>
          <w:rFonts w:ascii="Times New Roman" w:cs="Times New Roman" w:eastAsia="Times New Roman" w:hAnsi="Times New Roman"/>
          <w:sz w:val="22"/>
          <w:szCs w:val="22"/>
          <w:color w:val="auto"/>
        </w:rPr>
        <w:t>c. Designed or modified to use or perform “quantum cryptography;”</w:t>
      </w:r>
    </w:p>
    <w:p>
      <w:pPr>
        <w:spacing w:after="0" w:line="184" w:lineRule="exact"/>
        <w:rPr>
          <w:sz w:val="20"/>
          <w:szCs w:val="20"/>
          <w:color w:val="auto"/>
        </w:rPr>
      </w:pPr>
    </w:p>
    <w:p>
      <w:pPr>
        <w:jc w:val="both"/>
        <w:ind w:firstLine="360"/>
        <w:spacing w:after="0" w:line="258" w:lineRule="auto"/>
        <w:rPr>
          <w:sz w:val="20"/>
          <w:szCs w:val="20"/>
          <w:color w:val="auto"/>
        </w:rPr>
      </w:pPr>
      <w:r>
        <w:rPr>
          <w:rFonts w:ascii="Times New Roman" w:cs="Times New Roman" w:eastAsia="Times New Roman" w:hAnsi="Times New Roman"/>
          <w:sz w:val="22"/>
          <w:szCs w:val="22"/>
          <w:b w:val="1"/>
          <w:bCs w:val="1"/>
          <w:i w:val="1"/>
          <w:iCs w:val="1"/>
          <w:color w:val="auto"/>
        </w:rPr>
        <w:t xml:space="preserve">Technical Note: </w:t>
      </w:r>
      <w:r>
        <w:rPr>
          <w:rFonts w:ascii="Times New Roman" w:cs="Times New Roman" w:eastAsia="Times New Roman" w:hAnsi="Times New Roman"/>
          <w:sz w:val="22"/>
          <w:szCs w:val="22"/>
          <w:i w:val="1"/>
          <w:iCs w:val="1"/>
          <w:color w:val="auto"/>
        </w:rPr>
        <w:t>“Quantum cryptography”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is also known as Quantum Key Distribution (QKD).</w:t>
      </w:r>
    </w:p>
    <w:p>
      <w:pPr>
        <w:spacing w:after="0" w:line="20" w:lineRule="exact"/>
        <w:rPr>
          <w:sz w:val="20"/>
          <w:szCs w:val="20"/>
          <w:color w:val="auto"/>
        </w:rPr>
      </w:pPr>
      <w:r>
        <w:rPr>
          <w:sz w:val="20"/>
          <w:szCs w:val="20"/>
          <w:color w:val="auto"/>
        </w:rPr>
        <w:br w:type="column"/>
      </w:r>
    </w:p>
    <w:p>
      <w:pPr>
        <w:spacing w:after="0" w:line="195" w:lineRule="exact"/>
        <w:rPr>
          <w:sz w:val="20"/>
          <w:szCs w:val="20"/>
          <w:color w:val="auto"/>
        </w:rPr>
      </w:pPr>
    </w:p>
    <w:p>
      <w:pPr>
        <w:jc w:val="both"/>
        <w:ind w:right="120"/>
        <w:spacing w:after="0" w:line="246" w:lineRule="auto"/>
        <w:tabs>
          <w:tab w:leader="none" w:pos="355" w:val="left"/>
        </w:tabs>
        <w:numPr>
          <w:ilvl w:val="0"/>
          <w:numId w:val="11"/>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Designed or modified to use cryptographic techniques to generate channelizing codes, scrambling codes or network identification codes, for systems using ultra-wideband modulation techniques and having any of the following:</w:t>
      </w:r>
    </w:p>
    <w:p>
      <w:pPr>
        <w:spacing w:after="0" w:line="215"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d.1. A bandwidth exceeding 500 MHz;</w:t>
      </w:r>
    </w:p>
    <w:p>
      <w:pPr>
        <w:spacing w:after="0"/>
        <w:rPr>
          <w:sz w:val="20"/>
          <w:szCs w:val="20"/>
          <w:color w:val="auto"/>
        </w:rPr>
      </w:pPr>
      <w:r>
        <w:rPr>
          <w:rFonts w:ascii="Times New Roman" w:cs="Times New Roman" w:eastAsia="Times New Roman" w:hAnsi="Times New Roman"/>
          <w:sz w:val="22"/>
          <w:szCs w:val="22"/>
          <w:i w:val="1"/>
          <w:iCs w:val="1"/>
          <w:color w:val="auto"/>
        </w:rPr>
        <w:t>or</w:t>
      </w:r>
    </w:p>
    <w:p>
      <w:pPr>
        <w:spacing w:after="0" w:line="252" w:lineRule="exact"/>
        <w:rPr>
          <w:sz w:val="20"/>
          <w:szCs w:val="20"/>
          <w:color w:val="auto"/>
        </w:rPr>
      </w:pPr>
    </w:p>
    <w:p>
      <w:pPr>
        <w:ind w:left="720"/>
        <w:spacing w:after="0"/>
        <w:rPr>
          <w:sz w:val="20"/>
          <w:szCs w:val="20"/>
          <w:color w:val="auto"/>
        </w:rPr>
      </w:pPr>
      <w:r>
        <w:rPr>
          <w:rFonts w:ascii="Times New Roman" w:cs="Times New Roman" w:eastAsia="Times New Roman" w:hAnsi="Times New Roman"/>
          <w:sz w:val="22"/>
          <w:szCs w:val="22"/>
          <w:color w:val="auto"/>
        </w:rPr>
        <w:t>d.2. A “fractional bandwidth” of 20% or</w:t>
      </w:r>
    </w:p>
    <w:p>
      <w:pPr>
        <w:spacing w:after="0"/>
        <w:rPr>
          <w:sz w:val="20"/>
          <w:szCs w:val="20"/>
          <w:color w:val="auto"/>
        </w:rPr>
      </w:pPr>
      <w:r>
        <w:rPr>
          <w:rFonts w:ascii="Times New Roman" w:cs="Times New Roman" w:eastAsia="Times New Roman" w:hAnsi="Times New Roman"/>
          <w:sz w:val="22"/>
          <w:szCs w:val="22"/>
          <w:color w:val="auto"/>
        </w:rPr>
        <w:t>more;</w:t>
      </w:r>
    </w:p>
    <w:p>
      <w:pPr>
        <w:spacing w:after="0" w:line="252" w:lineRule="exact"/>
        <w:rPr>
          <w:sz w:val="20"/>
          <w:szCs w:val="20"/>
          <w:color w:val="auto"/>
        </w:rPr>
      </w:pPr>
    </w:p>
    <w:p>
      <w:pPr>
        <w:jc w:val="both"/>
        <w:ind w:right="120"/>
        <w:spacing w:after="0" w:line="247" w:lineRule="auto"/>
        <w:rPr>
          <w:sz w:val="20"/>
          <w:szCs w:val="20"/>
          <w:color w:val="auto"/>
        </w:rPr>
      </w:pPr>
      <w:r>
        <w:rPr>
          <w:rFonts w:ascii="Times New Roman" w:cs="Times New Roman" w:eastAsia="Times New Roman" w:hAnsi="Times New Roman"/>
          <w:sz w:val="22"/>
          <w:szCs w:val="22"/>
          <w:color w:val="auto"/>
        </w:rPr>
        <w:t>e. Designed or modified to use cryptographic techniques to generate the spreading code for “spread spectrum” systems, not specified by 5A002.d, including the hopping code for “frequency hopping” systems.</w:t>
      </w:r>
    </w:p>
    <w:p>
      <w:pPr>
        <w:spacing w:after="0" w:line="200" w:lineRule="exact"/>
        <w:rPr>
          <w:sz w:val="20"/>
          <w:szCs w:val="20"/>
          <w:color w:val="auto"/>
        </w:rPr>
      </w:pPr>
    </w:p>
    <w:p>
      <w:pPr>
        <w:spacing w:after="0" w:line="267"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5A992 Equipment not controlled by 5A002 (see List of Items Controlled).</w:t>
      </w:r>
    </w:p>
    <w:p>
      <w:pPr>
        <w:spacing w:after="0" w:line="18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9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00" w:type="dxa"/>
            <w:vAlign w:val="bottom"/>
            <w:tcBorders>
              <w:right w:val="single" w:sz="8" w:color="auto"/>
            </w:tcBorders>
          </w:tcPr>
          <w:p>
            <w:pPr>
              <w:ind w:left="460"/>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9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3" w:lineRule="exact"/>
        <w:rPr>
          <w:sz w:val="20"/>
          <w:szCs w:val="20"/>
          <w:color w:val="auto"/>
        </w:rPr>
      </w:pPr>
    </w:p>
    <w:p>
      <w:pPr>
        <w:jc w:val="both"/>
        <w:ind w:right="120"/>
        <w:spacing w:after="0" w:line="244" w:lineRule="auto"/>
        <w:rPr>
          <w:sz w:val="20"/>
          <w:szCs w:val="20"/>
          <w:color w:val="auto"/>
        </w:rPr>
      </w:pPr>
      <w:r>
        <w:rPr>
          <w:rFonts w:ascii="Times New Roman" w:cs="Times New Roman" w:eastAsia="Times New Roman" w:hAnsi="Times New Roman"/>
          <w:sz w:val="22"/>
          <w:szCs w:val="22"/>
          <w:b w:val="1"/>
          <w:bCs w:val="1"/>
          <w:i w:val="1"/>
          <w:iCs w:val="1"/>
          <w:color w:val="auto"/>
        </w:rPr>
        <w:t>License Requirements Note</w:t>
      </w:r>
      <w:r>
        <w:rPr>
          <w:rFonts w:ascii="Times New Roman" w:cs="Times New Roman" w:eastAsia="Times New Roman" w:hAnsi="Times New Roman"/>
          <w:sz w:val="22"/>
          <w:szCs w:val="22"/>
          <w:i w:val="1"/>
          <w:iCs w:val="1"/>
          <w:color w:val="auto"/>
        </w:rPr>
        <w:t>: See § 744.17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EAR for additional license requirements for microprocessors having a processing speed of 5 GFLOPS or more and an arithmetic logic unit with an access width of 32 bit or more, including those incorporating “information security” functionality, and associated “software” and “technology” for the “production” or “development” of such microprocessors.</w:t>
      </w:r>
    </w:p>
    <w:p>
      <w:pPr>
        <w:spacing w:after="0" w:line="216" w:lineRule="exact"/>
        <w:rPr>
          <w:sz w:val="20"/>
          <w:szCs w:val="20"/>
          <w:color w:val="auto"/>
        </w:rPr>
      </w:pPr>
    </w:p>
    <w:p>
      <w:pPr>
        <w:jc w:val="both"/>
        <w:ind w:right="1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00" w:lineRule="exact"/>
        <w:rPr>
          <w:sz w:val="20"/>
          <w:szCs w:val="20"/>
          <w:color w:val="auto"/>
        </w:rPr>
      </w:pPr>
    </w:p>
    <w:p>
      <w:pPr>
        <w:sectPr>
          <w:pgSz w:w="12240" w:h="15840" w:orient="portrait"/>
          <w:cols w:equalWidth="0" w:num="2">
            <w:col w:w="4320" w:space="720"/>
            <w:col w:w="4440"/>
          </w:cols>
          <w:pgMar w:left="1440" w:top="1422" w:right="1320" w:bottom="892" w:gutter="0" w:footer="0" w:header="0"/>
          <w:type w:val="continuous"/>
        </w:sectPr>
      </w:pPr>
    </w:p>
    <w:p>
      <w:pPr>
        <w:spacing w:after="0" w:line="213"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480"/>
          </w:cols>
          <w:pgMar w:left="1440" w:top="1422" w:right="1320" w:bottom="892" w:gutter="0" w:footer="0" w:header="0"/>
          <w:type w:val="continuous"/>
        </w:sectPr>
      </w:pPr>
    </w:p>
    <w:bookmarkStart w:id="6" w:name="page7"/>
    <w:bookmarkEnd w:id="6"/>
    <w:p>
      <w:pPr>
        <w:spacing w:after="0"/>
        <w:tabs>
          <w:tab w:leader="none" w:pos="3540" w:val="left"/>
          <w:tab w:leader="none" w:pos="66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Info. Security—page 7</w:t>
      </w:r>
    </w:p>
    <w:p>
      <w:pPr>
        <w:sectPr>
          <w:pgSz w:w="12240" w:h="15840" w:orient="portrait"/>
          <w:cols w:equalWidth="0" w:num="1">
            <w:col w:w="9540"/>
          </w:cols>
          <w:pgMar w:left="1440" w:top="1422" w:right="1260" w:bottom="892" w:gutter="0" w:footer="0" w:header="0"/>
        </w:sectPr>
      </w:pPr>
    </w:p>
    <w:p>
      <w:pPr>
        <w:spacing w:after="0" w:line="21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51" w:lineRule="exact"/>
        <w:rPr>
          <w:sz w:val="20"/>
          <w:szCs w:val="20"/>
          <w:color w:val="auto"/>
        </w:rPr>
      </w:pPr>
    </w:p>
    <w:p>
      <w:pPr>
        <w:ind w:left="260" w:hanging="260"/>
        <w:spacing w:after="0"/>
        <w:tabs>
          <w:tab w:leader="none" w:pos="260" w:val="left"/>
        </w:tabs>
        <w:numPr>
          <w:ilvl w:val="0"/>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ind w:left="280" w:hanging="280"/>
        <w:spacing w:after="0"/>
        <w:tabs>
          <w:tab w:leader="none" w:pos="280" w:val="left"/>
        </w:tabs>
        <w:numPr>
          <w:ilvl w:val="0"/>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2" w:lineRule="exact"/>
        <w:rPr>
          <w:rFonts w:ascii="Times New Roman" w:cs="Times New Roman" w:eastAsia="Times New Roman" w:hAnsi="Times New Roman"/>
          <w:sz w:val="22"/>
          <w:szCs w:val="22"/>
          <w:color w:val="auto"/>
        </w:rPr>
      </w:pPr>
    </w:p>
    <w:p>
      <w:pPr>
        <w:ind w:left="340" w:hanging="340"/>
        <w:spacing w:after="0"/>
        <w:tabs>
          <w:tab w:leader="none" w:pos="340" w:val="left"/>
        </w:tabs>
        <w:numPr>
          <w:ilvl w:val="0"/>
          <w:numId w:val="12"/>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Commodities  classified  as  mass  market</w:t>
      </w:r>
    </w:p>
    <w:p>
      <w:pPr>
        <w:ind w:right="100"/>
        <w:spacing w:after="0" w:line="271" w:lineRule="auto"/>
        <w:rPr>
          <w:sz w:val="20"/>
          <w:szCs w:val="20"/>
          <w:color w:val="auto"/>
        </w:rPr>
      </w:pPr>
      <w:r>
        <w:rPr>
          <w:rFonts w:ascii="Times New Roman" w:cs="Times New Roman" w:eastAsia="Times New Roman" w:hAnsi="Times New Roman"/>
          <w:sz w:val="22"/>
          <w:szCs w:val="22"/>
          <w:color w:val="auto"/>
        </w:rPr>
        <w:t>encryption commodities in accordance with § 740.17(b) of the EAR.</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57" w:lineRule="exact"/>
        <w:rPr>
          <w:sz w:val="20"/>
          <w:szCs w:val="20"/>
          <w:color w:val="auto"/>
        </w:rPr>
      </w:pPr>
    </w:p>
    <w:p>
      <w:pPr>
        <w:ind w:left="640" w:right="740" w:firstLine="115"/>
        <w:spacing w:after="0" w:line="298" w:lineRule="auto"/>
        <w:tabs>
          <w:tab w:leader="none" w:pos="1041" w:val="left"/>
        </w:tabs>
        <w:numPr>
          <w:ilvl w:val="0"/>
          <w:numId w:val="13"/>
        </w:numPr>
        <w:rPr>
          <w:rFonts w:ascii="Times New Roman" w:cs="Times New Roman" w:eastAsia="Times New Roman" w:hAnsi="Times New Roman"/>
          <w:sz w:val="21"/>
          <w:szCs w:val="21"/>
          <w:b w:val="1"/>
          <w:bCs w:val="1"/>
          <w:color w:val="auto"/>
        </w:rPr>
      </w:pPr>
      <w:r>
        <w:rPr>
          <w:rFonts w:ascii="Times New Roman" w:cs="Times New Roman" w:eastAsia="Times New Roman" w:hAnsi="Times New Roman"/>
          <w:sz w:val="21"/>
          <w:szCs w:val="21"/>
          <w:b w:val="1"/>
          <w:bCs w:val="1"/>
          <w:color w:val="auto"/>
        </w:rPr>
        <w:t>NON-CRYPTOGRAPHIC “INFORMATION SECURITY”</w:t>
      </w:r>
    </w:p>
    <w:p>
      <w:pPr>
        <w:spacing w:after="0" w:line="159" w:lineRule="exact"/>
        <w:rPr>
          <w:sz w:val="20"/>
          <w:szCs w:val="20"/>
          <w:color w:val="auto"/>
        </w:rPr>
      </w:pPr>
    </w:p>
    <w:p>
      <w:pPr>
        <w:jc w:val="both"/>
        <w:ind w:right="100"/>
        <w:spacing w:after="0" w:line="251" w:lineRule="auto"/>
        <w:rPr>
          <w:sz w:val="20"/>
          <w:szCs w:val="20"/>
          <w:color w:val="auto"/>
        </w:rPr>
      </w:pPr>
      <w:r>
        <w:rPr>
          <w:rFonts w:ascii="Times New Roman" w:cs="Times New Roman" w:eastAsia="Times New Roman" w:hAnsi="Times New Roman"/>
          <w:sz w:val="22"/>
          <w:szCs w:val="22"/>
          <w:b w:val="1"/>
          <w:bCs w:val="1"/>
          <w:color w:val="auto"/>
        </w:rPr>
        <w:t>5A003 “Systems,” “equipment” and “components,” for non-cryptographic “information security,” as follows (see List of Items Controlled).</w:t>
      </w:r>
    </w:p>
    <w:p>
      <w:pPr>
        <w:spacing w:after="0" w:line="20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NS,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460" w:type="dxa"/>
            <w:vAlign w:val="bottom"/>
            <w:tcBorders>
              <w:top w:val="single" w:sz="8" w:color="auto"/>
              <w:left w:val="single" w:sz="8" w:color="auto"/>
              <w:right w:val="single" w:sz="8" w:color="auto"/>
            </w:tcBorders>
          </w:tcPr>
          <w:p>
            <w:pPr>
              <w:spacing w:after="0"/>
              <w:rPr>
                <w:sz w:val="21"/>
                <w:szCs w:val="21"/>
                <w:color w:val="auto"/>
              </w:rPr>
            </w:pPr>
          </w:p>
        </w:tc>
        <w:tc>
          <w:tcPr>
            <w:tcW w:w="198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r>
      <w:tr>
        <w:trPr>
          <w:trHeight w:val="252"/>
        </w:trPr>
        <w:tc>
          <w:tcPr>
            <w:tcW w:w="2460" w:type="dxa"/>
            <w:vAlign w:val="bottom"/>
            <w:tcBorders>
              <w:left w:val="single" w:sz="8" w:color="auto"/>
              <w:right w:val="single" w:sz="8" w:color="auto"/>
            </w:tcBorders>
          </w:tcPr>
          <w:p>
            <w:pPr>
              <w:ind w:left="76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98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w:t>
            </w:r>
          </w:p>
        </w:tc>
      </w:tr>
      <w:tr>
        <w:trPr>
          <w:trHeight w:val="272"/>
        </w:trPr>
        <w:tc>
          <w:tcPr>
            <w:tcW w:w="2460" w:type="dxa"/>
            <w:vAlign w:val="bottom"/>
            <w:tcBorders>
              <w:left w:val="single" w:sz="8" w:color="auto"/>
              <w:bottom w:val="single" w:sz="8" w:color="auto"/>
              <w:right w:val="single" w:sz="8" w:color="auto"/>
            </w:tcBorders>
          </w:tcPr>
          <w:p>
            <w:pPr>
              <w:spacing w:after="0"/>
              <w:rPr>
                <w:sz w:val="23"/>
                <w:szCs w:val="23"/>
                <w:color w:val="auto"/>
              </w:rPr>
            </w:pPr>
          </w:p>
        </w:tc>
        <w:tc>
          <w:tcPr>
            <w:tcW w:w="198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9"/>
              </w:rPr>
              <w:t>738)</w:t>
            </w:r>
          </w:p>
        </w:tc>
      </w:tr>
      <w:tr>
        <w:trPr>
          <w:trHeight w:val="243"/>
        </w:trPr>
        <w:tc>
          <w:tcPr>
            <w:tcW w:w="2460" w:type="dxa"/>
            <w:vAlign w:val="bottom"/>
            <w:tcBorders>
              <w:left w:val="single" w:sz="8" w:color="auto"/>
              <w:bottom w:val="single" w:sz="8" w:color="auto"/>
              <w:right w:val="single" w:sz="8" w:color="auto"/>
            </w:tcBorders>
          </w:tcPr>
          <w:p>
            <w:pPr>
              <w:ind w:left="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1980" w:type="dxa"/>
            <w:vAlign w:val="bottom"/>
            <w:tcBorders>
              <w:bottom w:val="single" w:sz="8" w:color="auto"/>
              <w:right w:val="single" w:sz="8" w:color="auto"/>
            </w:tcBorders>
          </w:tcPr>
          <w:p>
            <w:pPr>
              <w:spacing w:after="0" w:line="243" w:lineRule="exact"/>
              <w:rPr>
                <w:sz w:val="20"/>
                <w:szCs w:val="20"/>
                <w:color w:val="auto"/>
              </w:rPr>
            </w:pPr>
            <w:r>
              <w:rPr>
                <w:rFonts w:ascii="Times New Roman" w:cs="Times New Roman" w:eastAsia="Times New Roman" w:hAnsi="Times New Roman"/>
                <w:sz w:val="22"/>
                <w:szCs w:val="22"/>
                <w:color w:val="auto"/>
              </w:rPr>
              <w:t>NS Column 2</w:t>
            </w:r>
          </w:p>
        </w:tc>
      </w:tr>
      <w:tr>
        <w:trPr>
          <w:trHeight w:val="244"/>
        </w:trPr>
        <w:tc>
          <w:tcPr>
            <w:tcW w:w="2460" w:type="dxa"/>
            <w:vAlign w:val="bottom"/>
            <w:tcBorders>
              <w:left w:val="single" w:sz="8" w:color="auto"/>
              <w:bottom w:val="single" w:sz="8" w:color="auto"/>
              <w:right w:val="single" w:sz="8" w:color="auto"/>
            </w:tcBorders>
          </w:tcPr>
          <w:p>
            <w:pPr>
              <w:ind w:left="20"/>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1980" w:type="dxa"/>
            <w:vAlign w:val="bottom"/>
            <w:tcBorders>
              <w:bottom w:val="single" w:sz="8" w:color="auto"/>
              <w:right w:val="single" w:sz="8" w:color="auto"/>
            </w:tcBorders>
          </w:tcPr>
          <w:p>
            <w:pPr>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4" w:lineRule="exact"/>
        <w:rPr>
          <w:sz w:val="20"/>
          <w:szCs w:val="20"/>
          <w:color w:val="auto"/>
        </w:rPr>
      </w:pPr>
    </w:p>
    <w:p>
      <w:pPr>
        <w:ind w:right="100"/>
        <w:spacing w:after="0" w:line="273"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3" w:lineRule="exact"/>
        <w:rPr>
          <w:sz w:val="20"/>
          <w:szCs w:val="20"/>
          <w:color w:val="auto"/>
        </w:rPr>
      </w:pPr>
    </w:p>
    <w:p>
      <w:pPr>
        <w:ind w:left="900" w:right="660" w:hanging="539"/>
        <w:spacing w:after="0" w:line="242" w:lineRule="auto"/>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 Yes: $500 for “components.”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N/A for systems and equipment.</w:t>
      </w:r>
    </w:p>
    <w:p>
      <w:pPr>
        <w:ind w:left="360"/>
        <w:spacing w:after="0"/>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 N/A</w:t>
      </w:r>
    </w:p>
    <w:p>
      <w:pPr>
        <w:spacing w:after="0" w:line="20" w:lineRule="exact"/>
        <w:rPr>
          <w:sz w:val="20"/>
          <w:szCs w:val="20"/>
          <w:color w:val="auto"/>
        </w:rPr>
      </w:pPr>
      <w:r>
        <w:rPr>
          <w:sz w:val="20"/>
          <w:szCs w:val="20"/>
          <w:color w:val="auto"/>
        </w:rPr>
        <w:br w:type="column"/>
      </w:r>
    </w:p>
    <w:p>
      <w:pPr>
        <w:spacing w:after="0" w:line="19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 N/A</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spacing w:after="0" w:line="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51" w:lineRule="exact"/>
        <w:rPr>
          <w:sz w:val="20"/>
          <w:szCs w:val="20"/>
          <w:color w:val="auto"/>
        </w:rPr>
      </w:pPr>
    </w:p>
    <w:p>
      <w:pPr>
        <w:jc w:val="both"/>
        <w:ind w:right="180"/>
        <w:spacing w:after="0" w:line="250" w:lineRule="auto"/>
        <w:rPr>
          <w:sz w:val="20"/>
          <w:szCs w:val="20"/>
          <w:color w:val="auto"/>
        </w:rPr>
      </w:pPr>
      <w:r>
        <w:rPr>
          <w:rFonts w:ascii="Times New Roman" w:cs="Times New Roman" w:eastAsia="Times New Roman" w:hAnsi="Times New Roman"/>
          <w:sz w:val="22"/>
          <w:szCs w:val="22"/>
          <w:color w:val="auto"/>
        </w:rPr>
        <w:t>a. Communications cable systems designed or modified using mechanical, electrical or electronic means to detect surreptitious intrusion;</w:t>
      </w:r>
    </w:p>
    <w:p>
      <w:pPr>
        <w:spacing w:after="0" w:line="206" w:lineRule="exact"/>
        <w:rPr>
          <w:sz w:val="20"/>
          <w:szCs w:val="20"/>
          <w:color w:val="auto"/>
        </w:rPr>
      </w:pPr>
    </w:p>
    <w:p>
      <w:pPr>
        <w:jc w:val="both"/>
        <w:ind w:right="180" w:firstLine="36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 xml:space="preserve">Note: </w:t>
      </w:r>
      <w:r>
        <w:rPr>
          <w:rFonts w:ascii="Times New Roman" w:cs="Times New Roman" w:eastAsia="Times New Roman" w:hAnsi="Times New Roman"/>
          <w:sz w:val="22"/>
          <w:szCs w:val="22"/>
          <w:i w:val="1"/>
          <w:iCs w:val="1"/>
          <w:color w:val="auto"/>
        </w:rPr>
        <w:t>5A003.a applies only to physical</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layer security. For the purpose of 5A003.a, the physical layer includes Layer 1 of the Reference Model of Open Systems Interconnection (OSI) (ISO/IEC 7498-1).</w:t>
      </w:r>
    </w:p>
    <w:p>
      <w:pPr>
        <w:spacing w:after="0" w:line="210" w:lineRule="exact"/>
        <w:rPr>
          <w:sz w:val="20"/>
          <w:szCs w:val="20"/>
          <w:color w:val="auto"/>
        </w:rPr>
      </w:pPr>
    </w:p>
    <w:p>
      <w:pPr>
        <w:jc w:val="both"/>
        <w:ind w:right="180"/>
        <w:spacing w:after="0" w:line="247" w:lineRule="auto"/>
        <w:rPr>
          <w:sz w:val="20"/>
          <w:szCs w:val="20"/>
          <w:color w:val="auto"/>
        </w:rPr>
      </w:pPr>
      <w:r>
        <w:rPr>
          <w:rFonts w:ascii="Times New Roman" w:cs="Times New Roman" w:eastAsia="Times New Roman" w:hAnsi="Times New Roman"/>
          <w:sz w:val="22"/>
          <w:szCs w:val="22"/>
          <w:color w:val="auto"/>
        </w:rPr>
        <w:t>b. “Specially designed” or modified to reduce the compromising emanations of information-bearing signals beyond what is necessary for health, safety or electromagnetic interference standards.</w:t>
      </w:r>
    </w:p>
    <w:p>
      <w:pPr>
        <w:spacing w:after="0" w:line="200" w:lineRule="exact"/>
        <w:rPr>
          <w:sz w:val="20"/>
          <w:szCs w:val="20"/>
          <w:color w:val="auto"/>
        </w:rPr>
      </w:pPr>
    </w:p>
    <w:p>
      <w:pPr>
        <w:spacing w:after="0" w:line="267" w:lineRule="exact"/>
        <w:rPr>
          <w:sz w:val="20"/>
          <w:szCs w:val="20"/>
          <w:color w:val="auto"/>
        </w:rPr>
      </w:pPr>
    </w:p>
    <w:p>
      <w:pPr>
        <w:ind w:left="620" w:right="540" w:hanging="254"/>
        <w:spacing w:after="0" w:line="242" w:lineRule="auto"/>
        <w:tabs>
          <w:tab w:leader="none" w:pos="723" w:val="left"/>
        </w:tabs>
        <w:numPr>
          <w:ilvl w:val="0"/>
          <w:numId w:val="14"/>
        </w:numPr>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color w:val="auto"/>
        </w:rPr>
        <w:t>DEFEATING, WEAKENING OR BYPASSING “INFORMATION</w:t>
      </w:r>
    </w:p>
    <w:p>
      <w:pPr>
        <w:ind w:left="1540"/>
        <w:spacing w:after="0"/>
        <w:rPr>
          <w:rFonts w:ascii="Times New Roman" w:cs="Times New Roman" w:eastAsia="Times New Roman" w:hAnsi="Times New Roman"/>
          <w:sz w:val="22"/>
          <w:szCs w:val="22"/>
          <w:b w:val="1"/>
          <w:bCs w:val="1"/>
          <w:color w:val="auto"/>
        </w:rPr>
      </w:pPr>
      <w:r>
        <w:rPr>
          <w:rFonts w:ascii="Times New Roman" w:cs="Times New Roman" w:eastAsia="Times New Roman" w:hAnsi="Times New Roman"/>
          <w:sz w:val="22"/>
          <w:szCs w:val="22"/>
          <w:b w:val="1"/>
          <w:bCs w:val="1"/>
          <w:color w:val="auto"/>
        </w:rPr>
        <w:t>SECURITY”</w:t>
      </w:r>
    </w:p>
    <w:p>
      <w:pPr>
        <w:spacing w:after="0" w:line="248" w:lineRule="exact"/>
        <w:rPr>
          <w:sz w:val="20"/>
          <w:szCs w:val="20"/>
          <w:color w:val="auto"/>
        </w:rPr>
      </w:pPr>
    </w:p>
    <w:p>
      <w:pPr>
        <w:jc w:val="both"/>
        <w:ind w:right="180"/>
        <w:spacing w:after="0" w:line="251" w:lineRule="auto"/>
        <w:rPr>
          <w:sz w:val="20"/>
          <w:szCs w:val="20"/>
          <w:color w:val="auto"/>
        </w:rPr>
      </w:pPr>
      <w:r>
        <w:rPr>
          <w:rFonts w:ascii="Times New Roman" w:cs="Times New Roman" w:eastAsia="Times New Roman" w:hAnsi="Times New Roman"/>
          <w:sz w:val="22"/>
          <w:szCs w:val="22"/>
          <w:b w:val="1"/>
          <w:bCs w:val="1"/>
          <w:color w:val="auto"/>
        </w:rPr>
        <w:t>5A004 “Systems,” “equipment” and “components” for defeating, weakening or bypassing “information security,” as follows (see List of Items Controlled).</w:t>
      </w:r>
    </w:p>
    <w:p>
      <w:pPr>
        <w:spacing w:after="0" w:line="20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 NS, AT, EI</w:t>
      </w:r>
    </w:p>
    <w:p>
      <w:pPr>
        <w:spacing w:after="0" w:line="264" w:lineRule="exact"/>
        <w:rPr>
          <w:sz w:val="20"/>
          <w:szCs w:val="20"/>
          <w:color w:val="auto"/>
        </w:rPr>
      </w:pPr>
    </w:p>
    <w:p>
      <w:pPr>
        <w:ind w:left="2560"/>
        <w:spacing w:after="0"/>
        <w:rPr>
          <w:sz w:val="20"/>
          <w:szCs w:val="20"/>
          <w:color w:val="auto"/>
        </w:rPr>
      </w:pPr>
      <w:r>
        <w:rPr>
          <w:rFonts w:ascii="Times New Roman" w:cs="Times New Roman" w:eastAsia="Times New Roman" w:hAnsi="Times New Roman"/>
          <w:sz w:val="22"/>
          <w:szCs w:val="22"/>
          <w:i w:val="1"/>
          <w:iCs w:val="1"/>
          <w:color w:val="auto"/>
        </w:rPr>
        <w:t>Country Chart (See</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-151765</wp:posOffset>
                </wp:positionV>
                <wp:extent cx="2863850" cy="0"/>
                <wp:wrapNone/>
                <wp:docPr id="1" name="Shape 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638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 o:spid="_x0000_s102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11.9499pt" to="225.65pt,-11.9499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335915</wp:posOffset>
                </wp:positionV>
                <wp:extent cx="2863850" cy="0"/>
                <wp:wrapNone/>
                <wp:docPr id="2" name="Shape 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638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2" o:spid="_x0000_s102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26.45pt" to="225.65pt,26.4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502920</wp:posOffset>
                </wp:positionV>
                <wp:extent cx="2863850" cy="0"/>
                <wp:wrapNone/>
                <wp:docPr id="3" name="Shape 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638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3" o:spid="_x0000_s102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39.6pt" to="225.65pt,39.6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1905</wp:posOffset>
                </wp:positionH>
                <wp:positionV relativeFrom="paragraph">
                  <wp:posOffset>669925</wp:posOffset>
                </wp:positionV>
                <wp:extent cx="2863850" cy="0"/>
                <wp:wrapNone/>
                <wp:docPr id="4" name="Shape 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63850" cy="4763"/>
                        </a:xfrm>
                        <a:prstGeom prst="line">
                          <a:avLst/>
                        </a:prstGeom>
                        <a:solidFill>
                          <a:srgbClr val="FFFFFF"/>
                        </a:solidFill>
                        <a:ln w="6095">
                          <a:solidFill>
                            <a:srgbClr val="000000"/>
                          </a:solidFill>
                          <a:miter lim="800000"/>
                          <a:headEnd/>
                          <a:tailEnd/>
                        </a:ln>
                      </wps:spPr>
                      <wps:bodyPr/>
                    </wps:wsp>
                  </a:graphicData>
                </a:graphic>
              </wp:anchor>
            </w:drawing>
          </mc:Choice>
          <mc:Fallback>
            <w:pict>
              <v:line id="Shape 4" o:spid="_x0000_s102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52.75pt" to="225.65pt,52.7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5080</wp:posOffset>
                </wp:positionH>
                <wp:positionV relativeFrom="paragraph">
                  <wp:posOffset>-154940</wp:posOffset>
                </wp:positionV>
                <wp:extent cx="0" cy="1155700"/>
                <wp:wrapNone/>
                <wp:docPr id="5" name="Shape 5"/>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5570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5" o:spid="_x0000_s1030"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4pt,-12.1999pt" to="0.4pt,78.8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1490980</wp:posOffset>
                </wp:positionH>
                <wp:positionV relativeFrom="paragraph">
                  <wp:posOffset>-154940</wp:posOffset>
                </wp:positionV>
                <wp:extent cx="0" cy="1155700"/>
                <wp:wrapNone/>
                <wp:docPr id="6" name="Shape 6"/>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55700"/>
                        </a:xfrm>
                        <a:prstGeom prst="line">
                          <a:avLst/>
                        </a:prstGeom>
                        <a:solidFill>
                          <a:srgbClr val="FFFFFF"/>
                        </a:solidFill>
                        <a:ln w="6095">
                          <a:solidFill>
                            <a:srgbClr val="000000"/>
                          </a:solidFill>
                          <a:miter lim="800000"/>
                          <a:headEnd/>
                          <a:tailEnd/>
                        </a:ln>
                      </wps:spPr>
                      <wps:bodyPr/>
                    </wps:wsp>
                  </a:graphicData>
                </a:graphic>
              </wp:anchor>
            </w:drawing>
          </mc:Choice>
          <mc:Fallback>
            <w:pict>
              <v:line id="Shape 6" o:spid="_x0000_s1031"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17.4pt,-12.1999pt" to="117.4pt,78.8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2862580</wp:posOffset>
                </wp:positionH>
                <wp:positionV relativeFrom="paragraph">
                  <wp:posOffset>-154940</wp:posOffset>
                </wp:positionV>
                <wp:extent cx="0" cy="1155700"/>
                <wp:wrapNone/>
                <wp:docPr id="7" name="Shape 7"/>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1155700"/>
                        </a:xfrm>
                        <a:prstGeom prst="line">
                          <a:avLst/>
                        </a:prstGeom>
                        <a:solidFill>
                          <a:srgbClr val="FFFFFF"/>
                        </a:solidFill>
                        <a:ln w="6096">
                          <a:solidFill>
                            <a:srgbClr val="000000"/>
                          </a:solidFill>
                          <a:miter lim="800000"/>
                          <a:headEnd/>
                          <a:tailEnd/>
                        </a:ln>
                      </wps:spPr>
                      <wps:bodyPr/>
                    </wps:wsp>
                  </a:graphicData>
                </a:graphic>
              </wp:anchor>
            </w:drawing>
          </mc:Choice>
          <mc:Fallback>
            <w:pict>
              <v:line id="Shape 7" o:spid="_x0000_s1032"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25.4pt,-12.1999pt" to="225.4pt,78.8pt" o:allowincell="f" strokecolor="#000000" strokeweight="0.48pt"/>
            </w:pict>
          </mc:Fallback>
        </mc:AlternateContent>
      </w:r>
    </w:p>
    <w:p>
      <w:pPr>
        <w:ind w:left="2580" w:right="240" w:hanging="2506"/>
        <w:spacing w:after="0" w:line="244" w:lineRule="auto"/>
        <w:tabs>
          <w:tab w:leader="none" w:pos="256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Supp. No. 1 to part 738)</w:t>
      </w:r>
    </w:p>
    <w:p>
      <w:pPr>
        <w:spacing w:after="0" w:line="1" w:lineRule="exact"/>
        <w:rPr>
          <w:sz w:val="20"/>
          <w:szCs w:val="20"/>
          <w:color w:val="auto"/>
        </w:rPr>
      </w:pPr>
    </w:p>
    <w:p>
      <w:pPr>
        <w:ind w:left="20" w:right="920"/>
        <w:spacing w:after="0" w:line="249" w:lineRule="auto"/>
        <w:rPr>
          <w:sz w:val="20"/>
          <w:szCs w:val="20"/>
          <w:color w:val="auto"/>
        </w:rPr>
      </w:pPr>
      <w:r>
        <w:rPr>
          <w:rFonts w:ascii="Times New Roman" w:cs="Times New Roman" w:eastAsia="Times New Roman" w:hAnsi="Times New Roman"/>
          <w:sz w:val="22"/>
          <w:szCs w:val="22"/>
          <w:color w:val="auto"/>
        </w:rPr>
        <w:t>NS applies to entire entry NS Column 1 AT applies to entire entry AT Column 1</w:t>
      </w:r>
    </w:p>
    <w:p>
      <w:pPr>
        <w:spacing w:after="0" w:line="1" w:lineRule="exact"/>
        <w:rPr>
          <w:sz w:val="20"/>
          <w:szCs w:val="20"/>
          <w:color w:val="auto"/>
        </w:rPr>
      </w:pPr>
    </w:p>
    <w:p>
      <w:pPr>
        <w:ind w:left="2360" w:hanging="2339"/>
        <w:spacing w:after="0" w:line="271" w:lineRule="auto"/>
        <w:tabs>
          <w:tab w:leader="none" w:pos="2340" w:val="left"/>
        </w:tabs>
        <w:rPr>
          <w:sz w:val="20"/>
          <w:szCs w:val="20"/>
          <w:color w:val="auto"/>
        </w:rPr>
      </w:pPr>
      <w:r>
        <w:rPr>
          <w:rFonts w:ascii="Times New Roman" w:cs="Times New Roman" w:eastAsia="Times New Roman" w:hAnsi="Times New Roman"/>
          <w:sz w:val="22"/>
          <w:szCs w:val="22"/>
          <w:color w:val="auto"/>
        </w:rPr>
        <w:t>EI applies to entire entry</w:t>
        <w:tab/>
        <w:t>Refer to§742.15 of the EAR.</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1905</wp:posOffset>
                </wp:positionH>
                <wp:positionV relativeFrom="paragraph">
                  <wp:posOffset>-27940</wp:posOffset>
                </wp:positionV>
                <wp:extent cx="2863850" cy="0"/>
                <wp:wrapNone/>
                <wp:docPr id="8" name="Shape 8"/>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86385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8" o:spid="_x0000_s1033"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5pt,-2.1999pt" to="225.65pt,-2.1999pt" o:allowincell="f" strokecolor="#000000" strokeweight="0.48pt"/>
            </w:pict>
          </mc:Fallback>
        </mc:AlternateContent>
      </w:r>
    </w:p>
    <w:p>
      <w:pPr>
        <w:spacing w:after="0" w:line="388" w:lineRule="exact"/>
        <w:rPr>
          <w:sz w:val="20"/>
          <w:szCs w:val="20"/>
          <w:color w:val="auto"/>
        </w:rPr>
      </w:pPr>
    </w:p>
    <w:p>
      <w:pPr>
        <w:sectPr>
          <w:pgSz w:w="12240" w:h="15840" w:orient="portrait"/>
          <w:cols w:equalWidth="0" w:num="2">
            <w:col w:w="4420" w:space="620"/>
            <w:col w:w="4500"/>
          </w:cols>
          <w:pgMar w:left="1440" w:top="1422" w:right="1260" w:bottom="892" w:gutter="0" w:footer="0" w:header="0"/>
          <w:type w:val="continuous"/>
        </w:sectPr>
      </w:pPr>
    </w:p>
    <w:p>
      <w:pPr>
        <w:spacing w:after="0" w:line="202"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540"/>
          </w:cols>
          <w:pgMar w:left="1440" w:top="1422" w:right="1260" w:bottom="892" w:gutter="0" w:footer="0" w:header="0"/>
          <w:type w:val="continuous"/>
        </w:sectPr>
      </w:pPr>
    </w:p>
    <w:bookmarkStart w:id="7" w:name="page8"/>
    <w:bookmarkEnd w:id="7"/>
    <w:p>
      <w:pPr>
        <w:spacing w:after="0"/>
        <w:tabs>
          <w:tab w:leader="none" w:pos="3540" w:val="left"/>
          <w:tab w:leader="none" w:pos="66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Info. Security—page 8</w:t>
      </w:r>
    </w:p>
    <w:p>
      <w:pPr>
        <w:sectPr>
          <w:pgSz w:w="12240" w:h="15840" w:orient="portrait"/>
          <w:cols w:equalWidth="0" w:num="1">
            <w:col w:w="9360"/>
          </w:cols>
          <w:pgMar w:left="1440" w:top="1422" w:right="1440" w:bottom="892" w:gutter="0" w:footer="0" w:header="0"/>
        </w:sectPr>
      </w:pPr>
    </w:p>
    <w:p>
      <w:pPr>
        <w:spacing w:after="0" w:line="210" w:lineRule="exact"/>
        <w:rPr>
          <w:sz w:val="20"/>
          <w:szCs w:val="20"/>
          <w:color w:val="auto"/>
        </w:rPr>
      </w:pPr>
    </w:p>
    <w:p>
      <w:pPr>
        <w:jc w:val="both"/>
        <w:ind w:firstLine="360"/>
        <w:spacing w:after="0" w:line="244" w:lineRule="auto"/>
        <w:rPr>
          <w:sz w:val="20"/>
          <w:szCs w:val="20"/>
          <w:color w:val="auto"/>
        </w:rPr>
      </w:pPr>
      <w:r>
        <w:rPr>
          <w:rFonts w:ascii="Times New Roman" w:cs="Times New Roman" w:eastAsia="Times New Roman" w:hAnsi="Times New Roman"/>
          <w:sz w:val="22"/>
          <w:szCs w:val="22"/>
          <w:b w:val="1"/>
          <w:bCs w:val="1"/>
          <w:i w:val="1"/>
          <w:iCs w:val="1"/>
          <w:color w:val="auto"/>
        </w:rPr>
        <w:t xml:space="preserve">License Requirements Note: </w:t>
      </w:r>
      <w:r>
        <w:rPr>
          <w:rFonts w:ascii="Times New Roman" w:cs="Times New Roman" w:eastAsia="Times New Roman" w:hAnsi="Times New Roman"/>
          <w:sz w:val="22"/>
          <w:szCs w:val="22"/>
          <w:i w:val="1"/>
          <w:iCs w:val="1"/>
          <w:color w:val="auto"/>
        </w:rPr>
        <w:t>See §744.17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EAR for additional license requirements for microprocessors having a processing speed of 5 GFLOPS or more and an arithmetic logic unit with an access width of 32 bit or more, including those incorporating “information security” functionality, and associated “software” and “technology” for the “production” or “development” of such microprocessors.</w:t>
      </w:r>
    </w:p>
    <w:p>
      <w:pPr>
        <w:spacing w:after="0" w:line="216" w:lineRule="exact"/>
        <w:rPr>
          <w:sz w:val="20"/>
          <w:szCs w:val="20"/>
          <w:color w:val="auto"/>
        </w:rPr>
      </w:pPr>
    </w:p>
    <w:p>
      <w:pPr>
        <w:jc w:val="both"/>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1" w:lineRule="exact"/>
        <w:rPr>
          <w:sz w:val="20"/>
          <w:szCs w:val="20"/>
          <w:color w:val="auto"/>
        </w:rPr>
      </w:pPr>
    </w:p>
    <w:p>
      <w:pPr>
        <w:ind w:left="900" w:right="560" w:hanging="539"/>
        <w:spacing w:after="0" w:line="242" w:lineRule="auto"/>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 Yes: $500 for “components.”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N/A for systems and equipment.</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jc w:val="both"/>
        <w:ind w:left="1080" w:hanging="719"/>
        <w:spacing w:after="0" w:line="255" w:lineRule="auto"/>
        <w:tabs>
          <w:tab w:leader="none" w:pos="1060" w:val="left"/>
        </w:tabs>
        <w:rPr>
          <w:sz w:val="20"/>
          <w:szCs w:val="20"/>
          <w:color w:val="auto"/>
        </w:rPr>
      </w:pPr>
      <w:r>
        <w:rPr>
          <w:rFonts w:ascii="Times New Roman" w:cs="Times New Roman" w:eastAsia="Times New Roman" w:hAnsi="Times New Roman"/>
          <w:sz w:val="22"/>
          <w:szCs w:val="22"/>
          <w:i w:val="1"/>
          <w:iCs w:val="1"/>
          <w:color w:val="auto"/>
        </w:rPr>
        <w:t>ENC</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Yes for certain EI controlled commodities, see §740.17 of the EAR for eligibility.</w:t>
      </w:r>
    </w:p>
    <w:p>
      <w:pPr>
        <w:spacing w:after="0" w:line="20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jc w:val="both"/>
        <w:ind w:left="4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ECCN 5A004.a controls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“components” providing the means or functions necessary for “information security.” All such “components” are presumptively “specially designed” and controlled by 5A004.a.</w:t>
      </w:r>
    </w:p>
    <w:p>
      <w:pPr>
        <w:spacing w:after="0" w:line="3" w:lineRule="exact"/>
        <w:rPr>
          <w:sz w:val="20"/>
          <w:szCs w:val="20"/>
          <w:color w:val="auto"/>
        </w:rPr>
      </w:pPr>
    </w:p>
    <w:p>
      <w:pPr>
        <w:ind w:left="4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4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spacing w:after="0" w:line="271" w:lineRule="auto"/>
        <w:rPr>
          <w:sz w:val="20"/>
          <w:szCs w:val="20"/>
          <w:color w:val="auto"/>
        </w:rPr>
      </w:pPr>
      <w:r>
        <w:rPr>
          <w:rFonts w:ascii="Times New Roman" w:cs="Times New Roman" w:eastAsia="Times New Roman" w:hAnsi="Times New Roman"/>
          <w:sz w:val="22"/>
          <w:szCs w:val="22"/>
          <w:color w:val="auto"/>
        </w:rPr>
        <w:t>a. Designed or modified to perform ‘cryptanalytic functions.’</w:t>
      </w:r>
    </w:p>
    <w:p>
      <w:pPr>
        <w:spacing w:after="0" w:line="182"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5A004.a includes systems or</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equipment, designed or modified to perform ‘cryptanalytic functions’ by means of reverse engineering.</w:t>
      </w:r>
    </w:p>
    <w:p>
      <w:pPr>
        <w:spacing w:after="0" w:line="202" w:lineRule="exact"/>
        <w:rPr>
          <w:sz w:val="20"/>
          <w:szCs w:val="20"/>
          <w:color w:val="auto"/>
        </w:rPr>
      </w:pPr>
    </w:p>
    <w:p>
      <w:pPr>
        <w:jc w:val="both"/>
        <w:ind w:firstLine="36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Technical Note</w:t>
      </w:r>
      <w:r>
        <w:rPr>
          <w:rFonts w:ascii="Times New Roman" w:cs="Times New Roman" w:eastAsia="Times New Roman" w:hAnsi="Times New Roman"/>
          <w:sz w:val="22"/>
          <w:szCs w:val="22"/>
          <w:i w:val="1"/>
          <w:iCs w:val="1"/>
          <w:color w:val="auto"/>
        </w:rPr>
        <w:t>: ‘Cryptanalytic functions’</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are functions designed to defeat cryptographic mechanisms in order to derive confidential variables or sensitive data, including clear text, passwords or cryptographic keys.</w:t>
      </w:r>
    </w:p>
    <w:p>
      <w:pPr>
        <w:spacing w:after="0" w:line="21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b. [Reserved]</w:t>
      </w:r>
    </w:p>
    <w:p>
      <w:pPr>
        <w:spacing w:after="0" w:line="20" w:lineRule="exact"/>
        <w:rPr>
          <w:sz w:val="20"/>
          <w:szCs w:val="20"/>
          <w:color w:val="auto"/>
        </w:rPr>
      </w:pPr>
      <w:r>
        <w:rPr>
          <w:sz w:val="20"/>
          <w:szCs w:val="20"/>
          <w:color w:val="auto"/>
        </w:rPr>
        <w:br w:type="column"/>
      </w:r>
    </w:p>
    <w:p>
      <w:pPr>
        <w:spacing w:after="0" w:line="200" w:lineRule="exact"/>
        <w:rPr>
          <w:sz w:val="20"/>
          <w:szCs w:val="20"/>
          <w:color w:val="auto"/>
        </w:rPr>
      </w:pPr>
    </w:p>
    <w:p>
      <w:pPr>
        <w:spacing w:after="0" w:line="200" w:lineRule="exact"/>
        <w:rPr>
          <w:sz w:val="20"/>
          <w:szCs w:val="20"/>
          <w:color w:val="auto"/>
        </w:rPr>
      </w:pPr>
    </w:p>
    <w:p>
      <w:pPr>
        <w:spacing w:after="0" w:line="297"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22"/>
          <w:szCs w:val="22"/>
          <w:b w:val="1"/>
          <w:bCs w:val="1"/>
          <w:color w:val="auto"/>
        </w:rPr>
        <w:t>B. TEST, INSPECTION AND</w:t>
      </w:r>
    </w:p>
    <w:p>
      <w:pPr>
        <w:spacing w:after="0" w:line="4" w:lineRule="exact"/>
        <w:rPr>
          <w:sz w:val="20"/>
          <w:szCs w:val="20"/>
          <w:color w:val="auto"/>
        </w:rPr>
      </w:pPr>
    </w:p>
    <w:p>
      <w:pPr>
        <w:jc w:val="center"/>
        <w:spacing w:after="0"/>
        <w:rPr>
          <w:sz w:val="20"/>
          <w:szCs w:val="20"/>
          <w:color w:val="auto"/>
        </w:rPr>
      </w:pPr>
      <w:r>
        <w:rPr>
          <w:rFonts w:ascii="Times New Roman" w:cs="Times New Roman" w:eastAsia="Times New Roman" w:hAnsi="Times New Roman"/>
          <w:sz w:val="22"/>
          <w:szCs w:val="22"/>
          <w:b w:val="1"/>
          <w:bCs w:val="1"/>
          <w:color w:val="auto"/>
        </w:rPr>
        <w:t>“PRODUCTION EQUIPMENT”</w:t>
      </w:r>
    </w:p>
    <w:p>
      <w:pPr>
        <w:spacing w:after="0" w:line="200" w:lineRule="exact"/>
        <w:rPr>
          <w:sz w:val="20"/>
          <w:szCs w:val="20"/>
          <w:color w:val="auto"/>
        </w:rPr>
      </w:pPr>
    </w:p>
    <w:p>
      <w:pPr>
        <w:spacing w:after="0" w:line="303" w:lineRule="exact"/>
        <w:rPr>
          <w:sz w:val="20"/>
          <w:szCs w:val="20"/>
          <w:color w:val="auto"/>
        </w:rPr>
      </w:pPr>
    </w:p>
    <w:p>
      <w:pPr>
        <w:jc w:val="both"/>
        <w:spacing w:after="0" w:line="257" w:lineRule="auto"/>
        <w:rPr>
          <w:sz w:val="20"/>
          <w:szCs w:val="20"/>
          <w:color w:val="auto"/>
        </w:rPr>
      </w:pPr>
      <w:r>
        <w:rPr>
          <w:rFonts w:ascii="Times New Roman" w:cs="Times New Roman" w:eastAsia="Times New Roman" w:hAnsi="Times New Roman"/>
          <w:sz w:val="22"/>
          <w:szCs w:val="22"/>
          <w:b w:val="1"/>
          <w:bCs w:val="1"/>
          <w:color w:val="auto"/>
        </w:rPr>
        <w:t>5B002 “Information Security” test, inspection and “production” equipment, as follows (see List of Items Controlled).</w:t>
      </w:r>
    </w:p>
    <w:p>
      <w:pPr>
        <w:spacing w:after="0" w:line="19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2"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NS, 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8"/>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00" w:type="dxa"/>
            <w:vAlign w:val="bottom"/>
            <w:tcBorders>
              <w:top w:val="single" w:sz="8" w:color="auto"/>
              <w:right w:val="single" w:sz="8" w:color="auto"/>
            </w:tcBorders>
          </w:tcPr>
          <w:p>
            <w:pPr>
              <w:jc w:val="center"/>
              <w:spacing w:after="0" w:line="248"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18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NS Column 1</w:t>
            </w:r>
          </w:p>
        </w:tc>
      </w:tr>
      <w:tr>
        <w:trPr>
          <w:trHeight w:val="244"/>
        </w:trPr>
        <w:tc>
          <w:tcPr>
            <w:tcW w:w="2540" w:type="dxa"/>
            <w:vAlign w:val="bottom"/>
            <w:tcBorders>
              <w:left w:val="single" w:sz="8" w:color="auto"/>
              <w:bottom w:val="single" w:sz="8" w:color="auto"/>
              <w:right w:val="single" w:sz="8" w:color="auto"/>
            </w:tcBorders>
          </w:tcPr>
          <w:p>
            <w:pPr>
              <w:jc w:val="center"/>
              <w:spacing w:after="0" w:line="244"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ind w:left="80"/>
              <w:spacing w:after="0" w:line="244"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00" w:lineRule="exact"/>
        <w:rPr>
          <w:sz w:val="20"/>
          <w:szCs w:val="20"/>
          <w:color w:val="auto"/>
        </w:rPr>
      </w:pPr>
    </w:p>
    <w:p>
      <w:pPr>
        <w:spacing w:after="0" w:line="286" w:lineRule="exact"/>
        <w:rPr>
          <w:sz w:val="20"/>
          <w:szCs w:val="20"/>
          <w:color w:val="auto"/>
        </w:rPr>
      </w:pPr>
    </w:p>
    <w:p>
      <w:pPr>
        <w:jc w:val="both"/>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2"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LVS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3"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GBS</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 w:leader="none" w:pos="1640" w:val="left"/>
          <w:tab w:leader="none" w:pos="2140" w:val="left"/>
          <w:tab w:leader="none" w:pos="2960" w:val="left"/>
          <w:tab w:leader="none" w:pos="3400" w:val="left"/>
        </w:tabs>
        <w:rPr>
          <w:sz w:val="20"/>
          <w:szCs w:val="20"/>
          <w:color w:val="auto"/>
        </w:rPr>
      </w:pPr>
      <w:r>
        <w:rPr>
          <w:rFonts w:ascii="Times New Roman" w:cs="Times New Roman" w:eastAsia="Times New Roman" w:hAnsi="Times New Roman"/>
          <w:sz w:val="22"/>
          <w:szCs w:val="22"/>
          <w:i w:val="1"/>
          <w:iCs w:val="1"/>
          <w:color w:val="auto"/>
        </w:rPr>
        <w:t>ENC</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Yes</w:t>
        <w:tab/>
        <w:t>for</w:t>
        <w:tab/>
        <w:t>certain</w:t>
        <w:tab/>
        <w:t>EI</w:t>
        <w:tab/>
        <w:t>controlled</w:t>
      </w:r>
    </w:p>
    <w:p>
      <w:pPr>
        <w:ind w:left="1080"/>
        <w:spacing w:after="0"/>
        <w:rPr>
          <w:sz w:val="20"/>
          <w:szCs w:val="20"/>
          <w:color w:val="auto"/>
        </w:rPr>
      </w:pPr>
      <w:r>
        <w:rPr>
          <w:rFonts w:ascii="Times New Roman" w:cs="Times New Roman" w:eastAsia="Times New Roman" w:hAnsi="Times New Roman"/>
          <w:sz w:val="22"/>
          <w:szCs w:val="22"/>
          <w:color w:val="auto"/>
        </w:rPr>
        <w:t>equipment, see §740.17 of the EAR</w:t>
      </w:r>
    </w:p>
    <w:p>
      <w:pPr>
        <w:ind w:left="1080"/>
        <w:spacing w:after="0"/>
        <w:rPr>
          <w:sz w:val="20"/>
          <w:szCs w:val="20"/>
          <w:color w:val="auto"/>
        </w:rPr>
      </w:pPr>
      <w:r>
        <w:rPr>
          <w:rFonts w:ascii="Times New Roman" w:cs="Times New Roman" w:eastAsia="Times New Roman" w:hAnsi="Times New Roman"/>
          <w:sz w:val="22"/>
          <w:szCs w:val="22"/>
          <w:color w:val="auto"/>
        </w:rPr>
        <w:t>for eligibility.</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2"/>
          <w:szCs w:val="22"/>
          <w:color w:val="auto"/>
        </w:rPr>
        <w:t>a. Equipment “specially designed” for the “development” or “production” of equipment controlled by 5A002, 5A003, 5A004 or 5B002.b;</w:t>
      </w:r>
    </w:p>
    <w:p>
      <w:pPr>
        <w:spacing w:after="0" w:line="211" w:lineRule="exact"/>
        <w:rPr>
          <w:sz w:val="20"/>
          <w:szCs w:val="20"/>
          <w:color w:val="auto"/>
        </w:rPr>
      </w:pPr>
    </w:p>
    <w:p>
      <w:pPr>
        <w:jc w:val="both"/>
        <w:spacing w:after="0" w:line="247" w:lineRule="auto"/>
        <w:tabs>
          <w:tab w:leader="none" w:pos="283" w:val="left"/>
        </w:tabs>
        <w:numPr>
          <w:ilvl w:val="0"/>
          <w:numId w:val="15"/>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Measuring equipment “specially designed” to evaluate and validate the “information security” functions of equipment controlled by 5A002, 5A003 or 5A004, or of “software” controlled by 5D002.a or 5D002.c.</w:t>
      </w:r>
    </w:p>
    <w:p>
      <w:pPr>
        <w:spacing w:after="0" w:line="200" w:lineRule="exact"/>
        <w:rPr>
          <w:sz w:val="20"/>
          <w:szCs w:val="20"/>
          <w:color w:val="auto"/>
        </w:rPr>
      </w:pPr>
    </w:p>
    <w:p>
      <w:pPr>
        <w:sectPr>
          <w:pgSz w:w="12240" w:h="15840" w:orient="portrait"/>
          <w:cols w:equalWidth="0" w:num="2">
            <w:col w:w="4320" w:space="720"/>
            <w:col w:w="4320"/>
          </w:cols>
          <w:pgMar w:left="1440" w:top="1422" w:right="1440" w:bottom="892" w:gutter="0" w:footer="0" w:header="0"/>
          <w:type w:val="continuous"/>
        </w:sectPr>
      </w:pPr>
    </w:p>
    <w:p>
      <w:pPr>
        <w:spacing w:after="0" w:line="166"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8" w:name="page9"/>
    <w:bookmarkEnd w:id="8"/>
    <w:p>
      <w:pPr>
        <w:spacing w:after="0"/>
        <w:tabs>
          <w:tab w:leader="none" w:pos="3540" w:val="left"/>
          <w:tab w:leader="none" w:pos="662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Info. Security—page 9</w:t>
      </w:r>
    </w:p>
    <w:p>
      <w:pPr>
        <w:sectPr>
          <w:pgSz w:w="12240" w:h="15840" w:orient="portrait"/>
          <w:cols w:equalWidth="0" w:num="1">
            <w:col w:w="9360"/>
          </w:cols>
          <w:pgMar w:left="1440" w:top="1422" w:right="1440" w:bottom="892" w:gutter="0" w:footer="0" w:header="0"/>
        </w:sectPr>
      </w:pPr>
    </w:p>
    <w:p>
      <w:pPr>
        <w:spacing w:after="0" w:line="200" w:lineRule="exact"/>
        <w:rPr>
          <w:sz w:val="20"/>
          <w:szCs w:val="20"/>
          <w:color w:val="auto"/>
        </w:rPr>
      </w:pPr>
    </w:p>
    <w:p>
      <w:pPr>
        <w:spacing w:after="0" w:line="200" w:lineRule="exact"/>
        <w:rPr>
          <w:sz w:val="20"/>
          <w:szCs w:val="20"/>
          <w:color w:val="auto"/>
        </w:rPr>
      </w:pPr>
    </w:p>
    <w:p>
      <w:pPr>
        <w:spacing w:after="0" w:line="317"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b w:val="1"/>
          <w:bCs w:val="1"/>
          <w:color w:val="auto"/>
        </w:rPr>
        <w:t>C. “MATERIALS” - [RESERVED]</w:t>
      </w:r>
    </w:p>
    <w:p>
      <w:pPr>
        <w:spacing w:after="0" w:line="200" w:lineRule="exact"/>
        <w:rPr>
          <w:sz w:val="20"/>
          <w:szCs w:val="20"/>
          <w:color w:val="auto"/>
        </w:rPr>
      </w:pPr>
    </w:p>
    <w:p>
      <w:pPr>
        <w:spacing w:after="0" w:line="307" w:lineRule="exact"/>
        <w:rPr>
          <w:sz w:val="20"/>
          <w:szCs w:val="20"/>
          <w:color w:val="auto"/>
        </w:rPr>
      </w:pPr>
    </w:p>
    <w:p>
      <w:pPr>
        <w:ind w:left="1240"/>
        <w:spacing w:after="0"/>
        <w:rPr>
          <w:sz w:val="20"/>
          <w:szCs w:val="20"/>
          <w:color w:val="auto"/>
        </w:rPr>
      </w:pPr>
      <w:r>
        <w:rPr>
          <w:rFonts w:ascii="Times New Roman" w:cs="Times New Roman" w:eastAsia="Times New Roman" w:hAnsi="Times New Roman"/>
          <w:sz w:val="22"/>
          <w:szCs w:val="22"/>
          <w:b w:val="1"/>
          <w:bCs w:val="1"/>
          <w:color w:val="auto"/>
        </w:rPr>
        <w:t>D.  “SOFTWARE”</w:t>
      </w:r>
    </w:p>
    <w:p>
      <w:pPr>
        <w:spacing w:after="0" w:line="200" w:lineRule="exact"/>
        <w:rPr>
          <w:sz w:val="20"/>
          <w:szCs w:val="20"/>
          <w:color w:val="auto"/>
        </w:rPr>
      </w:pPr>
    </w:p>
    <w:p>
      <w:pPr>
        <w:spacing w:after="0" w:line="305" w:lineRule="exact"/>
        <w:rPr>
          <w:sz w:val="20"/>
          <w:szCs w:val="20"/>
          <w:color w:val="auto"/>
        </w:rPr>
      </w:pPr>
    </w:p>
    <w:p>
      <w:pPr>
        <w:jc w:val="both"/>
        <w:ind w:right="180"/>
        <w:spacing w:after="0" w:line="274" w:lineRule="auto"/>
        <w:rPr>
          <w:sz w:val="20"/>
          <w:szCs w:val="20"/>
          <w:color w:val="auto"/>
        </w:rPr>
      </w:pPr>
      <w:r>
        <w:rPr>
          <w:rFonts w:ascii="Times New Roman" w:cs="Times New Roman" w:eastAsia="Times New Roman" w:hAnsi="Times New Roman"/>
          <w:sz w:val="22"/>
          <w:szCs w:val="22"/>
          <w:b w:val="1"/>
          <w:bCs w:val="1"/>
          <w:color w:val="auto"/>
        </w:rPr>
        <w:t>5D002 “Software” as follows (see List of Items Controlled).</w:t>
      </w:r>
    </w:p>
    <w:p>
      <w:pPr>
        <w:spacing w:after="0" w:line="182"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 EI</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560" w:type="dxa"/>
            <w:vAlign w:val="bottom"/>
            <w:tcBorders>
              <w:top w:val="single" w:sz="8" w:color="auto"/>
              <w:left w:val="single" w:sz="8" w:color="auto"/>
            </w:tcBorders>
          </w:tcPr>
          <w:p>
            <w:pPr>
              <w:spacing w:after="0"/>
              <w:rPr>
                <w:sz w:val="21"/>
                <w:szCs w:val="21"/>
                <w:color w:val="auto"/>
              </w:rPr>
            </w:pPr>
          </w:p>
        </w:tc>
        <w:tc>
          <w:tcPr>
            <w:tcW w:w="1080" w:type="dxa"/>
            <w:vAlign w:val="bottom"/>
            <w:tcBorders>
              <w:top w:val="single" w:sz="8" w:color="auto"/>
            </w:tcBorders>
            <w:gridSpan w:val="3"/>
            <w:vMerge w:val="restart"/>
          </w:tcPr>
          <w:p>
            <w:pPr>
              <w:jc w:val="center"/>
              <w:ind w:right="1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440" w:type="dxa"/>
            <w:vAlign w:val="bottom"/>
            <w:tcBorders>
              <w:top w:val="single" w:sz="8" w:color="auto"/>
              <w:right w:val="single" w:sz="8" w:color="auto"/>
            </w:tcBorders>
          </w:tcPr>
          <w:p>
            <w:pPr>
              <w:spacing w:after="0"/>
              <w:rPr>
                <w:sz w:val="21"/>
                <w:szCs w:val="21"/>
                <w:color w:val="auto"/>
              </w:rPr>
            </w:pPr>
          </w:p>
        </w:tc>
        <w:tc>
          <w:tcPr>
            <w:tcW w:w="2440" w:type="dxa"/>
            <w:vAlign w:val="bottom"/>
            <w:tcBorders>
              <w:top w:val="single" w:sz="8" w:color="auto"/>
              <w:right w:val="single" w:sz="8" w:color="auto"/>
            </w:tcBorders>
            <w:gridSpan w:val="5"/>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 (See</w:t>
            </w:r>
          </w:p>
        </w:tc>
        <w:tc>
          <w:tcPr>
            <w:tcW w:w="0" w:type="dxa"/>
            <w:vAlign w:val="bottom"/>
          </w:tcPr>
          <w:p>
            <w:pPr>
              <w:spacing w:after="0"/>
              <w:rPr>
                <w:sz w:val="1"/>
                <w:szCs w:val="1"/>
                <w:color w:val="auto"/>
              </w:rPr>
            </w:pPr>
          </w:p>
        </w:tc>
      </w:tr>
      <w:tr>
        <w:trPr>
          <w:trHeight w:val="164"/>
        </w:trPr>
        <w:tc>
          <w:tcPr>
            <w:tcW w:w="560" w:type="dxa"/>
            <w:vAlign w:val="bottom"/>
            <w:tcBorders>
              <w:left w:val="single" w:sz="8" w:color="auto"/>
            </w:tcBorders>
          </w:tcPr>
          <w:p>
            <w:pPr>
              <w:spacing w:after="0"/>
              <w:rPr>
                <w:sz w:val="14"/>
                <w:szCs w:val="14"/>
                <w:color w:val="auto"/>
              </w:rPr>
            </w:pPr>
          </w:p>
        </w:tc>
        <w:tc>
          <w:tcPr>
            <w:tcW w:w="1080" w:type="dxa"/>
            <w:vAlign w:val="bottom"/>
            <w:gridSpan w:val="3"/>
            <w:vMerge w:val="continue"/>
          </w:tcPr>
          <w:p>
            <w:pPr>
              <w:spacing w:after="0"/>
              <w:rPr>
                <w:sz w:val="14"/>
                <w:szCs w:val="14"/>
                <w:color w:val="auto"/>
              </w:rPr>
            </w:pPr>
          </w:p>
        </w:tc>
        <w:tc>
          <w:tcPr>
            <w:tcW w:w="440" w:type="dxa"/>
            <w:vAlign w:val="bottom"/>
            <w:tcBorders>
              <w:right w:val="single" w:sz="8" w:color="auto"/>
            </w:tcBorders>
          </w:tcPr>
          <w:p>
            <w:pPr>
              <w:spacing w:after="0"/>
              <w:rPr>
                <w:sz w:val="14"/>
                <w:szCs w:val="14"/>
                <w:color w:val="auto"/>
              </w:rPr>
            </w:pPr>
          </w:p>
        </w:tc>
        <w:tc>
          <w:tcPr>
            <w:tcW w:w="2440" w:type="dxa"/>
            <w:vAlign w:val="bottom"/>
            <w:tcBorders>
              <w:right w:val="single" w:sz="8" w:color="auto"/>
            </w:tcBorders>
            <w:gridSpan w:val="5"/>
            <w:vMerge w:val="restart"/>
          </w:tcPr>
          <w:p>
            <w:pPr>
              <w:jc w:val="center"/>
              <w:spacing w:after="0"/>
              <w:rPr>
                <w:sz w:val="20"/>
                <w:szCs w:val="20"/>
                <w:color w:val="auto"/>
              </w:rPr>
            </w:pPr>
            <w:r>
              <w:rPr>
                <w:rFonts w:ascii="Times New Roman" w:cs="Times New Roman" w:eastAsia="Times New Roman" w:hAnsi="Times New Roman"/>
                <w:sz w:val="22"/>
                <w:szCs w:val="22"/>
                <w:i w:val="1"/>
                <w:iCs w:val="1"/>
                <w:color w:val="auto"/>
              </w:rPr>
              <w:t>Supp. No. 1 to part 738)</w:t>
            </w:r>
          </w:p>
        </w:tc>
        <w:tc>
          <w:tcPr>
            <w:tcW w:w="0" w:type="dxa"/>
            <w:vAlign w:val="bottom"/>
          </w:tcPr>
          <w:p>
            <w:pPr>
              <w:spacing w:after="0"/>
              <w:rPr>
                <w:sz w:val="1"/>
                <w:szCs w:val="1"/>
                <w:color w:val="auto"/>
              </w:rPr>
            </w:pPr>
          </w:p>
        </w:tc>
      </w:tr>
      <w:tr>
        <w:trPr>
          <w:trHeight w:val="108"/>
        </w:trPr>
        <w:tc>
          <w:tcPr>
            <w:tcW w:w="560" w:type="dxa"/>
            <w:vAlign w:val="bottom"/>
            <w:tcBorders>
              <w:left w:val="single" w:sz="8" w:color="auto"/>
              <w:bottom w:val="single" w:sz="8" w:color="auto"/>
            </w:tcBorders>
          </w:tcPr>
          <w:p>
            <w:pPr>
              <w:spacing w:after="0"/>
              <w:rPr>
                <w:sz w:val="9"/>
                <w:szCs w:val="9"/>
                <w:color w:val="auto"/>
              </w:rPr>
            </w:pPr>
          </w:p>
        </w:tc>
        <w:tc>
          <w:tcPr>
            <w:tcW w:w="380" w:type="dxa"/>
            <w:vAlign w:val="bottom"/>
            <w:tcBorders>
              <w:bottom w:val="single" w:sz="8" w:color="auto"/>
            </w:tcBorders>
          </w:tcPr>
          <w:p>
            <w:pPr>
              <w:spacing w:after="0"/>
              <w:rPr>
                <w:sz w:val="9"/>
                <w:szCs w:val="9"/>
                <w:color w:val="auto"/>
              </w:rPr>
            </w:pPr>
          </w:p>
        </w:tc>
        <w:tc>
          <w:tcPr>
            <w:tcW w:w="200" w:type="dxa"/>
            <w:vAlign w:val="bottom"/>
            <w:tcBorders>
              <w:bottom w:val="single" w:sz="8" w:color="auto"/>
            </w:tcBorders>
          </w:tcPr>
          <w:p>
            <w:pPr>
              <w:spacing w:after="0"/>
              <w:rPr>
                <w:sz w:val="9"/>
                <w:szCs w:val="9"/>
                <w:color w:val="auto"/>
              </w:rPr>
            </w:pPr>
          </w:p>
        </w:tc>
        <w:tc>
          <w:tcPr>
            <w:tcW w:w="500" w:type="dxa"/>
            <w:vAlign w:val="bottom"/>
            <w:tcBorders>
              <w:bottom w:val="single" w:sz="8" w:color="auto"/>
            </w:tcBorders>
          </w:tcPr>
          <w:p>
            <w:pPr>
              <w:spacing w:after="0"/>
              <w:rPr>
                <w:sz w:val="9"/>
                <w:szCs w:val="9"/>
                <w:color w:val="auto"/>
              </w:rPr>
            </w:pPr>
          </w:p>
        </w:tc>
        <w:tc>
          <w:tcPr>
            <w:tcW w:w="440" w:type="dxa"/>
            <w:vAlign w:val="bottom"/>
            <w:tcBorders>
              <w:bottom w:val="single" w:sz="8" w:color="auto"/>
              <w:right w:val="single" w:sz="8" w:color="auto"/>
            </w:tcBorders>
          </w:tcPr>
          <w:p>
            <w:pPr>
              <w:spacing w:after="0"/>
              <w:rPr>
                <w:sz w:val="9"/>
                <w:szCs w:val="9"/>
                <w:color w:val="auto"/>
              </w:rPr>
            </w:pPr>
          </w:p>
        </w:tc>
        <w:tc>
          <w:tcPr>
            <w:tcW w:w="2440" w:type="dxa"/>
            <w:vAlign w:val="bottom"/>
            <w:tcBorders>
              <w:bottom w:val="single" w:sz="8" w:color="auto"/>
              <w:right w:val="single" w:sz="8" w:color="auto"/>
            </w:tcBorders>
            <w:gridSpan w:val="5"/>
            <w:vMerge w:val="continue"/>
          </w:tcPr>
          <w:p>
            <w:pPr>
              <w:spacing w:after="0"/>
              <w:rPr>
                <w:sz w:val="9"/>
                <w:szCs w:val="9"/>
                <w:color w:val="auto"/>
              </w:rPr>
            </w:pPr>
          </w:p>
        </w:tc>
        <w:tc>
          <w:tcPr>
            <w:tcW w:w="0" w:type="dxa"/>
            <w:vAlign w:val="bottom"/>
          </w:tcPr>
          <w:p>
            <w:pPr>
              <w:spacing w:after="0"/>
              <w:rPr>
                <w:sz w:val="1"/>
                <w:szCs w:val="1"/>
                <w:color w:val="auto"/>
              </w:rPr>
            </w:pPr>
          </w:p>
        </w:tc>
      </w:tr>
      <w:tr>
        <w:trPr>
          <w:trHeight w:val="227"/>
        </w:trPr>
        <w:tc>
          <w:tcPr>
            <w:tcW w:w="2080" w:type="dxa"/>
            <w:vAlign w:val="bottom"/>
            <w:tcBorders>
              <w:left w:val="single" w:sz="8" w:color="auto"/>
              <w:right w:val="single" w:sz="8" w:color="auto"/>
            </w:tcBorders>
            <w:gridSpan w:val="5"/>
          </w:tcPr>
          <w:p>
            <w:pPr>
              <w:ind w:left="100"/>
              <w:spacing w:after="0" w:line="227" w:lineRule="exact"/>
              <w:rPr>
                <w:sz w:val="20"/>
                <w:szCs w:val="20"/>
                <w:color w:val="auto"/>
              </w:rPr>
            </w:pPr>
            <w:r>
              <w:rPr>
                <w:rFonts w:ascii="Times New Roman" w:cs="Times New Roman" w:eastAsia="Times New Roman" w:hAnsi="Times New Roman"/>
                <w:sz w:val="22"/>
                <w:szCs w:val="22"/>
                <w:color w:val="auto"/>
              </w:rPr>
              <w:t>NS applies to entire</w:t>
            </w:r>
          </w:p>
        </w:tc>
        <w:tc>
          <w:tcPr>
            <w:tcW w:w="1400" w:type="dxa"/>
            <w:vAlign w:val="bottom"/>
            <w:gridSpan w:val="3"/>
          </w:tcPr>
          <w:p>
            <w:pPr>
              <w:ind w:left="100"/>
              <w:spacing w:after="0" w:line="227" w:lineRule="exact"/>
              <w:rPr>
                <w:sz w:val="20"/>
                <w:szCs w:val="20"/>
                <w:color w:val="auto"/>
              </w:rPr>
            </w:pPr>
            <w:r>
              <w:rPr>
                <w:rFonts w:ascii="Times New Roman" w:cs="Times New Roman" w:eastAsia="Times New Roman" w:hAnsi="Times New Roman"/>
                <w:sz w:val="22"/>
                <w:szCs w:val="22"/>
                <w:color w:val="auto"/>
              </w:rPr>
              <w:t>NS Column 1</w:t>
            </w:r>
          </w:p>
        </w:tc>
        <w:tc>
          <w:tcPr>
            <w:tcW w:w="440" w:type="dxa"/>
            <w:vAlign w:val="bottom"/>
          </w:tcPr>
          <w:p>
            <w:pPr>
              <w:spacing w:after="0"/>
              <w:rPr>
                <w:sz w:val="19"/>
                <w:szCs w:val="19"/>
                <w:color w:val="auto"/>
              </w:rPr>
            </w:pPr>
          </w:p>
        </w:tc>
        <w:tc>
          <w:tcPr>
            <w:tcW w:w="60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269"/>
        </w:trPr>
        <w:tc>
          <w:tcPr>
            <w:tcW w:w="560" w:type="dxa"/>
            <w:vAlign w:val="bottom"/>
            <w:tcBorders>
              <w:left w:val="single" w:sz="8" w:color="auto"/>
              <w:bottom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w w:val="97"/>
              </w:rPr>
              <w:t>entry</w:t>
            </w:r>
          </w:p>
        </w:tc>
        <w:tc>
          <w:tcPr>
            <w:tcW w:w="380" w:type="dxa"/>
            <w:vAlign w:val="bottom"/>
            <w:tcBorders>
              <w:bottom w:val="single" w:sz="8" w:color="auto"/>
            </w:tcBorders>
          </w:tcPr>
          <w:p>
            <w:pPr>
              <w:spacing w:after="0"/>
              <w:rPr>
                <w:sz w:val="23"/>
                <w:szCs w:val="23"/>
                <w:color w:val="auto"/>
              </w:rPr>
            </w:pPr>
          </w:p>
        </w:tc>
        <w:tc>
          <w:tcPr>
            <w:tcW w:w="200" w:type="dxa"/>
            <w:vAlign w:val="bottom"/>
            <w:tcBorders>
              <w:bottom w:val="single" w:sz="8" w:color="auto"/>
            </w:tcBorders>
          </w:tcPr>
          <w:p>
            <w:pPr>
              <w:spacing w:after="0"/>
              <w:rPr>
                <w:sz w:val="23"/>
                <w:szCs w:val="23"/>
                <w:color w:val="auto"/>
              </w:rPr>
            </w:pPr>
          </w:p>
        </w:tc>
        <w:tc>
          <w:tcPr>
            <w:tcW w:w="500" w:type="dxa"/>
            <w:vAlign w:val="bottom"/>
            <w:tcBorders>
              <w:bottom w:val="single" w:sz="8" w:color="auto"/>
            </w:tcBorders>
          </w:tcPr>
          <w:p>
            <w:pPr>
              <w:spacing w:after="0"/>
              <w:rPr>
                <w:sz w:val="23"/>
                <w:szCs w:val="23"/>
                <w:color w:val="auto"/>
              </w:rPr>
            </w:pPr>
          </w:p>
        </w:tc>
        <w:tc>
          <w:tcPr>
            <w:tcW w:w="440" w:type="dxa"/>
            <w:vAlign w:val="bottom"/>
            <w:tcBorders>
              <w:bottom w:val="single" w:sz="8" w:color="auto"/>
              <w:right w:val="single" w:sz="8" w:color="auto"/>
            </w:tcBorders>
          </w:tcPr>
          <w:p>
            <w:pPr>
              <w:spacing w:after="0"/>
              <w:rPr>
                <w:sz w:val="23"/>
                <w:szCs w:val="23"/>
                <w:color w:val="auto"/>
              </w:rPr>
            </w:pPr>
          </w:p>
        </w:tc>
        <w:tc>
          <w:tcPr>
            <w:tcW w:w="680" w:type="dxa"/>
            <w:vAlign w:val="bottom"/>
            <w:tcBorders>
              <w:bottom w:val="single" w:sz="8" w:color="auto"/>
            </w:tcBorders>
          </w:tcPr>
          <w:p>
            <w:pPr>
              <w:spacing w:after="0"/>
              <w:rPr>
                <w:sz w:val="23"/>
                <w:szCs w:val="23"/>
                <w:color w:val="auto"/>
              </w:rPr>
            </w:pPr>
          </w:p>
        </w:tc>
        <w:tc>
          <w:tcPr>
            <w:tcW w:w="520" w:type="dxa"/>
            <w:vAlign w:val="bottom"/>
            <w:tcBorders>
              <w:bottom w:val="single" w:sz="8" w:color="auto"/>
            </w:tcBorders>
          </w:tcPr>
          <w:p>
            <w:pPr>
              <w:spacing w:after="0"/>
              <w:rPr>
                <w:sz w:val="23"/>
                <w:szCs w:val="23"/>
                <w:color w:val="auto"/>
              </w:rPr>
            </w:pPr>
          </w:p>
        </w:tc>
        <w:tc>
          <w:tcPr>
            <w:tcW w:w="200" w:type="dxa"/>
            <w:vAlign w:val="bottom"/>
            <w:tcBorders>
              <w:bottom w:val="single" w:sz="8" w:color="auto"/>
            </w:tcBorders>
          </w:tcPr>
          <w:p>
            <w:pPr>
              <w:spacing w:after="0"/>
              <w:rPr>
                <w:sz w:val="23"/>
                <w:szCs w:val="23"/>
                <w:color w:val="auto"/>
              </w:rPr>
            </w:pPr>
          </w:p>
        </w:tc>
        <w:tc>
          <w:tcPr>
            <w:tcW w:w="440" w:type="dxa"/>
            <w:vAlign w:val="bottom"/>
            <w:tcBorders>
              <w:bottom w:val="single" w:sz="8" w:color="auto"/>
            </w:tcBorders>
          </w:tcPr>
          <w:p>
            <w:pPr>
              <w:spacing w:after="0"/>
              <w:rPr>
                <w:sz w:val="23"/>
                <w:szCs w:val="23"/>
                <w:color w:val="auto"/>
              </w:rPr>
            </w:pPr>
          </w:p>
        </w:tc>
        <w:tc>
          <w:tcPr>
            <w:tcW w:w="60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27"/>
        </w:trPr>
        <w:tc>
          <w:tcPr>
            <w:tcW w:w="2080" w:type="dxa"/>
            <w:vAlign w:val="bottom"/>
            <w:tcBorders>
              <w:left w:val="single" w:sz="8" w:color="auto"/>
              <w:right w:val="single" w:sz="8" w:color="auto"/>
            </w:tcBorders>
            <w:gridSpan w:val="5"/>
          </w:tcPr>
          <w:p>
            <w:pPr>
              <w:ind w:left="100"/>
              <w:spacing w:after="0" w:line="227" w:lineRule="exact"/>
              <w:rPr>
                <w:sz w:val="20"/>
                <w:szCs w:val="20"/>
                <w:color w:val="auto"/>
              </w:rPr>
            </w:pPr>
            <w:r>
              <w:rPr>
                <w:rFonts w:ascii="Times New Roman" w:cs="Times New Roman" w:eastAsia="Times New Roman" w:hAnsi="Times New Roman"/>
                <w:sz w:val="22"/>
                <w:szCs w:val="22"/>
                <w:color w:val="auto"/>
              </w:rPr>
              <w:t>AT applies to entire</w:t>
            </w:r>
          </w:p>
        </w:tc>
        <w:tc>
          <w:tcPr>
            <w:tcW w:w="1400" w:type="dxa"/>
            <w:vAlign w:val="bottom"/>
            <w:gridSpan w:val="3"/>
          </w:tcPr>
          <w:p>
            <w:pPr>
              <w:ind w:left="100"/>
              <w:spacing w:after="0" w:line="227" w:lineRule="exact"/>
              <w:rPr>
                <w:sz w:val="20"/>
                <w:szCs w:val="20"/>
                <w:color w:val="auto"/>
              </w:rPr>
            </w:pPr>
            <w:r>
              <w:rPr>
                <w:rFonts w:ascii="Times New Roman" w:cs="Times New Roman" w:eastAsia="Times New Roman" w:hAnsi="Times New Roman"/>
                <w:sz w:val="22"/>
                <w:szCs w:val="22"/>
                <w:color w:val="auto"/>
              </w:rPr>
              <w:t>AT Column 1</w:t>
            </w:r>
          </w:p>
        </w:tc>
        <w:tc>
          <w:tcPr>
            <w:tcW w:w="440" w:type="dxa"/>
            <w:vAlign w:val="bottom"/>
          </w:tcPr>
          <w:p>
            <w:pPr>
              <w:spacing w:after="0"/>
              <w:rPr>
                <w:sz w:val="19"/>
                <w:szCs w:val="19"/>
                <w:color w:val="auto"/>
              </w:rPr>
            </w:pPr>
          </w:p>
        </w:tc>
        <w:tc>
          <w:tcPr>
            <w:tcW w:w="600" w:type="dxa"/>
            <w:vAlign w:val="bottom"/>
            <w:tcBorders>
              <w:right w:val="single" w:sz="8" w:color="auto"/>
            </w:tcBorders>
          </w:tcPr>
          <w:p>
            <w:pPr>
              <w:spacing w:after="0"/>
              <w:rPr>
                <w:sz w:val="19"/>
                <w:szCs w:val="19"/>
                <w:color w:val="auto"/>
              </w:rPr>
            </w:pPr>
          </w:p>
        </w:tc>
        <w:tc>
          <w:tcPr>
            <w:tcW w:w="0" w:type="dxa"/>
            <w:vAlign w:val="bottom"/>
          </w:tcPr>
          <w:p>
            <w:pPr>
              <w:spacing w:after="0"/>
              <w:rPr>
                <w:sz w:val="1"/>
                <w:szCs w:val="1"/>
                <w:color w:val="auto"/>
              </w:rPr>
            </w:pPr>
          </w:p>
        </w:tc>
      </w:tr>
      <w:tr>
        <w:trPr>
          <w:trHeight w:val="269"/>
        </w:trPr>
        <w:tc>
          <w:tcPr>
            <w:tcW w:w="560" w:type="dxa"/>
            <w:vAlign w:val="bottom"/>
            <w:tcBorders>
              <w:left w:val="single" w:sz="8" w:color="auto"/>
              <w:bottom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w w:val="97"/>
              </w:rPr>
              <w:t>entry</w:t>
            </w:r>
          </w:p>
        </w:tc>
        <w:tc>
          <w:tcPr>
            <w:tcW w:w="380" w:type="dxa"/>
            <w:vAlign w:val="bottom"/>
            <w:tcBorders>
              <w:bottom w:val="single" w:sz="8" w:color="auto"/>
            </w:tcBorders>
          </w:tcPr>
          <w:p>
            <w:pPr>
              <w:spacing w:after="0"/>
              <w:rPr>
                <w:sz w:val="23"/>
                <w:szCs w:val="23"/>
                <w:color w:val="auto"/>
              </w:rPr>
            </w:pPr>
          </w:p>
        </w:tc>
        <w:tc>
          <w:tcPr>
            <w:tcW w:w="200" w:type="dxa"/>
            <w:vAlign w:val="bottom"/>
            <w:tcBorders>
              <w:bottom w:val="single" w:sz="8" w:color="auto"/>
            </w:tcBorders>
          </w:tcPr>
          <w:p>
            <w:pPr>
              <w:spacing w:after="0"/>
              <w:rPr>
                <w:sz w:val="23"/>
                <w:szCs w:val="23"/>
                <w:color w:val="auto"/>
              </w:rPr>
            </w:pPr>
          </w:p>
        </w:tc>
        <w:tc>
          <w:tcPr>
            <w:tcW w:w="500" w:type="dxa"/>
            <w:vAlign w:val="bottom"/>
            <w:tcBorders>
              <w:bottom w:val="single" w:sz="8" w:color="auto"/>
            </w:tcBorders>
          </w:tcPr>
          <w:p>
            <w:pPr>
              <w:spacing w:after="0"/>
              <w:rPr>
                <w:sz w:val="23"/>
                <w:szCs w:val="23"/>
                <w:color w:val="auto"/>
              </w:rPr>
            </w:pPr>
          </w:p>
        </w:tc>
        <w:tc>
          <w:tcPr>
            <w:tcW w:w="440" w:type="dxa"/>
            <w:vAlign w:val="bottom"/>
            <w:tcBorders>
              <w:bottom w:val="single" w:sz="8" w:color="auto"/>
              <w:right w:val="single" w:sz="8" w:color="auto"/>
            </w:tcBorders>
          </w:tcPr>
          <w:p>
            <w:pPr>
              <w:spacing w:after="0"/>
              <w:rPr>
                <w:sz w:val="23"/>
                <w:szCs w:val="23"/>
                <w:color w:val="auto"/>
              </w:rPr>
            </w:pPr>
          </w:p>
        </w:tc>
        <w:tc>
          <w:tcPr>
            <w:tcW w:w="680" w:type="dxa"/>
            <w:vAlign w:val="bottom"/>
            <w:tcBorders>
              <w:bottom w:val="single" w:sz="8" w:color="auto"/>
            </w:tcBorders>
          </w:tcPr>
          <w:p>
            <w:pPr>
              <w:spacing w:after="0"/>
              <w:rPr>
                <w:sz w:val="23"/>
                <w:szCs w:val="23"/>
                <w:color w:val="auto"/>
              </w:rPr>
            </w:pPr>
          </w:p>
        </w:tc>
        <w:tc>
          <w:tcPr>
            <w:tcW w:w="520" w:type="dxa"/>
            <w:vAlign w:val="bottom"/>
            <w:tcBorders>
              <w:bottom w:val="single" w:sz="8" w:color="auto"/>
            </w:tcBorders>
          </w:tcPr>
          <w:p>
            <w:pPr>
              <w:spacing w:after="0"/>
              <w:rPr>
                <w:sz w:val="23"/>
                <w:szCs w:val="23"/>
                <w:color w:val="auto"/>
              </w:rPr>
            </w:pPr>
          </w:p>
        </w:tc>
        <w:tc>
          <w:tcPr>
            <w:tcW w:w="200" w:type="dxa"/>
            <w:vAlign w:val="bottom"/>
            <w:tcBorders>
              <w:bottom w:val="single" w:sz="8" w:color="auto"/>
            </w:tcBorders>
          </w:tcPr>
          <w:p>
            <w:pPr>
              <w:spacing w:after="0"/>
              <w:rPr>
                <w:sz w:val="23"/>
                <w:szCs w:val="23"/>
                <w:color w:val="auto"/>
              </w:rPr>
            </w:pPr>
          </w:p>
        </w:tc>
        <w:tc>
          <w:tcPr>
            <w:tcW w:w="440" w:type="dxa"/>
            <w:vAlign w:val="bottom"/>
            <w:tcBorders>
              <w:bottom w:val="single" w:sz="8" w:color="auto"/>
            </w:tcBorders>
          </w:tcPr>
          <w:p>
            <w:pPr>
              <w:spacing w:after="0"/>
              <w:rPr>
                <w:sz w:val="23"/>
                <w:szCs w:val="23"/>
                <w:color w:val="auto"/>
              </w:rPr>
            </w:pPr>
          </w:p>
        </w:tc>
        <w:tc>
          <w:tcPr>
            <w:tcW w:w="60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r>
        <w:trPr>
          <w:trHeight w:val="227"/>
        </w:trPr>
        <w:tc>
          <w:tcPr>
            <w:tcW w:w="560" w:type="dxa"/>
            <w:vAlign w:val="bottom"/>
            <w:tcBorders>
              <w:left w:val="single" w:sz="8" w:color="auto"/>
            </w:tcBorders>
          </w:tcPr>
          <w:p>
            <w:pPr>
              <w:ind w:left="100"/>
              <w:spacing w:after="0" w:line="227" w:lineRule="exact"/>
              <w:rPr>
                <w:sz w:val="20"/>
                <w:szCs w:val="20"/>
                <w:color w:val="auto"/>
              </w:rPr>
            </w:pPr>
            <w:r>
              <w:rPr>
                <w:rFonts w:ascii="Times New Roman" w:cs="Times New Roman" w:eastAsia="Times New Roman" w:hAnsi="Times New Roman"/>
                <w:sz w:val="22"/>
                <w:szCs w:val="22"/>
                <w:color w:val="auto"/>
              </w:rPr>
              <w:t>EI</w:t>
            </w:r>
          </w:p>
        </w:tc>
        <w:tc>
          <w:tcPr>
            <w:tcW w:w="1080" w:type="dxa"/>
            <w:vAlign w:val="bottom"/>
            <w:gridSpan w:val="3"/>
          </w:tcPr>
          <w:p>
            <w:pPr>
              <w:jc w:val="center"/>
              <w:spacing w:after="0" w:line="227" w:lineRule="exact"/>
              <w:rPr>
                <w:sz w:val="20"/>
                <w:szCs w:val="20"/>
                <w:color w:val="auto"/>
              </w:rPr>
            </w:pPr>
            <w:r>
              <w:rPr>
                <w:rFonts w:ascii="Times New Roman" w:cs="Times New Roman" w:eastAsia="Times New Roman" w:hAnsi="Times New Roman"/>
                <w:sz w:val="22"/>
                <w:szCs w:val="22"/>
                <w:color w:val="auto"/>
                <w:w w:val="99"/>
              </w:rPr>
              <w:t>applies</w:t>
            </w:r>
          </w:p>
        </w:tc>
        <w:tc>
          <w:tcPr>
            <w:tcW w:w="440" w:type="dxa"/>
            <w:vAlign w:val="bottom"/>
            <w:tcBorders>
              <w:right w:val="single" w:sz="8" w:color="auto"/>
            </w:tcBorders>
          </w:tcPr>
          <w:p>
            <w:pPr>
              <w:jc w:val="right"/>
              <w:ind w:right="10"/>
              <w:spacing w:after="0" w:line="227" w:lineRule="exact"/>
              <w:rPr>
                <w:sz w:val="20"/>
                <w:szCs w:val="20"/>
                <w:color w:val="auto"/>
              </w:rPr>
            </w:pPr>
            <w:r>
              <w:rPr>
                <w:rFonts w:ascii="Times New Roman" w:cs="Times New Roman" w:eastAsia="Times New Roman" w:hAnsi="Times New Roman"/>
                <w:sz w:val="22"/>
                <w:szCs w:val="22"/>
                <w:color w:val="auto"/>
              </w:rPr>
              <w:t>to</w:t>
            </w:r>
          </w:p>
        </w:tc>
        <w:tc>
          <w:tcPr>
            <w:tcW w:w="2440" w:type="dxa"/>
            <w:vAlign w:val="bottom"/>
            <w:tcBorders>
              <w:right w:val="single" w:sz="8" w:color="auto"/>
            </w:tcBorders>
            <w:gridSpan w:val="5"/>
          </w:tcPr>
          <w:p>
            <w:pPr>
              <w:ind w:left="100"/>
              <w:spacing w:after="0" w:line="227" w:lineRule="exact"/>
              <w:rPr>
                <w:sz w:val="20"/>
                <w:szCs w:val="20"/>
                <w:color w:val="auto"/>
              </w:rPr>
            </w:pPr>
            <w:r>
              <w:rPr>
                <w:rFonts w:ascii="Times New Roman" w:cs="Times New Roman" w:eastAsia="Times New Roman" w:hAnsi="Times New Roman"/>
                <w:sz w:val="22"/>
                <w:szCs w:val="22"/>
                <w:color w:val="auto"/>
              </w:rPr>
              <w:t>Refer to §742.15 of the</w:t>
            </w:r>
          </w:p>
        </w:tc>
        <w:tc>
          <w:tcPr>
            <w:tcW w:w="0" w:type="dxa"/>
            <w:vAlign w:val="bottom"/>
          </w:tcPr>
          <w:p>
            <w:pPr>
              <w:spacing w:after="0"/>
              <w:rPr>
                <w:sz w:val="1"/>
                <w:szCs w:val="1"/>
                <w:color w:val="auto"/>
              </w:rPr>
            </w:pPr>
          </w:p>
        </w:tc>
      </w:tr>
      <w:tr>
        <w:trPr>
          <w:trHeight w:val="248"/>
        </w:trPr>
        <w:tc>
          <w:tcPr>
            <w:tcW w:w="1140" w:type="dxa"/>
            <w:vAlign w:val="bottom"/>
            <w:tcBorders>
              <w:left w:val="single" w:sz="8" w:color="auto"/>
            </w:tcBorders>
            <w:gridSpan w:val="3"/>
          </w:tcPr>
          <w:p>
            <w:pPr>
              <w:ind w:left="100"/>
              <w:spacing w:after="0" w:line="248" w:lineRule="exact"/>
              <w:rPr>
                <w:sz w:val="20"/>
                <w:szCs w:val="20"/>
                <w:color w:val="auto"/>
              </w:rPr>
            </w:pPr>
            <w:r>
              <w:rPr>
                <w:rFonts w:ascii="Times New Roman" w:cs="Times New Roman" w:eastAsia="Times New Roman" w:hAnsi="Times New Roman"/>
                <w:sz w:val="22"/>
                <w:szCs w:val="22"/>
                <w:color w:val="auto"/>
              </w:rPr>
              <w:t>“software”</w:t>
            </w:r>
          </w:p>
        </w:tc>
        <w:tc>
          <w:tcPr>
            <w:tcW w:w="500" w:type="dxa"/>
            <w:vAlign w:val="bottom"/>
          </w:tcPr>
          <w:p>
            <w:pPr>
              <w:spacing w:after="0"/>
              <w:rPr>
                <w:sz w:val="21"/>
                <w:szCs w:val="21"/>
                <w:color w:val="auto"/>
              </w:rPr>
            </w:pPr>
          </w:p>
        </w:tc>
        <w:tc>
          <w:tcPr>
            <w:tcW w:w="440" w:type="dxa"/>
            <w:vAlign w:val="bottom"/>
            <w:tcBorders>
              <w:right w:val="single" w:sz="8" w:color="auto"/>
            </w:tcBorders>
          </w:tcPr>
          <w:p>
            <w:pPr>
              <w:jc w:val="right"/>
              <w:ind w:right="10"/>
              <w:spacing w:after="0" w:line="248" w:lineRule="exact"/>
              <w:rPr>
                <w:sz w:val="20"/>
                <w:szCs w:val="20"/>
                <w:color w:val="auto"/>
              </w:rPr>
            </w:pPr>
            <w:r>
              <w:rPr>
                <w:rFonts w:ascii="Times New Roman" w:cs="Times New Roman" w:eastAsia="Times New Roman" w:hAnsi="Times New Roman"/>
                <w:sz w:val="22"/>
                <w:szCs w:val="22"/>
                <w:color w:val="auto"/>
              </w:rPr>
              <w:t>in</w:t>
            </w:r>
          </w:p>
        </w:tc>
        <w:tc>
          <w:tcPr>
            <w:tcW w:w="680" w:type="dxa"/>
            <w:vAlign w:val="bottom"/>
          </w:tcPr>
          <w:p>
            <w:pPr>
              <w:ind w:left="100"/>
              <w:spacing w:after="0" w:line="248" w:lineRule="exact"/>
              <w:rPr>
                <w:sz w:val="20"/>
                <w:szCs w:val="20"/>
                <w:color w:val="auto"/>
              </w:rPr>
            </w:pPr>
            <w:r>
              <w:rPr>
                <w:rFonts w:ascii="Times New Roman" w:cs="Times New Roman" w:eastAsia="Times New Roman" w:hAnsi="Times New Roman"/>
                <w:sz w:val="22"/>
                <w:szCs w:val="22"/>
                <w:color w:val="auto"/>
              </w:rPr>
              <w:t>EAR.</w:t>
            </w:r>
          </w:p>
        </w:tc>
        <w:tc>
          <w:tcPr>
            <w:tcW w:w="52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440" w:type="dxa"/>
            <w:vAlign w:val="bottom"/>
          </w:tcPr>
          <w:p>
            <w:pPr>
              <w:spacing w:after="0"/>
              <w:rPr>
                <w:sz w:val="21"/>
                <w:szCs w:val="21"/>
                <w:color w:val="auto"/>
              </w:rPr>
            </w:pPr>
          </w:p>
        </w:tc>
        <w:tc>
          <w:tcPr>
            <w:tcW w:w="600" w:type="dxa"/>
            <w:vAlign w:val="bottom"/>
            <w:tcBorders>
              <w:right w:val="single" w:sz="8" w:color="auto"/>
            </w:tcBorders>
          </w:tcPr>
          <w:p>
            <w:pPr>
              <w:spacing w:after="0"/>
              <w:rPr>
                <w:sz w:val="21"/>
                <w:szCs w:val="21"/>
                <w:color w:val="auto"/>
              </w:rPr>
            </w:pPr>
          </w:p>
        </w:tc>
        <w:tc>
          <w:tcPr>
            <w:tcW w:w="0" w:type="dxa"/>
            <w:vAlign w:val="bottom"/>
          </w:tcPr>
          <w:p>
            <w:pPr>
              <w:spacing w:after="0"/>
              <w:rPr>
                <w:sz w:val="1"/>
                <w:szCs w:val="1"/>
                <w:color w:val="auto"/>
              </w:rPr>
            </w:pPr>
          </w:p>
        </w:tc>
      </w:tr>
      <w:tr>
        <w:trPr>
          <w:trHeight w:val="255"/>
        </w:trPr>
        <w:tc>
          <w:tcPr>
            <w:tcW w:w="1140" w:type="dxa"/>
            <w:vAlign w:val="bottom"/>
            <w:tcBorders>
              <w:left w:val="single" w:sz="8" w:color="auto"/>
            </w:tcBorders>
            <w:gridSpan w:val="3"/>
          </w:tcPr>
          <w:p>
            <w:pPr>
              <w:ind w:left="100"/>
              <w:spacing w:after="0"/>
              <w:rPr>
                <w:sz w:val="20"/>
                <w:szCs w:val="20"/>
                <w:color w:val="auto"/>
              </w:rPr>
            </w:pPr>
            <w:r>
              <w:rPr>
                <w:rFonts w:ascii="Times New Roman" w:cs="Times New Roman" w:eastAsia="Times New Roman" w:hAnsi="Times New Roman"/>
                <w:sz w:val="22"/>
                <w:szCs w:val="22"/>
                <w:color w:val="auto"/>
              </w:rPr>
              <w:t>5D002.a.1,</w:t>
            </w:r>
          </w:p>
        </w:tc>
        <w:tc>
          <w:tcPr>
            <w:tcW w:w="500" w:type="dxa"/>
            <w:vAlign w:val="bottom"/>
          </w:tcPr>
          <w:p>
            <w:pPr>
              <w:jc w:val="right"/>
              <w:spacing w:after="0"/>
              <w:rPr>
                <w:sz w:val="20"/>
                <w:szCs w:val="20"/>
                <w:color w:val="auto"/>
              </w:rPr>
            </w:pPr>
            <w:r>
              <w:rPr>
                <w:rFonts w:ascii="Times New Roman" w:cs="Times New Roman" w:eastAsia="Times New Roman" w:hAnsi="Times New Roman"/>
                <w:sz w:val="22"/>
                <w:szCs w:val="22"/>
                <w:color w:val="auto"/>
              </w:rPr>
              <w:t>a.3,</w:t>
            </w:r>
          </w:p>
        </w:tc>
        <w:tc>
          <w:tcPr>
            <w:tcW w:w="44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.b,</w:t>
            </w:r>
          </w:p>
        </w:tc>
        <w:tc>
          <w:tcPr>
            <w:tcW w:w="680" w:type="dxa"/>
            <w:vAlign w:val="bottom"/>
          </w:tcPr>
          <w:p>
            <w:pPr>
              <w:ind w:left="100"/>
              <w:spacing w:after="0"/>
              <w:rPr>
                <w:sz w:val="20"/>
                <w:szCs w:val="20"/>
                <w:color w:val="auto"/>
              </w:rPr>
            </w:pPr>
            <w:r>
              <w:rPr>
                <w:rFonts w:ascii="Times New Roman" w:cs="Times New Roman" w:eastAsia="Times New Roman" w:hAnsi="Times New Roman"/>
                <w:sz w:val="22"/>
                <w:szCs w:val="22"/>
                <w:b w:val="1"/>
                <w:bCs w:val="1"/>
                <w:i w:val="1"/>
                <w:iCs w:val="1"/>
                <w:color w:val="auto"/>
              </w:rPr>
              <w:t>Note:</w:t>
            </w:r>
          </w:p>
        </w:tc>
        <w:tc>
          <w:tcPr>
            <w:tcW w:w="520" w:type="dxa"/>
            <w:vAlign w:val="bottom"/>
          </w:tcPr>
          <w:p>
            <w:pPr>
              <w:spacing w:after="0"/>
              <w:rPr>
                <w:sz w:val="22"/>
                <w:szCs w:val="22"/>
                <w:color w:val="auto"/>
              </w:rPr>
            </w:pPr>
          </w:p>
        </w:tc>
        <w:tc>
          <w:tcPr>
            <w:tcW w:w="1240" w:type="dxa"/>
            <w:vAlign w:val="bottom"/>
            <w:tcBorders>
              <w:right w:val="single" w:sz="8" w:color="auto"/>
            </w:tcBorders>
            <w:gridSpan w:val="3"/>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Encryption</w:t>
            </w:r>
          </w:p>
        </w:tc>
        <w:tc>
          <w:tcPr>
            <w:tcW w:w="0" w:type="dxa"/>
            <w:vAlign w:val="bottom"/>
          </w:tcPr>
          <w:p>
            <w:pPr>
              <w:spacing w:after="0"/>
              <w:rPr>
                <w:sz w:val="1"/>
                <w:szCs w:val="1"/>
                <w:color w:val="auto"/>
              </w:rPr>
            </w:pPr>
          </w:p>
        </w:tc>
      </w:tr>
      <w:tr>
        <w:trPr>
          <w:trHeight w:val="253"/>
        </w:trPr>
        <w:tc>
          <w:tcPr>
            <w:tcW w:w="560" w:type="dxa"/>
            <w:vAlign w:val="bottom"/>
            <w:tcBorders>
              <w:left w:val="single" w:sz="8" w:color="auto"/>
            </w:tcBorders>
          </w:tcPr>
          <w:p>
            <w:pPr>
              <w:ind w:left="100"/>
              <w:spacing w:after="0"/>
              <w:rPr>
                <w:sz w:val="20"/>
                <w:szCs w:val="20"/>
                <w:color w:val="auto"/>
              </w:rPr>
            </w:pPr>
            <w:r>
              <w:rPr>
                <w:rFonts w:ascii="Times New Roman" w:cs="Times New Roman" w:eastAsia="Times New Roman" w:hAnsi="Times New Roman"/>
                <w:sz w:val="22"/>
                <w:szCs w:val="22"/>
                <w:color w:val="auto"/>
              </w:rPr>
              <w:t>c.1</w:t>
            </w:r>
          </w:p>
        </w:tc>
        <w:tc>
          <w:tcPr>
            <w:tcW w:w="380" w:type="dxa"/>
            <w:vAlign w:val="bottom"/>
          </w:tcPr>
          <w:p>
            <w:pPr>
              <w:ind w:left="40"/>
              <w:spacing w:after="0"/>
              <w:rPr>
                <w:sz w:val="20"/>
                <w:szCs w:val="20"/>
                <w:color w:val="auto"/>
              </w:rPr>
            </w:pPr>
            <w:r>
              <w:rPr>
                <w:rFonts w:ascii="Times New Roman" w:cs="Times New Roman" w:eastAsia="Times New Roman" w:hAnsi="Times New Roman"/>
                <w:sz w:val="22"/>
                <w:szCs w:val="22"/>
                <w:color w:val="auto"/>
              </w:rPr>
              <w:t>and</w:t>
            </w:r>
          </w:p>
        </w:tc>
        <w:tc>
          <w:tcPr>
            <w:tcW w:w="200" w:type="dxa"/>
            <w:vAlign w:val="bottom"/>
          </w:tcPr>
          <w:p>
            <w:pPr>
              <w:spacing w:after="0"/>
              <w:rPr>
                <w:sz w:val="22"/>
                <w:szCs w:val="22"/>
                <w:color w:val="auto"/>
              </w:rPr>
            </w:pPr>
          </w:p>
        </w:tc>
        <w:tc>
          <w:tcPr>
            <w:tcW w:w="500" w:type="dxa"/>
            <w:vAlign w:val="bottom"/>
          </w:tcPr>
          <w:p>
            <w:pPr>
              <w:jc w:val="right"/>
              <w:ind w:right="50"/>
              <w:spacing w:after="0"/>
              <w:rPr>
                <w:sz w:val="20"/>
                <w:szCs w:val="20"/>
                <w:color w:val="auto"/>
              </w:rPr>
            </w:pPr>
            <w:r>
              <w:rPr>
                <w:rFonts w:ascii="Times New Roman" w:cs="Times New Roman" w:eastAsia="Times New Roman" w:hAnsi="Times New Roman"/>
                <w:sz w:val="22"/>
                <w:szCs w:val="22"/>
                <w:color w:val="auto"/>
              </w:rPr>
              <w:t>c.3,</w:t>
            </w:r>
          </w:p>
        </w:tc>
        <w:tc>
          <w:tcPr>
            <w:tcW w:w="44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for</w:t>
            </w:r>
          </w:p>
        </w:tc>
        <w:tc>
          <w:tcPr>
            <w:tcW w:w="1200" w:type="dxa"/>
            <w:vAlign w:val="bottom"/>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software  is</w:t>
            </w:r>
          </w:p>
        </w:tc>
        <w:tc>
          <w:tcPr>
            <w:tcW w:w="200" w:type="dxa"/>
            <w:vAlign w:val="bottom"/>
          </w:tcPr>
          <w:p>
            <w:pPr>
              <w:spacing w:after="0"/>
              <w:rPr>
                <w:sz w:val="22"/>
                <w:szCs w:val="22"/>
                <w:color w:val="auto"/>
              </w:rPr>
            </w:pPr>
          </w:p>
        </w:tc>
        <w:tc>
          <w:tcPr>
            <w:tcW w:w="104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w w:val="99"/>
              </w:rPr>
              <w:t>controlled</w:t>
            </w:r>
          </w:p>
        </w:tc>
        <w:tc>
          <w:tcPr>
            <w:tcW w:w="0" w:type="dxa"/>
            <w:vAlign w:val="bottom"/>
          </w:tcPr>
          <w:p>
            <w:pPr>
              <w:spacing w:after="0"/>
              <w:rPr>
                <w:sz w:val="1"/>
                <w:szCs w:val="1"/>
                <w:color w:val="auto"/>
              </w:rPr>
            </w:pPr>
          </w:p>
        </w:tc>
      </w:tr>
      <w:tr>
        <w:trPr>
          <w:trHeight w:val="252"/>
        </w:trPr>
        <w:tc>
          <w:tcPr>
            <w:tcW w:w="1640" w:type="dxa"/>
            <w:vAlign w:val="bottom"/>
            <w:tcBorders>
              <w:left w:val="single" w:sz="8" w:color="auto"/>
            </w:tcBorders>
            <w:gridSpan w:val="4"/>
          </w:tcPr>
          <w:p>
            <w:pPr>
              <w:ind w:left="100"/>
              <w:spacing w:after="0"/>
              <w:rPr>
                <w:sz w:val="20"/>
                <w:szCs w:val="20"/>
                <w:color w:val="auto"/>
              </w:rPr>
            </w:pPr>
            <w:r>
              <w:rPr>
                <w:rFonts w:ascii="Times New Roman" w:cs="Times New Roman" w:eastAsia="Times New Roman" w:hAnsi="Times New Roman"/>
                <w:sz w:val="22"/>
                <w:szCs w:val="22"/>
                <w:color w:val="auto"/>
              </w:rPr>
              <w:t>commodities</w:t>
            </w:r>
          </w:p>
        </w:tc>
        <w:tc>
          <w:tcPr>
            <w:tcW w:w="44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or</w:t>
            </w:r>
          </w:p>
        </w:tc>
        <w:tc>
          <w:tcPr>
            <w:tcW w:w="244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i w:val="1"/>
                <w:iCs w:val="1"/>
                <w:color w:val="auto"/>
              </w:rPr>
              <w:t>because of its functional</w:t>
            </w:r>
          </w:p>
        </w:tc>
        <w:tc>
          <w:tcPr>
            <w:tcW w:w="0" w:type="dxa"/>
            <w:vAlign w:val="bottom"/>
          </w:tcPr>
          <w:p>
            <w:pPr>
              <w:spacing w:after="0"/>
              <w:rPr>
                <w:sz w:val="1"/>
                <w:szCs w:val="1"/>
                <w:color w:val="auto"/>
              </w:rPr>
            </w:pPr>
          </w:p>
        </w:tc>
      </w:tr>
      <w:tr>
        <w:trPr>
          <w:trHeight w:val="253"/>
        </w:trPr>
        <w:tc>
          <w:tcPr>
            <w:tcW w:w="1140" w:type="dxa"/>
            <w:vAlign w:val="bottom"/>
            <w:tcBorders>
              <w:left w:val="single" w:sz="8" w:color="auto"/>
            </w:tcBorders>
            <w:gridSpan w:val="3"/>
          </w:tcPr>
          <w:p>
            <w:pPr>
              <w:ind w:left="100"/>
              <w:spacing w:after="0"/>
              <w:rPr>
                <w:sz w:val="20"/>
                <w:szCs w:val="20"/>
                <w:color w:val="auto"/>
              </w:rPr>
            </w:pPr>
            <w:r>
              <w:rPr>
                <w:rFonts w:ascii="Times New Roman" w:cs="Times New Roman" w:eastAsia="Times New Roman" w:hAnsi="Times New Roman"/>
                <w:sz w:val="22"/>
                <w:szCs w:val="22"/>
                <w:color w:val="auto"/>
              </w:rPr>
              <w:t>“software”</w:t>
            </w:r>
          </w:p>
        </w:tc>
        <w:tc>
          <w:tcPr>
            <w:tcW w:w="500" w:type="dxa"/>
            <w:vAlign w:val="bottom"/>
          </w:tcPr>
          <w:p>
            <w:pPr>
              <w:spacing w:after="0"/>
              <w:rPr>
                <w:sz w:val="22"/>
                <w:szCs w:val="22"/>
                <w:color w:val="auto"/>
              </w:rPr>
            </w:pPr>
          </w:p>
        </w:tc>
        <w:tc>
          <w:tcPr>
            <w:tcW w:w="440" w:type="dxa"/>
            <w:vAlign w:val="bottom"/>
            <w:tcBorders>
              <w:right w:val="single" w:sz="8" w:color="auto"/>
            </w:tcBorders>
          </w:tcPr>
          <w:p>
            <w:pPr>
              <w:spacing w:after="0"/>
              <w:rPr>
                <w:sz w:val="22"/>
                <w:szCs w:val="22"/>
                <w:color w:val="auto"/>
              </w:rPr>
            </w:pPr>
          </w:p>
        </w:tc>
        <w:tc>
          <w:tcPr>
            <w:tcW w:w="1200" w:type="dxa"/>
            <w:vAlign w:val="bottom"/>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capacity,</w:t>
            </w:r>
          </w:p>
        </w:tc>
        <w:tc>
          <w:tcPr>
            <w:tcW w:w="640" w:type="dxa"/>
            <w:vAlign w:val="bottom"/>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and</w:t>
            </w:r>
          </w:p>
        </w:tc>
        <w:tc>
          <w:tcPr>
            <w:tcW w:w="60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not</w:t>
            </w:r>
          </w:p>
        </w:tc>
        <w:tc>
          <w:tcPr>
            <w:tcW w:w="0" w:type="dxa"/>
            <w:vAlign w:val="bottom"/>
          </w:tcPr>
          <w:p>
            <w:pPr>
              <w:spacing w:after="0"/>
              <w:rPr>
                <w:sz w:val="1"/>
                <w:szCs w:val="1"/>
                <w:color w:val="auto"/>
              </w:rPr>
            </w:pPr>
          </w:p>
        </w:tc>
      </w:tr>
      <w:tr>
        <w:trPr>
          <w:trHeight w:val="253"/>
        </w:trPr>
        <w:tc>
          <w:tcPr>
            <w:tcW w:w="1140" w:type="dxa"/>
            <w:vAlign w:val="bottom"/>
            <w:tcBorders>
              <w:left w:val="single" w:sz="8" w:color="auto"/>
            </w:tcBorders>
            <w:gridSpan w:val="3"/>
          </w:tcPr>
          <w:p>
            <w:pPr>
              <w:ind w:left="100"/>
              <w:spacing w:after="0"/>
              <w:rPr>
                <w:sz w:val="20"/>
                <w:szCs w:val="20"/>
                <w:color w:val="auto"/>
              </w:rPr>
            </w:pPr>
            <w:r>
              <w:rPr>
                <w:rFonts w:ascii="Times New Roman" w:cs="Times New Roman" w:eastAsia="Times New Roman" w:hAnsi="Times New Roman"/>
                <w:sz w:val="22"/>
                <w:szCs w:val="22"/>
                <w:color w:val="auto"/>
              </w:rPr>
              <w:t>controlled</w:t>
            </w:r>
          </w:p>
        </w:tc>
        <w:tc>
          <w:tcPr>
            <w:tcW w:w="500" w:type="dxa"/>
            <w:vAlign w:val="bottom"/>
          </w:tcPr>
          <w:p>
            <w:pPr>
              <w:jc w:val="right"/>
              <w:ind w:right="30"/>
              <w:spacing w:after="0"/>
              <w:rPr>
                <w:sz w:val="20"/>
                <w:szCs w:val="20"/>
                <w:color w:val="auto"/>
              </w:rPr>
            </w:pPr>
            <w:r>
              <w:rPr>
                <w:rFonts w:ascii="Times New Roman" w:cs="Times New Roman" w:eastAsia="Times New Roman" w:hAnsi="Times New Roman"/>
                <w:sz w:val="22"/>
                <w:szCs w:val="22"/>
                <w:color w:val="auto"/>
              </w:rPr>
              <w:t>for</w:t>
            </w:r>
          </w:p>
        </w:tc>
        <w:tc>
          <w:tcPr>
            <w:tcW w:w="44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EI</w:t>
            </w:r>
          </w:p>
        </w:tc>
        <w:tc>
          <w:tcPr>
            <w:tcW w:w="1200" w:type="dxa"/>
            <w:vAlign w:val="bottom"/>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because</w:t>
            </w:r>
          </w:p>
        </w:tc>
        <w:tc>
          <w:tcPr>
            <w:tcW w:w="640" w:type="dxa"/>
            <w:vAlign w:val="bottom"/>
            <w:gridSpan w:val="2"/>
          </w:tcPr>
          <w:p>
            <w:pPr>
              <w:ind w:left="120"/>
              <w:spacing w:after="0"/>
              <w:rPr>
                <w:sz w:val="20"/>
                <w:szCs w:val="20"/>
                <w:color w:val="auto"/>
              </w:rPr>
            </w:pPr>
            <w:r>
              <w:rPr>
                <w:rFonts w:ascii="Times New Roman" w:cs="Times New Roman" w:eastAsia="Times New Roman" w:hAnsi="Times New Roman"/>
                <w:sz w:val="22"/>
                <w:szCs w:val="22"/>
                <w:i w:val="1"/>
                <w:iCs w:val="1"/>
                <w:color w:val="auto"/>
              </w:rPr>
              <w:t>of</w:t>
            </w:r>
          </w:p>
        </w:tc>
        <w:tc>
          <w:tcPr>
            <w:tcW w:w="60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any</w:t>
            </w:r>
          </w:p>
        </w:tc>
        <w:tc>
          <w:tcPr>
            <w:tcW w:w="0" w:type="dxa"/>
            <w:vAlign w:val="bottom"/>
          </w:tcPr>
          <w:p>
            <w:pPr>
              <w:spacing w:after="0"/>
              <w:rPr>
                <w:sz w:val="1"/>
                <w:szCs w:val="1"/>
                <w:color w:val="auto"/>
              </w:rPr>
            </w:pPr>
          </w:p>
        </w:tc>
      </w:tr>
      <w:tr>
        <w:trPr>
          <w:trHeight w:val="253"/>
        </w:trPr>
        <w:tc>
          <w:tcPr>
            <w:tcW w:w="940" w:type="dxa"/>
            <w:vAlign w:val="bottom"/>
            <w:tcBorders>
              <w:lef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reasons</w:t>
            </w:r>
          </w:p>
        </w:tc>
        <w:tc>
          <w:tcPr>
            <w:tcW w:w="200" w:type="dxa"/>
            <w:vAlign w:val="bottom"/>
          </w:tcPr>
          <w:p>
            <w:pPr>
              <w:jc w:val="center"/>
              <w:spacing w:after="0"/>
              <w:rPr>
                <w:sz w:val="20"/>
                <w:szCs w:val="20"/>
                <w:color w:val="auto"/>
              </w:rPr>
            </w:pPr>
            <w:r>
              <w:rPr>
                <w:rFonts w:ascii="Times New Roman" w:cs="Times New Roman" w:eastAsia="Times New Roman" w:hAnsi="Times New Roman"/>
                <w:sz w:val="22"/>
                <w:szCs w:val="22"/>
                <w:color w:val="auto"/>
              </w:rPr>
              <w:t>in</w:t>
            </w:r>
          </w:p>
        </w:tc>
        <w:tc>
          <w:tcPr>
            <w:tcW w:w="94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color w:val="auto"/>
              </w:rPr>
              <w:t>ECCNs</w:t>
            </w:r>
          </w:p>
        </w:tc>
        <w:tc>
          <w:tcPr>
            <w:tcW w:w="1400" w:type="dxa"/>
            <w:vAlign w:val="bottom"/>
            <w:gridSpan w:val="3"/>
          </w:tcPr>
          <w:p>
            <w:pPr>
              <w:ind w:left="100"/>
              <w:spacing w:after="0"/>
              <w:rPr>
                <w:sz w:val="20"/>
                <w:szCs w:val="20"/>
                <w:color w:val="auto"/>
              </w:rPr>
            </w:pPr>
            <w:r>
              <w:rPr>
                <w:rFonts w:ascii="Times New Roman" w:cs="Times New Roman" w:eastAsia="Times New Roman" w:hAnsi="Times New Roman"/>
                <w:sz w:val="22"/>
                <w:szCs w:val="22"/>
                <w:i w:val="1"/>
                <w:iCs w:val="1"/>
                <w:color w:val="auto"/>
              </w:rPr>
              <w:t>informational</w:t>
            </w:r>
          </w:p>
        </w:tc>
        <w:tc>
          <w:tcPr>
            <w:tcW w:w="104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value  of</w:t>
            </w:r>
          </w:p>
        </w:tc>
        <w:tc>
          <w:tcPr>
            <w:tcW w:w="0" w:type="dxa"/>
            <w:vAlign w:val="bottom"/>
          </w:tcPr>
          <w:p>
            <w:pPr>
              <w:spacing w:after="0"/>
              <w:rPr>
                <w:sz w:val="1"/>
                <w:szCs w:val="1"/>
                <w:color w:val="auto"/>
              </w:rPr>
            </w:pPr>
          </w:p>
        </w:tc>
      </w:tr>
      <w:tr>
        <w:trPr>
          <w:trHeight w:val="253"/>
        </w:trPr>
        <w:tc>
          <w:tcPr>
            <w:tcW w:w="940" w:type="dxa"/>
            <w:vAlign w:val="bottom"/>
            <w:tcBorders>
              <w:lef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5A002,</w:t>
            </w:r>
          </w:p>
        </w:tc>
        <w:tc>
          <w:tcPr>
            <w:tcW w:w="700" w:type="dxa"/>
            <w:vAlign w:val="bottom"/>
            <w:gridSpan w:val="2"/>
          </w:tcPr>
          <w:p>
            <w:pPr>
              <w:jc w:val="right"/>
              <w:spacing w:after="0"/>
              <w:rPr>
                <w:sz w:val="20"/>
                <w:szCs w:val="20"/>
                <w:color w:val="auto"/>
              </w:rPr>
            </w:pPr>
            <w:r>
              <w:rPr>
                <w:rFonts w:ascii="Times New Roman" w:cs="Times New Roman" w:eastAsia="Times New Roman" w:hAnsi="Times New Roman"/>
                <w:sz w:val="22"/>
                <w:szCs w:val="22"/>
                <w:color w:val="auto"/>
              </w:rPr>
              <w:t>5A004</w:t>
            </w:r>
          </w:p>
        </w:tc>
        <w:tc>
          <w:tcPr>
            <w:tcW w:w="44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or</w:t>
            </w:r>
          </w:p>
        </w:tc>
        <w:tc>
          <w:tcPr>
            <w:tcW w:w="680" w:type="dxa"/>
            <w:vAlign w:val="bottom"/>
          </w:tcPr>
          <w:p>
            <w:pPr>
              <w:ind w:left="100"/>
              <w:spacing w:after="0"/>
              <w:rPr>
                <w:sz w:val="20"/>
                <w:szCs w:val="20"/>
                <w:color w:val="auto"/>
              </w:rPr>
            </w:pPr>
            <w:r>
              <w:rPr>
                <w:rFonts w:ascii="Times New Roman" w:cs="Times New Roman" w:eastAsia="Times New Roman" w:hAnsi="Times New Roman"/>
                <w:sz w:val="22"/>
                <w:szCs w:val="22"/>
                <w:i w:val="1"/>
                <w:iCs w:val="1"/>
                <w:color w:val="auto"/>
              </w:rPr>
              <w:t>such</w:t>
            </w:r>
          </w:p>
        </w:tc>
        <w:tc>
          <w:tcPr>
            <w:tcW w:w="1160" w:type="dxa"/>
            <w:vAlign w:val="bottom"/>
            <w:gridSpan w:val="3"/>
          </w:tcPr>
          <w:p>
            <w:pPr>
              <w:jc w:val="center"/>
              <w:ind w:right="10"/>
              <w:spacing w:after="0"/>
              <w:rPr>
                <w:sz w:val="20"/>
                <w:szCs w:val="20"/>
                <w:color w:val="auto"/>
              </w:rPr>
            </w:pPr>
            <w:r>
              <w:rPr>
                <w:rFonts w:ascii="Times New Roman" w:cs="Times New Roman" w:eastAsia="Times New Roman" w:hAnsi="Times New Roman"/>
                <w:sz w:val="22"/>
                <w:szCs w:val="22"/>
                <w:i w:val="1"/>
                <w:iCs w:val="1"/>
                <w:color w:val="auto"/>
              </w:rPr>
              <w:t>software;</w:t>
            </w:r>
          </w:p>
        </w:tc>
        <w:tc>
          <w:tcPr>
            <w:tcW w:w="600" w:type="dxa"/>
            <w:vAlign w:val="bottom"/>
            <w:tcBorders>
              <w:right w:val="single" w:sz="8" w:color="auto"/>
            </w:tcBorders>
          </w:tcPr>
          <w:p>
            <w:pPr>
              <w:jc w:val="right"/>
              <w:ind w:right="30"/>
              <w:spacing w:after="0"/>
              <w:rPr>
                <w:sz w:val="20"/>
                <w:szCs w:val="20"/>
                <w:color w:val="auto"/>
              </w:rPr>
            </w:pPr>
            <w:r>
              <w:rPr>
                <w:rFonts w:ascii="Times New Roman" w:cs="Times New Roman" w:eastAsia="Times New Roman" w:hAnsi="Times New Roman"/>
                <w:sz w:val="22"/>
                <w:szCs w:val="22"/>
                <w:i w:val="1"/>
                <w:iCs w:val="1"/>
                <w:color w:val="auto"/>
              </w:rPr>
              <w:t>such</w:t>
            </w:r>
          </w:p>
        </w:tc>
        <w:tc>
          <w:tcPr>
            <w:tcW w:w="0" w:type="dxa"/>
            <w:vAlign w:val="bottom"/>
          </w:tcPr>
          <w:p>
            <w:pPr>
              <w:spacing w:after="0"/>
              <w:rPr>
                <w:sz w:val="1"/>
                <w:szCs w:val="1"/>
                <w:color w:val="auto"/>
              </w:rPr>
            </w:pPr>
          </w:p>
        </w:tc>
      </w:tr>
      <w:tr>
        <w:trPr>
          <w:trHeight w:val="252"/>
        </w:trPr>
        <w:tc>
          <w:tcPr>
            <w:tcW w:w="940" w:type="dxa"/>
            <w:vAlign w:val="bottom"/>
            <w:tcBorders>
              <w:left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color w:val="auto"/>
              </w:rPr>
              <w:t>5D002.</w:t>
            </w:r>
          </w:p>
        </w:tc>
        <w:tc>
          <w:tcPr>
            <w:tcW w:w="20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440" w:type="dxa"/>
            <w:vAlign w:val="bottom"/>
            <w:tcBorders>
              <w:right w:val="single" w:sz="8" w:color="auto"/>
            </w:tcBorders>
          </w:tcPr>
          <w:p>
            <w:pPr>
              <w:spacing w:after="0"/>
              <w:rPr>
                <w:sz w:val="21"/>
                <w:szCs w:val="21"/>
                <w:color w:val="auto"/>
              </w:rPr>
            </w:pPr>
          </w:p>
        </w:tc>
        <w:tc>
          <w:tcPr>
            <w:tcW w:w="244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i w:val="1"/>
                <w:iCs w:val="1"/>
                <w:color w:val="auto"/>
              </w:rPr>
              <w:t>software is not accorded</w:t>
            </w:r>
          </w:p>
        </w:tc>
        <w:tc>
          <w:tcPr>
            <w:tcW w:w="0" w:type="dxa"/>
            <w:vAlign w:val="bottom"/>
          </w:tcPr>
          <w:p>
            <w:pPr>
              <w:spacing w:after="0"/>
              <w:rPr>
                <w:sz w:val="1"/>
                <w:szCs w:val="1"/>
                <w:color w:val="auto"/>
              </w:rPr>
            </w:pPr>
          </w:p>
        </w:tc>
      </w:tr>
      <w:tr>
        <w:trPr>
          <w:trHeight w:val="253"/>
        </w:trPr>
        <w:tc>
          <w:tcPr>
            <w:tcW w:w="560" w:type="dxa"/>
            <w:vAlign w:val="bottom"/>
            <w:tcBorders>
              <w:left w:val="single" w:sz="8" w:color="auto"/>
            </w:tcBorders>
          </w:tcPr>
          <w:p>
            <w:pPr>
              <w:spacing w:after="0"/>
              <w:rPr>
                <w:sz w:val="22"/>
                <w:szCs w:val="22"/>
                <w:color w:val="auto"/>
              </w:rPr>
            </w:pPr>
          </w:p>
        </w:tc>
        <w:tc>
          <w:tcPr>
            <w:tcW w:w="38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40" w:type="dxa"/>
            <w:vAlign w:val="bottom"/>
            <w:tcBorders>
              <w:right w:val="single" w:sz="8" w:color="auto"/>
            </w:tcBorders>
          </w:tcPr>
          <w:p>
            <w:pPr>
              <w:spacing w:after="0"/>
              <w:rPr>
                <w:sz w:val="22"/>
                <w:szCs w:val="22"/>
                <w:color w:val="auto"/>
              </w:rPr>
            </w:pPr>
          </w:p>
        </w:tc>
        <w:tc>
          <w:tcPr>
            <w:tcW w:w="680" w:type="dxa"/>
            <w:vAlign w:val="bottom"/>
          </w:tcPr>
          <w:p>
            <w:pPr>
              <w:ind w:left="100"/>
              <w:spacing w:after="0"/>
              <w:rPr>
                <w:sz w:val="20"/>
                <w:szCs w:val="20"/>
                <w:color w:val="auto"/>
              </w:rPr>
            </w:pPr>
            <w:r>
              <w:rPr>
                <w:rFonts w:ascii="Times New Roman" w:cs="Times New Roman" w:eastAsia="Times New Roman" w:hAnsi="Times New Roman"/>
                <w:sz w:val="22"/>
                <w:szCs w:val="22"/>
                <w:i w:val="1"/>
                <w:iCs w:val="1"/>
                <w:color w:val="auto"/>
              </w:rPr>
              <w:t>the</w:t>
            </w:r>
          </w:p>
        </w:tc>
        <w:tc>
          <w:tcPr>
            <w:tcW w:w="520" w:type="dxa"/>
            <w:vAlign w:val="bottom"/>
          </w:tcPr>
          <w:p>
            <w:pPr>
              <w:ind w:left="20"/>
              <w:spacing w:after="0"/>
              <w:rPr>
                <w:sz w:val="20"/>
                <w:szCs w:val="20"/>
                <w:color w:val="auto"/>
              </w:rPr>
            </w:pPr>
            <w:r>
              <w:rPr>
                <w:rFonts w:ascii="Times New Roman" w:cs="Times New Roman" w:eastAsia="Times New Roman" w:hAnsi="Times New Roman"/>
                <w:sz w:val="22"/>
                <w:szCs w:val="22"/>
                <w:i w:val="1"/>
                <w:iCs w:val="1"/>
                <w:color w:val="auto"/>
              </w:rPr>
              <w:t>same</w:t>
            </w:r>
          </w:p>
        </w:tc>
        <w:tc>
          <w:tcPr>
            <w:tcW w:w="200" w:type="dxa"/>
            <w:vAlign w:val="bottom"/>
          </w:tcPr>
          <w:p>
            <w:pPr>
              <w:spacing w:after="0"/>
              <w:rPr>
                <w:sz w:val="22"/>
                <w:szCs w:val="22"/>
                <w:color w:val="auto"/>
              </w:rPr>
            </w:pPr>
          </w:p>
        </w:tc>
        <w:tc>
          <w:tcPr>
            <w:tcW w:w="104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treatment</w:t>
            </w:r>
          </w:p>
        </w:tc>
        <w:tc>
          <w:tcPr>
            <w:tcW w:w="0" w:type="dxa"/>
            <w:vAlign w:val="bottom"/>
          </w:tcPr>
          <w:p>
            <w:pPr>
              <w:spacing w:after="0"/>
              <w:rPr>
                <w:sz w:val="1"/>
                <w:szCs w:val="1"/>
                <w:color w:val="auto"/>
              </w:rPr>
            </w:pPr>
          </w:p>
        </w:tc>
      </w:tr>
      <w:tr>
        <w:trPr>
          <w:trHeight w:val="253"/>
        </w:trPr>
        <w:tc>
          <w:tcPr>
            <w:tcW w:w="560" w:type="dxa"/>
            <w:vAlign w:val="bottom"/>
            <w:tcBorders>
              <w:left w:val="single" w:sz="8" w:color="auto"/>
            </w:tcBorders>
          </w:tcPr>
          <w:p>
            <w:pPr>
              <w:spacing w:after="0"/>
              <w:rPr>
                <w:sz w:val="22"/>
                <w:szCs w:val="22"/>
                <w:color w:val="auto"/>
              </w:rPr>
            </w:pPr>
          </w:p>
        </w:tc>
        <w:tc>
          <w:tcPr>
            <w:tcW w:w="38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40" w:type="dxa"/>
            <w:vAlign w:val="bottom"/>
            <w:tcBorders>
              <w:right w:val="single" w:sz="8" w:color="auto"/>
            </w:tcBorders>
          </w:tcPr>
          <w:p>
            <w:pPr>
              <w:spacing w:after="0"/>
              <w:rPr>
                <w:sz w:val="22"/>
                <w:szCs w:val="22"/>
                <w:color w:val="auto"/>
              </w:rPr>
            </w:pPr>
          </w:p>
        </w:tc>
        <w:tc>
          <w:tcPr>
            <w:tcW w:w="244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i w:val="1"/>
                <w:iCs w:val="1"/>
                <w:color w:val="auto"/>
              </w:rPr>
              <w:t>under the EAR as other</w:t>
            </w:r>
          </w:p>
        </w:tc>
        <w:tc>
          <w:tcPr>
            <w:tcW w:w="0" w:type="dxa"/>
            <w:vAlign w:val="bottom"/>
          </w:tcPr>
          <w:p>
            <w:pPr>
              <w:spacing w:after="0"/>
              <w:rPr>
                <w:sz w:val="1"/>
                <w:szCs w:val="1"/>
                <w:color w:val="auto"/>
              </w:rPr>
            </w:pPr>
          </w:p>
        </w:tc>
      </w:tr>
      <w:tr>
        <w:trPr>
          <w:trHeight w:val="253"/>
        </w:trPr>
        <w:tc>
          <w:tcPr>
            <w:tcW w:w="560" w:type="dxa"/>
            <w:vAlign w:val="bottom"/>
            <w:tcBorders>
              <w:left w:val="single" w:sz="8" w:color="auto"/>
            </w:tcBorders>
          </w:tcPr>
          <w:p>
            <w:pPr>
              <w:spacing w:after="0"/>
              <w:rPr>
                <w:sz w:val="22"/>
                <w:szCs w:val="22"/>
                <w:color w:val="auto"/>
              </w:rPr>
            </w:pPr>
          </w:p>
        </w:tc>
        <w:tc>
          <w:tcPr>
            <w:tcW w:w="38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40" w:type="dxa"/>
            <w:vAlign w:val="bottom"/>
            <w:tcBorders>
              <w:right w:val="single" w:sz="8" w:color="auto"/>
            </w:tcBorders>
          </w:tcPr>
          <w:p>
            <w:pPr>
              <w:spacing w:after="0"/>
              <w:rPr>
                <w:sz w:val="22"/>
                <w:szCs w:val="22"/>
                <w:color w:val="auto"/>
              </w:rPr>
            </w:pPr>
          </w:p>
        </w:tc>
        <w:tc>
          <w:tcPr>
            <w:tcW w:w="1200" w:type="dxa"/>
            <w:vAlign w:val="bottom"/>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“software’;</w:t>
            </w:r>
          </w:p>
        </w:tc>
        <w:tc>
          <w:tcPr>
            <w:tcW w:w="200" w:type="dxa"/>
            <w:vAlign w:val="bottom"/>
          </w:tcPr>
          <w:p>
            <w:pPr>
              <w:spacing w:after="0"/>
              <w:rPr>
                <w:sz w:val="22"/>
                <w:szCs w:val="22"/>
                <w:color w:val="auto"/>
              </w:rPr>
            </w:pPr>
          </w:p>
        </w:tc>
        <w:tc>
          <w:tcPr>
            <w:tcW w:w="440" w:type="dxa"/>
            <w:vAlign w:val="bottom"/>
          </w:tcPr>
          <w:p>
            <w:pPr>
              <w:ind w:left="20"/>
              <w:spacing w:after="0"/>
              <w:rPr>
                <w:sz w:val="20"/>
                <w:szCs w:val="20"/>
                <w:color w:val="auto"/>
              </w:rPr>
            </w:pPr>
            <w:r>
              <w:rPr>
                <w:rFonts w:ascii="Times New Roman" w:cs="Times New Roman" w:eastAsia="Times New Roman" w:hAnsi="Times New Roman"/>
                <w:sz w:val="22"/>
                <w:szCs w:val="22"/>
                <w:i w:val="1"/>
                <w:iCs w:val="1"/>
                <w:color w:val="auto"/>
              </w:rPr>
              <w:t>and</w:t>
            </w:r>
          </w:p>
        </w:tc>
        <w:tc>
          <w:tcPr>
            <w:tcW w:w="60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for</w:t>
            </w:r>
          </w:p>
        </w:tc>
        <w:tc>
          <w:tcPr>
            <w:tcW w:w="0" w:type="dxa"/>
            <w:vAlign w:val="bottom"/>
          </w:tcPr>
          <w:p>
            <w:pPr>
              <w:spacing w:after="0"/>
              <w:rPr>
                <w:sz w:val="1"/>
                <w:szCs w:val="1"/>
                <w:color w:val="auto"/>
              </w:rPr>
            </w:pPr>
          </w:p>
        </w:tc>
      </w:tr>
      <w:tr>
        <w:trPr>
          <w:trHeight w:val="253"/>
        </w:trPr>
        <w:tc>
          <w:tcPr>
            <w:tcW w:w="560" w:type="dxa"/>
            <w:vAlign w:val="bottom"/>
            <w:tcBorders>
              <w:left w:val="single" w:sz="8" w:color="auto"/>
            </w:tcBorders>
          </w:tcPr>
          <w:p>
            <w:pPr>
              <w:spacing w:after="0"/>
              <w:rPr>
                <w:sz w:val="22"/>
                <w:szCs w:val="22"/>
                <w:color w:val="auto"/>
              </w:rPr>
            </w:pPr>
          </w:p>
        </w:tc>
        <w:tc>
          <w:tcPr>
            <w:tcW w:w="38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40" w:type="dxa"/>
            <w:vAlign w:val="bottom"/>
            <w:tcBorders>
              <w:right w:val="single" w:sz="8" w:color="auto"/>
            </w:tcBorders>
          </w:tcPr>
          <w:p>
            <w:pPr>
              <w:spacing w:after="0"/>
              <w:rPr>
                <w:sz w:val="22"/>
                <w:szCs w:val="22"/>
                <w:color w:val="auto"/>
              </w:rPr>
            </w:pPr>
          </w:p>
        </w:tc>
        <w:tc>
          <w:tcPr>
            <w:tcW w:w="680" w:type="dxa"/>
            <w:vAlign w:val="bottom"/>
          </w:tcPr>
          <w:p>
            <w:pPr>
              <w:ind w:left="100"/>
              <w:spacing w:after="0"/>
              <w:rPr>
                <w:sz w:val="20"/>
                <w:szCs w:val="20"/>
                <w:color w:val="auto"/>
              </w:rPr>
            </w:pPr>
            <w:r>
              <w:rPr>
                <w:rFonts w:ascii="Times New Roman" w:cs="Times New Roman" w:eastAsia="Times New Roman" w:hAnsi="Times New Roman"/>
                <w:sz w:val="22"/>
                <w:szCs w:val="22"/>
                <w:i w:val="1"/>
                <w:iCs w:val="1"/>
                <w:color w:val="auto"/>
                <w:w w:val="99"/>
              </w:rPr>
              <w:t>export</w:t>
            </w:r>
          </w:p>
        </w:tc>
        <w:tc>
          <w:tcPr>
            <w:tcW w:w="52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104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licensing</w:t>
            </w:r>
          </w:p>
        </w:tc>
        <w:tc>
          <w:tcPr>
            <w:tcW w:w="0" w:type="dxa"/>
            <w:vAlign w:val="bottom"/>
          </w:tcPr>
          <w:p>
            <w:pPr>
              <w:spacing w:after="0"/>
              <w:rPr>
                <w:sz w:val="1"/>
                <w:szCs w:val="1"/>
                <w:color w:val="auto"/>
              </w:rPr>
            </w:pPr>
          </w:p>
        </w:tc>
      </w:tr>
      <w:tr>
        <w:trPr>
          <w:trHeight w:val="253"/>
        </w:trPr>
        <w:tc>
          <w:tcPr>
            <w:tcW w:w="560" w:type="dxa"/>
            <w:vAlign w:val="bottom"/>
            <w:tcBorders>
              <w:left w:val="single" w:sz="8" w:color="auto"/>
            </w:tcBorders>
          </w:tcPr>
          <w:p>
            <w:pPr>
              <w:spacing w:after="0"/>
              <w:rPr>
                <w:sz w:val="22"/>
                <w:szCs w:val="22"/>
                <w:color w:val="auto"/>
              </w:rPr>
            </w:pPr>
          </w:p>
        </w:tc>
        <w:tc>
          <w:tcPr>
            <w:tcW w:w="38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40" w:type="dxa"/>
            <w:vAlign w:val="bottom"/>
            <w:tcBorders>
              <w:right w:val="single" w:sz="8" w:color="auto"/>
            </w:tcBorders>
          </w:tcPr>
          <w:p>
            <w:pPr>
              <w:spacing w:after="0"/>
              <w:rPr>
                <w:sz w:val="22"/>
                <w:szCs w:val="22"/>
                <w:color w:val="auto"/>
              </w:rPr>
            </w:pPr>
          </w:p>
        </w:tc>
        <w:tc>
          <w:tcPr>
            <w:tcW w:w="1200" w:type="dxa"/>
            <w:vAlign w:val="bottom"/>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purposes,</w:t>
            </w:r>
          </w:p>
        </w:tc>
        <w:tc>
          <w:tcPr>
            <w:tcW w:w="1240" w:type="dxa"/>
            <w:vAlign w:val="bottom"/>
            <w:tcBorders>
              <w:right w:val="single" w:sz="8" w:color="auto"/>
            </w:tcBorders>
            <w:gridSpan w:val="3"/>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encryption</w:t>
            </w:r>
          </w:p>
        </w:tc>
        <w:tc>
          <w:tcPr>
            <w:tcW w:w="0" w:type="dxa"/>
            <w:vAlign w:val="bottom"/>
          </w:tcPr>
          <w:p>
            <w:pPr>
              <w:spacing w:after="0"/>
              <w:rPr>
                <w:sz w:val="1"/>
                <w:szCs w:val="1"/>
                <w:color w:val="auto"/>
              </w:rPr>
            </w:pPr>
          </w:p>
        </w:tc>
      </w:tr>
      <w:tr>
        <w:trPr>
          <w:trHeight w:val="252"/>
        </w:trPr>
        <w:tc>
          <w:tcPr>
            <w:tcW w:w="560" w:type="dxa"/>
            <w:vAlign w:val="bottom"/>
            <w:tcBorders>
              <w:left w:val="single" w:sz="8" w:color="auto"/>
            </w:tcBorders>
          </w:tcPr>
          <w:p>
            <w:pPr>
              <w:spacing w:after="0"/>
              <w:rPr>
                <w:sz w:val="21"/>
                <w:szCs w:val="21"/>
                <w:color w:val="auto"/>
              </w:rPr>
            </w:pPr>
          </w:p>
        </w:tc>
        <w:tc>
          <w:tcPr>
            <w:tcW w:w="380" w:type="dxa"/>
            <w:vAlign w:val="bottom"/>
          </w:tcPr>
          <w:p>
            <w:pPr>
              <w:spacing w:after="0"/>
              <w:rPr>
                <w:sz w:val="21"/>
                <w:szCs w:val="21"/>
                <w:color w:val="auto"/>
              </w:rPr>
            </w:pPr>
          </w:p>
        </w:tc>
        <w:tc>
          <w:tcPr>
            <w:tcW w:w="200" w:type="dxa"/>
            <w:vAlign w:val="bottom"/>
          </w:tcPr>
          <w:p>
            <w:pPr>
              <w:spacing w:after="0"/>
              <w:rPr>
                <w:sz w:val="21"/>
                <w:szCs w:val="21"/>
                <w:color w:val="auto"/>
              </w:rPr>
            </w:pPr>
          </w:p>
        </w:tc>
        <w:tc>
          <w:tcPr>
            <w:tcW w:w="500" w:type="dxa"/>
            <w:vAlign w:val="bottom"/>
          </w:tcPr>
          <w:p>
            <w:pPr>
              <w:spacing w:after="0"/>
              <w:rPr>
                <w:sz w:val="21"/>
                <w:szCs w:val="21"/>
                <w:color w:val="auto"/>
              </w:rPr>
            </w:pPr>
          </w:p>
        </w:tc>
        <w:tc>
          <w:tcPr>
            <w:tcW w:w="440" w:type="dxa"/>
            <w:vAlign w:val="bottom"/>
            <w:tcBorders>
              <w:right w:val="single" w:sz="8" w:color="auto"/>
            </w:tcBorders>
          </w:tcPr>
          <w:p>
            <w:pPr>
              <w:spacing w:after="0"/>
              <w:rPr>
                <w:sz w:val="21"/>
                <w:szCs w:val="21"/>
                <w:color w:val="auto"/>
              </w:rPr>
            </w:pPr>
          </w:p>
        </w:tc>
        <w:tc>
          <w:tcPr>
            <w:tcW w:w="244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i w:val="1"/>
                <w:iCs w:val="1"/>
                <w:color w:val="auto"/>
              </w:rPr>
              <w:t>software is treated under</w:t>
            </w:r>
          </w:p>
        </w:tc>
        <w:tc>
          <w:tcPr>
            <w:tcW w:w="0" w:type="dxa"/>
            <w:vAlign w:val="bottom"/>
          </w:tcPr>
          <w:p>
            <w:pPr>
              <w:spacing w:after="0"/>
              <w:rPr>
                <w:sz w:val="1"/>
                <w:szCs w:val="1"/>
                <w:color w:val="auto"/>
              </w:rPr>
            </w:pPr>
          </w:p>
        </w:tc>
      </w:tr>
      <w:tr>
        <w:trPr>
          <w:trHeight w:val="253"/>
        </w:trPr>
        <w:tc>
          <w:tcPr>
            <w:tcW w:w="560" w:type="dxa"/>
            <w:vAlign w:val="bottom"/>
            <w:tcBorders>
              <w:left w:val="single" w:sz="8" w:color="auto"/>
            </w:tcBorders>
          </w:tcPr>
          <w:p>
            <w:pPr>
              <w:spacing w:after="0"/>
              <w:rPr>
                <w:sz w:val="22"/>
                <w:szCs w:val="22"/>
                <w:color w:val="auto"/>
              </w:rPr>
            </w:pPr>
          </w:p>
        </w:tc>
        <w:tc>
          <w:tcPr>
            <w:tcW w:w="38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40" w:type="dxa"/>
            <w:vAlign w:val="bottom"/>
            <w:tcBorders>
              <w:right w:val="single" w:sz="8" w:color="auto"/>
            </w:tcBorders>
          </w:tcPr>
          <w:p>
            <w:pPr>
              <w:spacing w:after="0"/>
              <w:rPr>
                <w:sz w:val="22"/>
                <w:szCs w:val="22"/>
                <w:color w:val="auto"/>
              </w:rPr>
            </w:pPr>
          </w:p>
        </w:tc>
        <w:tc>
          <w:tcPr>
            <w:tcW w:w="244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i w:val="1"/>
                <w:iCs w:val="1"/>
                <w:color w:val="auto"/>
              </w:rPr>
              <w:t>the  EAR  in  the  same</w:t>
            </w:r>
          </w:p>
        </w:tc>
        <w:tc>
          <w:tcPr>
            <w:tcW w:w="0" w:type="dxa"/>
            <w:vAlign w:val="bottom"/>
          </w:tcPr>
          <w:p>
            <w:pPr>
              <w:spacing w:after="0"/>
              <w:rPr>
                <w:sz w:val="1"/>
                <w:szCs w:val="1"/>
                <w:color w:val="auto"/>
              </w:rPr>
            </w:pPr>
          </w:p>
        </w:tc>
      </w:tr>
      <w:tr>
        <w:trPr>
          <w:trHeight w:val="253"/>
        </w:trPr>
        <w:tc>
          <w:tcPr>
            <w:tcW w:w="560" w:type="dxa"/>
            <w:vAlign w:val="bottom"/>
            <w:tcBorders>
              <w:left w:val="single" w:sz="8" w:color="auto"/>
            </w:tcBorders>
          </w:tcPr>
          <w:p>
            <w:pPr>
              <w:spacing w:after="0"/>
              <w:rPr>
                <w:sz w:val="22"/>
                <w:szCs w:val="22"/>
                <w:color w:val="auto"/>
              </w:rPr>
            </w:pPr>
          </w:p>
        </w:tc>
        <w:tc>
          <w:tcPr>
            <w:tcW w:w="38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40" w:type="dxa"/>
            <w:vAlign w:val="bottom"/>
            <w:tcBorders>
              <w:right w:val="single" w:sz="8" w:color="auto"/>
            </w:tcBorders>
          </w:tcPr>
          <w:p>
            <w:pPr>
              <w:spacing w:after="0"/>
              <w:rPr>
                <w:sz w:val="22"/>
                <w:szCs w:val="22"/>
                <w:color w:val="auto"/>
              </w:rPr>
            </w:pPr>
          </w:p>
        </w:tc>
        <w:tc>
          <w:tcPr>
            <w:tcW w:w="2440" w:type="dxa"/>
            <w:vAlign w:val="bottom"/>
            <w:tcBorders>
              <w:right w:val="single" w:sz="8" w:color="auto"/>
            </w:tcBorders>
            <w:gridSpan w:val="5"/>
          </w:tcPr>
          <w:p>
            <w:pPr>
              <w:ind w:left="100"/>
              <w:spacing w:after="0"/>
              <w:rPr>
                <w:sz w:val="20"/>
                <w:szCs w:val="20"/>
                <w:color w:val="auto"/>
              </w:rPr>
            </w:pPr>
            <w:r>
              <w:rPr>
                <w:rFonts w:ascii="Times New Roman" w:cs="Times New Roman" w:eastAsia="Times New Roman" w:hAnsi="Times New Roman"/>
                <w:sz w:val="22"/>
                <w:szCs w:val="22"/>
                <w:i w:val="1"/>
                <w:iCs w:val="1"/>
                <w:color w:val="auto"/>
              </w:rPr>
              <w:t>manner as a commodity</w:t>
            </w:r>
          </w:p>
        </w:tc>
        <w:tc>
          <w:tcPr>
            <w:tcW w:w="0" w:type="dxa"/>
            <w:vAlign w:val="bottom"/>
          </w:tcPr>
          <w:p>
            <w:pPr>
              <w:spacing w:after="0"/>
              <w:rPr>
                <w:sz w:val="1"/>
                <w:szCs w:val="1"/>
                <w:color w:val="auto"/>
              </w:rPr>
            </w:pPr>
          </w:p>
        </w:tc>
      </w:tr>
      <w:tr>
        <w:trPr>
          <w:trHeight w:val="253"/>
        </w:trPr>
        <w:tc>
          <w:tcPr>
            <w:tcW w:w="560" w:type="dxa"/>
            <w:vAlign w:val="bottom"/>
            <w:tcBorders>
              <w:left w:val="single" w:sz="8" w:color="auto"/>
            </w:tcBorders>
          </w:tcPr>
          <w:p>
            <w:pPr>
              <w:spacing w:after="0"/>
              <w:rPr>
                <w:sz w:val="22"/>
                <w:szCs w:val="22"/>
                <w:color w:val="auto"/>
              </w:rPr>
            </w:pPr>
          </w:p>
        </w:tc>
        <w:tc>
          <w:tcPr>
            <w:tcW w:w="380" w:type="dxa"/>
            <w:vAlign w:val="bottom"/>
          </w:tcPr>
          <w:p>
            <w:pPr>
              <w:spacing w:after="0"/>
              <w:rPr>
                <w:sz w:val="22"/>
                <w:szCs w:val="22"/>
                <w:color w:val="auto"/>
              </w:rPr>
            </w:pPr>
          </w:p>
        </w:tc>
        <w:tc>
          <w:tcPr>
            <w:tcW w:w="200" w:type="dxa"/>
            <w:vAlign w:val="bottom"/>
          </w:tcPr>
          <w:p>
            <w:pPr>
              <w:spacing w:after="0"/>
              <w:rPr>
                <w:sz w:val="22"/>
                <w:szCs w:val="22"/>
                <w:color w:val="auto"/>
              </w:rPr>
            </w:pPr>
          </w:p>
        </w:tc>
        <w:tc>
          <w:tcPr>
            <w:tcW w:w="500" w:type="dxa"/>
            <w:vAlign w:val="bottom"/>
          </w:tcPr>
          <w:p>
            <w:pPr>
              <w:spacing w:after="0"/>
              <w:rPr>
                <w:sz w:val="22"/>
                <w:szCs w:val="22"/>
                <w:color w:val="auto"/>
              </w:rPr>
            </w:pPr>
          </w:p>
        </w:tc>
        <w:tc>
          <w:tcPr>
            <w:tcW w:w="440" w:type="dxa"/>
            <w:vAlign w:val="bottom"/>
            <w:tcBorders>
              <w:right w:val="single" w:sz="8" w:color="auto"/>
            </w:tcBorders>
          </w:tcPr>
          <w:p>
            <w:pPr>
              <w:spacing w:after="0"/>
              <w:rPr>
                <w:sz w:val="22"/>
                <w:szCs w:val="22"/>
                <w:color w:val="auto"/>
              </w:rPr>
            </w:pPr>
          </w:p>
        </w:tc>
        <w:tc>
          <w:tcPr>
            <w:tcW w:w="1200" w:type="dxa"/>
            <w:vAlign w:val="bottom"/>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included</w:t>
            </w:r>
          </w:p>
        </w:tc>
        <w:tc>
          <w:tcPr>
            <w:tcW w:w="200" w:type="dxa"/>
            <w:vAlign w:val="bottom"/>
          </w:tcPr>
          <w:p>
            <w:pPr>
              <w:ind w:left="20"/>
              <w:spacing w:after="0"/>
              <w:rPr>
                <w:sz w:val="20"/>
                <w:szCs w:val="20"/>
                <w:color w:val="auto"/>
              </w:rPr>
            </w:pPr>
            <w:r>
              <w:rPr>
                <w:rFonts w:ascii="Times New Roman" w:cs="Times New Roman" w:eastAsia="Times New Roman" w:hAnsi="Times New Roman"/>
                <w:sz w:val="22"/>
                <w:szCs w:val="22"/>
                <w:i w:val="1"/>
                <w:iCs w:val="1"/>
                <w:color w:val="auto"/>
                <w:w w:val="93"/>
              </w:rPr>
              <w:t>in</w:t>
            </w:r>
          </w:p>
        </w:tc>
        <w:tc>
          <w:tcPr>
            <w:tcW w:w="1040" w:type="dxa"/>
            <w:vAlign w:val="bottom"/>
            <w:tcBorders>
              <w:right w:val="single" w:sz="8" w:color="auto"/>
            </w:tcBorders>
            <w:gridSpan w:val="2"/>
          </w:tcPr>
          <w:p>
            <w:pPr>
              <w:jc w:val="right"/>
              <w:ind w:right="10"/>
              <w:spacing w:after="0"/>
              <w:rPr>
                <w:sz w:val="20"/>
                <w:szCs w:val="20"/>
                <w:color w:val="auto"/>
              </w:rPr>
            </w:pPr>
            <w:r>
              <w:rPr>
                <w:rFonts w:ascii="Times New Roman" w:cs="Times New Roman" w:eastAsia="Times New Roman" w:hAnsi="Times New Roman"/>
                <w:sz w:val="22"/>
                <w:szCs w:val="22"/>
                <w:i w:val="1"/>
                <w:iCs w:val="1"/>
                <w:color w:val="auto"/>
              </w:rPr>
              <w:t>ECCN</w:t>
            </w:r>
          </w:p>
        </w:tc>
        <w:tc>
          <w:tcPr>
            <w:tcW w:w="0" w:type="dxa"/>
            <w:vAlign w:val="bottom"/>
          </w:tcPr>
          <w:p>
            <w:pPr>
              <w:spacing w:after="0"/>
              <w:rPr>
                <w:sz w:val="1"/>
                <w:szCs w:val="1"/>
                <w:color w:val="auto"/>
              </w:rPr>
            </w:pPr>
          </w:p>
        </w:tc>
      </w:tr>
      <w:tr>
        <w:trPr>
          <w:trHeight w:val="272"/>
        </w:trPr>
        <w:tc>
          <w:tcPr>
            <w:tcW w:w="560" w:type="dxa"/>
            <w:vAlign w:val="bottom"/>
            <w:tcBorders>
              <w:left w:val="single" w:sz="8" w:color="auto"/>
              <w:bottom w:val="single" w:sz="8" w:color="auto"/>
            </w:tcBorders>
          </w:tcPr>
          <w:p>
            <w:pPr>
              <w:spacing w:after="0"/>
              <w:rPr>
                <w:sz w:val="23"/>
                <w:szCs w:val="23"/>
                <w:color w:val="auto"/>
              </w:rPr>
            </w:pPr>
          </w:p>
        </w:tc>
        <w:tc>
          <w:tcPr>
            <w:tcW w:w="380" w:type="dxa"/>
            <w:vAlign w:val="bottom"/>
            <w:tcBorders>
              <w:bottom w:val="single" w:sz="8" w:color="auto"/>
            </w:tcBorders>
          </w:tcPr>
          <w:p>
            <w:pPr>
              <w:spacing w:after="0"/>
              <w:rPr>
                <w:sz w:val="23"/>
                <w:szCs w:val="23"/>
                <w:color w:val="auto"/>
              </w:rPr>
            </w:pPr>
          </w:p>
        </w:tc>
        <w:tc>
          <w:tcPr>
            <w:tcW w:w="200" w:type="dxa"/>
            <w:vAlign w:val="bottom"/>
            <w:tcBorders>
              <w:bottom w:val="single" w:sz="8" w:color="auto"/>
            </w:tcBorders>
          </w:tcPr>
          <w:p>
            <w:pPr>
              <w:spacing w:after="0"/>
              <w:rPr>
                <w:sz w:val="23"/>
                <w:szCs w:val="23"/>
                <w:color w:val="auto"/>
              </w:rPr>
            </w:pPr>
          </w:p>
        </w:tc>
        <w:tc>
          <w:tcPr>
            <w:tcW w:w="500" w:type="dxa"/>
            <w:vAlign w:val="bottom"/>
            <w:tcBorders>
              <w:bottom w:val="single" w:sz="8" w:color="auto"/>
            </w:tcBorders>
          </w:tcPr>
          <w:p>
            <w:pPr>
              <w:spacing w:after="0"/>
              <w:rPr>
                <w:sz w:val="23"/>
                <w:szCs w:val="23"/>
                <w:color w:val="auto"/>
              </w:rPr>
            </w:pPr>
          </w:p>
        </w:tc>
        <w:tc>
          <w:tcPr>
            <w:tcW w:w="440" w:type="dxa"/>
            <w:vAlign w:val="bottom"/>
            <w:tcBorders>
              <w:bottom w:val="single" w:sz="8" w:color="auto"/>
              <w:right w:val="single" w:sz="8" w:color="auto"/>
            </w:tcBorders>
          </w:tcPr>
          <w:p>
            <w:pPr>
              <w:spacing w:after="0"/>
              <w:rPr>
                <w:sz w:val="23"/>
                <w:szCs w:val="23"/>
                <w:color w:val="auto"/>
              </w:rPr>
            </w:pPr>
          </w:p>
        </w:tc>
        <w:tc>
          <w:tcPr>
            <w:tcW w:w="1200" w:type="dxa"/>
            <w:vAlign w:val="bottom"/>
            <w:tcBorders>
              <w:bottom w:val="single" w:sz="8" w:color="auto"/>
            </w:tcBorders>
            <w:gridSpan w:val="2"/>
          </w:tcPr>
          <w:p>
            <w:pPr>
              <w:ind w:left="100"/>
              <w:spacing w:after="0"/>
              <w:rPr>
                <w:sz w:val="20"/>
                <w:szCs w:val="20"/>
                <w:color w:val="auto"/>
              </w:rPr>
            </w:pPr>
            <w:r>
              <w:rPr>
                <w:rFonts w:ascii="Times New Roman" w:cs="Times New Roman" w:eastAsia="Times New Roman" w:hAnsi="Times New Roman"/>
                <w:sz w:val="22"/>
                <w:szCs w:val="22"/>
                <w:i w:val="1"/>
                <w:iCs w:val="1"/>
                <w:color w:val="auto"/>
              </w:rPr>
              <w:t>5A002.</w:t>
            </w:r>
          </w:p>
        </w:tc>
        <w:tc>
          <w:tcPr>
            <w:tcW w:w="200" w:type="dxa"/>
            <w:vAlign w:val="bottom"/>
            <w:tcBorders>
              <w:bottom w:val="single" w:sz="8" w:color="auto"/>
            </w:tcBorders>
          </w:tcPr>
          <w:p>
            <w:pPr>
              <w:spacing w:after="0"/>
              <w:rPr>
                <w:sz w:val="23"/>
                <w:szCs w:val="23"/>
                <w:color w:val="auto"/>
              </w:rPr>
            </w:pPr>
          </w:p>
        </w:tc>
        <w:tc>
          <w:tcPr>
            <w:tcW w:w="440" w:type="dxa"/>
            <w:vAlign w:val="bottom"/>
            <w:tcBorders>
              <w:bottom w:val="single" w:sz="8" w:color="auto"/>
            </w:tcBorders>
          </w:tcPr>
          <w:p>
            <w:pPr>
              <w:spacing w:after="0"/>
              <w:rPr>
                <w:sz w:val="23"/>
                <w:szCs w:val="23"/>
                <w:color w:val="auto"/>
              </w:rPr>
            </w:pPr>
          </w:p>
        </w:tc>
        <w:tc>
          <w:tcPr>
            <w:tcW w:w="600" w:type="dxa"/>
            <w:vAlign w:val="bottom"/>
            <w:tcBorders>
              <w:bottom w:val="single" w:sz="8" w:color="auto"/>
              <w:right w:val="single" w:sz="8" w:color="auto"/>
            </w:tcBorders>
          </w:tcPr>
          <w:p>
            <w:pPr>
              <w:spacing w:after="0"/>
              <w:rPr>
                <w:sz w:val="23"/>
                <w:szCs w:val="23"/>
                <w:color w:val="auto"/>
              </w:rPr>
            </w:pPr>
          </w:p>
        </w:tc>
        <w:tc>
          <w:tcPr>
            <w:tcW w:w="0" w:type="dxa"/>
            <w:vAlign w:val="bottom"/>
          </w:tcPr>
          <w:p>
            <w:pPr>
              <w:spacing w:after="0"/>
              <w:rPr>
                <w:sz w:val="1"/>
                <w:szCs w:val="1"/>
                <w:color w:val="auto"/>
              </w:rPr>
            </w:pPr>
          </w:p>
        </w:tc>
      </w:tr>
    </w:tbl>
    <w:p>
      <w:pPr>
        <w:spacing w:after="0" w:line="233" w:lineRule="exact"/>
        <w:rPr>
          <w:sz w:val="20"/>
          <w:szCs w:val="20"/>
          <w:color w:val="auto"/>
        </w:rPr>
      </w:pPr>
    </w:p>
    <w:p>
      <w:pPr>
        <w:jc w:val="both"/>
        <w:ind w:right="18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License Requirements Note</w:t>
      </w:r>
      <w:r>
        <w:rPr>
          <w:rFonts w:ascii="Times New Roman" w:cs="Times New Roman" w:eastAsia="Times New Roman" w:hAnsi="Times New Roman"/>
          <w:sz w:val="22"/>
          <w:szCs w:val="22"/>
          <w:i w:val="1"/>
          <w:iCs w:val="1"/>
          <w:color w:val="auto"/>
        </w:rPr>
        <w:t>: See § 744.17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EAR for additional license requirements for microprocessors having a processing speed of 5 GFLOPS or more and an arithmetic logic unit with an access width of 32 bit or more, including</w:t>
      </w:r>
    </w:p>
    <w:p>
      <w:pPr>
        <w:spacing w:after="0" w:line="20" w:lineRule="exact"/>
        <w:rPr>
          <w:sz w:val="20"/>
          <w:szCs w:val="20"/>
          <w:color w:val="auto"/>
        </w:rPr>
      </w:pPr>
      <w:r>
        <w:rPr>
          <w:sz w:val="20"/>
          <w:szCs w:val="20"/>
          <w:color w:val="auto"/>
        </w:rPr>
        <w:br w:type="column"/>
      </w:r>
    </w:p>
    <w:p>
      <w:pPr>
        <w:spacing w:after="0" w:line="192"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2"/>
          <w:szCs w:val="22"/>
          <w:i w:val="1"/>
          <w:iCs w:val="1"/>
          <w:color w:val="auto"/>
        </w:rPr>
        <w:t>those incorporating “information security” functionality, and associated “software” and “technology” for the “production” or “development” of such microprocessors.</w:t>
      </w:r>
    </w:p>
    <w:p>
      <w:pPr>
        <w:spacing w:after="0" w:line="205" w:lineRule="exact"/>
        <w:rPr>
          <w:sz w:val="20"/>
          <w:szCs w:val="20"/>
          <w:color w:val="auto"/>
        </w:rPr>
      </w:pPr>
    </w:p>
    <w:p>
      <w:pPr>
        <w:jc w:val="both"/>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1"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i w:val="1"/>
          <w:iCs w:val="1"/>
          <w:color w:val="auto"/>
        </w:rPr>
        <w:t>TSR</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ind w:left="360"/>
        <w:spacing w:after="0"/>
        <w:tabs>
          <w:tab w:leader="none" w:pos="1060" w:val="left"/>
          <w:tab w:leader="none" w:pos="1640" w:val="left"/>
          <w:tab w:leader="none" w:pos="2140" w:val="left"/>
          <w:tab w:leader="none" w:pos="2960" w:val="left"/>
          <w:tab w:leader="none" w:pos="3400" w:val="left"/>
        </w:tabs>
        <w:rPr>
          <w:sz w:val="20"/>
          <w:szCs w:val="20"/>
          <w:color w:val="auto"/>
        </w:rPr>
      </w:pPr>
      <w:r>
        <w:rPr>
          <w:rFonts w:ascii="Times New Roman" w:cs="Times New Roman" w:eastAsia="Times New Roman" w:hAnsi="Times New Roman"/>
          <w:sz w:val="22"/>
          <w:szCs w:val="22"/>
          <w:i w:val="1"/>
          <w:iCs w:val="1"/>
          <w:color w:val="auto"/>
        </w:rPr>
        <w:t>ENC</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Yes</w:t>
        <w:tab/>
        <w:t>for</w:t>
        <w:tab/>
        <w:t>certain</w:t>
        <w:tab/>
        <w:t>EI</w:t>
        <w:tab/>
        <w:t>controlled</w:t>
      </w:r>
    </w:p>
    <w:p>
      <w:pPr>
        <w:ind w:left="1080"/>
        <w:spacing w:after="0"/>
        <w:rPr>
          <w:sz w:val="20"/>
          <w:szCs w:val="20"/>
          <w:color w:val="auto"/>
        </w:rPr>
      </w:pPr>
      <w:r>
        <w:rPr>
          <w:rFonts w:ascii="Times New Roman" w:cs="Times New Roman" w:eastAsia="Times New Roman" w:hAnsi="Times New Roman"/>
          <w:sz w:val="22"/>
          <w:szCs w:val="22"/>
          <w:color w:val="auto"/>
        </w:rPr>
        <w:t>software, see §740.17 of the EAR</w:t>
      </w:r>
    </w:p>
    <w:p>
      <w:pPr>
        <w:ind w:left="1080"/>
        <w:spacing w:after="0"/>
        <w:rPr>
          <w:sz w:val="20"/>
          <w:szCs w:val="20"/>
          <w:color w:val="auto"/>
        </w:rPr>
      </w:pPr>
      <w:r>
        <w:rPr>
          <w:rFonts w:ascii="Times New Roman" w:cs="Times New Roman" w:eastAsia="Times New Roman" w:hAnsi="Times New Roman"/>
          <w:sz w:val="22"/>
          <w:szCs w:val="22"/>
          <w:color w:val="auto"/>
        </w:rPr>
        <w:t>for eligibility.</w:t>
      </w:r>
    </w:p>
    <w:p>
      <w:pPr>
        <w:spacing w:after="0" w:line="249"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2" w:lineRule="exact"/>
        <w:rPr>
          <w:sz w:val="20"/>
          <w:szCs w:val="20"/>
          <w:color w:val="auto"/>
        </w:rPr>
      </w:pPr>
    </w:p>
    <w:p>
      <w:pPr>
        <w:ind w:left="360"/>
        <w:spacing w:after="0" w:line="241" w:lineRule="auto"/>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After classification or</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self-classification in accordance with</w:t>
      </w:r>
    </w:p>
    <w:p>
      <w:pPr>
        <w:spacing w:after="0" w:line="1" w:lineRule="exact"/>
        <w:rPr>
          <w:sz w:val="20"/>
          <w:szCs w:val="20"/>
          <w:color w:val="auto"/>
        </w:rPr>
      </w:pPr>
    </w:p>
    <w:p>
      <w:pPr>
        <w:jc w:val="both"/>
        <w:ind w:left="360"/>
        <w:spacing w:after="0" w:line="247" w:lineRule="auto"/>
        <w:tabs>
          <w:tab w:leader="none" w:pos="525" w:val="left"/>
        </w:tabs>
        <w:numPr>
          <w:ilvl w:val="0"/>
          <w:numId w:val="16"/>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740.17(b) of the EAR, mass market encryption software that meet eligibility requirements are released from “EI” and “NS” controls. This software is designated as 5D992.c.</w:t>
      </w:r>
    </w:p>
    <w:p>
      <w:pPr>
        <w:spacing w:after="0" w:line="236" w:lineRule="exact"/>
        <w:rPr>
          <w:sz w:val="20"/>
          <w:szCs w:val="20"/>
          <w:color w:val="auto"/>
        </w:rPr>
      </w:pPr>
    </w:p>
    <w:p>
      <w:pPr>
        <w:jc w:val="both"/>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5D002.a controls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“software” designed or modified to use “cryptography” employing digital or analog techniques to ensure “information security.”</w:t>
      </w:r>
    </w:p>
    <w:p>
      <w:pPr>
        <w:spacing w:after="0" w:line="4" w:lineRule="exact"/>
        <w:rPr>
          <w:sz w:val="20"/>
          <w:szCs w:val="20"/>
          <w:color w:val="auto"/>
        </w:rPr>
      </w:pPr>
    </w:p>
    <w:p>
      <w:pPr>
        <w:ind w:left="48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2" w:lineRule="exact"/>
        <w:rPr>
          <w:sz w:val="20"/>
          <w:szCs w:val="20"/>
          <w:color w:val="auto"/>
        </w:rPr>
      </w:pPr>
    </w:p>
    <w:p>
      <w:pPr>
        <w:jc w:val="both"/>
        <w:spacing w:after="0" w:line="255" w:lineRule="auto"/>
        <w:rPr>
          <w:sz w:val="20"/>
          <w:szCs w:val="20"/>
          <w:color w:val="auto"/>
        </w:rPr>
      </w:pPr>
      <w:r>
        <w:rPr>
          <w:rFonts w:ascii="Times New Roman" w:cs="Times New Roman" w:eastAsia="Times New Roman" w:hAnsi="Times New Roman"/>
          <w:sz w:val="22"/>
          <w:szCs w:val="22"/>
          <w:color w:val="auto"/>
        </w:rPr>
        <w:t>a. “Software” “specially designed” or modified for the “development,” “production” or “use” of any of the following:</w:t>
      </w:r>
    </w:p>
    <w:p>
      <w:pPr>
        <w:spacing w:after="0" w:line="206"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a.1. Equipment specified by 5A002 or “software” specified by 5D002.c.1;</w:t>
      </w:r>
    </w:p>
    <w:p>
      <w:pPr>
        <w:spacing w:after="0" w:line="187"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 xml:space="preserve">a.2. Equipment specified by 5A003 or “software” specified by 5D002.c.2; </w:t>
      </w:r>
      <w:r>
        <w:rPr>
          <w:rFonts w:ascii="Times New Roman" w:cs="Times New Roman" w:eastAsia="Times New Roman" w:hAnsi="Times New Roman"/>
          <w:sz w:val="22"/>
          <w:szCs w:val="22"/>
          <w:i w:val="1"/>
          <w:iCs w:val="1"/>
          <w:color w:val="auto"/>
        </w:rPr>
        <w:t>or</w:t>
      </w:r>
    </w:p>
    <w:p>
      <w:pPr>
        <w:spacing w:after="0" w:line="188" w:lineRule="exact"/>
        <w:rPr>
          <w:sz w:val="20"/>
          <w:szCs w:val="20"/>
          <w:color w:val="auto"/>
        </w:rPr>
      </w:pPr>
    </w:p>
    <w:p>
      <w:pPr>
        <w:jc w:val="both"/>
        <w:ind w:firstLine="360"/>
        <w:spacing w:after="0" w:line="270" w:lineRule="auto"/>
        <w:rPr>
          <w:sz w:val="20"/>
          <w:szCs w:val="20"/>
          <w:color w:val="auto"/>
        </w:rPr>
      </w:pPr>
      <w:r>
        <w:rPr>
          <w:rFonts w:ascii="Times New Roman" w:cs="Times New Roman" w:eastAsia="Times New Roman" w:hAnsi="Times New Roman"/>
          <w:sz w:val="22"/>
          <w:szCs w:val="22"/>
          <w:color w:val="auto"/>
        </w:rPr>
        <w:t>a.3. Equipment specified by 5A004 or “software” specified by 5D002.c.3;</w:t>
      </w:r>
    </w:p>
    <w:p>
      <w:pPr>
        <w:spacing w:after="0" w:line="189" w:lineRule="exact"/>
        <w:rPr>
          <w:sz w:val="20"/>
          <w:szCs w:val="20"/>
          <w:color w:val="auto"/>
        </w:rPr>
      </w:pPr>
    </w:p>
    <w:p>
      <w:pPr>
        <w:jc w:val="both"/>
        <w:spacing w:after="0" w:line="250" w:lineRule="auto"/>
        <w:rPr>
          <w:sz w:val="20"/>
          <w:szCs w:val="20"/>
          <w:color w:val="auto"/>
        </w:rPr>
      </w:pPr>
      <w:r>
        <w:rPr>
          <w:rFonts w:ascii="Times New Roman" w:cs="Times New Roman" w:eastAsia="Times New Roman" w:hAnsi="Times New Roman"/>
          <w:sz w:val="22"/>
          <w:szCs w:val="22"/>
          <w:color w:val="auto"/>
        </w:rPr>
        <w:t>b. “Software” designed or modified for converting, by means of “cryptographic activation”, an item not specified by Category 5 – Part 2 into an item specified by 5A002.a or</w:t>
      </w:r>
    </w:p>
    <w:p>
      <w:pPr>
        <w:spacing w:after="0" w:line="227" w:lineRule="exact"/>
        <w:rPr>
          <w:sz w:val="20"/>
          <w:szCs w:val="20"/>
          <w:color w:val="auto"/>
        </w:rPr>
      </w:pPr>
    </w:p>
    <w:p>
      <w:pPr>
        <w:sectPr>
          <w:pgSz w:w="12240" w:h="15840" w:orient="portrait"/>
          <w:cols w:equalWidth="0" w:num="2">
            <w:col w:w="4500" w:space="540"/>
            <w:col w:w="4320"/>
          </w:cols>
          <w:pgMar w:left="1440" w:top="1422" w:right="1440" w:bottom="892" w:gutter="0" w:footer="0" w:header="0"/>
          <w:type w:val="continuous"/>
        </w:sectPr>
      </w:pPr>
    </w:p>
    <w:p>
      <w:pPr>
        <w:spacing w:after="0" w:line="149"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9" w:name="page10"/>
    <w:bookmarkEnd w:id="9"/>
    <w:p>
      <w:pPr>
        <w:spacing w:after="0"/>
        <w:tabs>
          <w:tab w:leader="none" w:pos="3540" w:val="left"/>
          <w:tab w:leader="none" w:pos="65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Info. Security—page 10</w:t>
      </w:r>
    </w:p>
    <w:p>
      <w:pPr>
        <w:sectPr>
          <w:pgSz w:w="12240" w:h="15840" w:orient="portrait"/>
          <w:cols w:equalWidth="0" w:num="1">
            <w:col w:w="9360"/>
          </w:cols>
          <w:pgMar w:left="1440" w:top="1422" w:right="1440" w:bottom="892" w:gutter="0" w:footer="0" w:header="0"/>
        </w:sectPr>
      </w:pPr>
    </w:p>
    <w:p>
      <w:pPr>
        <w:spacing w:after="0" w:line="215" w:lineRule="exact"/>
        <w:rPr>
          <w:sz w:val="20"/>
          <w:szCs w:val="20"/>
          <w:color w:val="auto"/>
        </w:rPr>
      </w:pPr>
    </w:p>
    <w:p>
      <w:pPr>
        <w:jc w:val="both"/>
        <w:spacing w:after="0" w:line="246" w:lineRule="auto"/>
        <w:rPr>
          <w:sz w:val="20"/>
          <w:szCs w:val="20"/>
          <w:color w:val="auto"/>
        </w:rPr>
      </w:pPr>
      <w:r>
        <w:rPr>
          <w:rFonts w:ascii="Times New Roman" w:cs="Times New Roman" w:eastAsia="Times New Roman" w:hAnsi="Times New Roman"/>
          <w:sz w:val="22"/>
          <w:szCs w:val="22"/>
          <w:color w:val="auto"/>
        </w:rPr>
        <w:t>5D002.c.1, and not released by the Cryptography Note (Note 3 in Category 5 – Part 2), or for enabling, by means of “cryptographic activation”, additional functionality specified by 5A002.a of an item already specified by Category 5 – Part 2;</w:t>
      </w:r>
    </w:p>
    <w:p>
      <w:pPr>
        <w:spacing w:after="0" w:line="215" w:lineRule="exact"/>
        <w:rPr>
          <w:sz w:val="20"/>
          <w:szCs w:val="20"/>
          <w:color w:val="auto"/>
        </w:rPr>
      </w:pPr>
    </w:p>
    <w:p>
      <w:pPr>
        <w:jc w:val="both"/>
        <w:spacing w:after="0" w:line="255" w:lineRule="auto"/>
        <w:tabs>
          <w:tab w:leader="none" w:pos="360" w:val="left"/>
        </w:tabs>
        <w:numPr>
          <w:ilvl w:val="0"/>
          <w:numId w:val="17"/>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“Software” having the characteristics of, or performing or simulating the functions of, any of the following:</w:t>
      </w:r>
    </w:p>
    <w:p>
      <w:pPr>
        <w:spacing w:after="0" w:line="205" w:lineRule="exact"/>
        <w:rPr>
          <w:sz w:val="20"/>
          <w:szCs w:val="20"/>
          <w:color w:val="auto"/>
        </w:rPr>
      </w:pPr>
    </w:p>
    <w:p>
      <w:pPr>
        <w:jc w:val="both"/>
        <w:ind w:firstLine="360"/>
        <w:spacing w:after="0" w:line="271" w:lineRule="auto"/>
        <w:rPr>
          <w:sz w:val="20"/>
          <w:szCs w:val="20"/>
          <w:color w:val="auto"/>
        </w:rPr>
      </w:pPr>
      <w:r>
        <w:rPr>
          <w:rFonts w:ascii="Times New Roman" w:cs="Times New Roman" w:eastAsia="Times New Roman" w:hAnsi="Times New Roman"/>
          <w:sz w:val="22"/>
          <w:szCs w:val="22"/>
          <w:color w:val="auto"/>
        </w:rPr>
        <w:t>c.1. Equipment specified by 5A002.a, .c, .d or .e;</w:t>
      </w:r>
    </w:p>
    <w:p>
      <w:pPr>
        <w:spacing w:after="0" w:line="182" w:lineRule="exact"/>
        <w:rPr>
          <w:sz w:val="20"/>
          <w:szCs w:val="20"/>
          <w:color w:val="auto"/>
        </w:rPr>
      </w:pPr>
    </w:p>
    <w:p>
      <w:pPr>
        <w:jc w:val="both"/>
        <w:ind w:firstLine="360"/>
        <w:spacing w:after="0" w:line="252"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5D002.c.1 does not apply to</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“software” limited to the tasks of “OAM” implementing only published or commercial cryptographic standards.</w:t>
      </w:r>
    </w:p>
    <w:p>
      <w:pPr>
        <w:spacing w:after="0" w:line="20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 xml:space="preserve">c.2. Equipment specified by 5A003; </w:t>
      </w:r>
      <w:r>
        <w:rPr>
          <w:rFonts w:ascii="Times New Roman" w:cs="Times New Roman" w:eastAsia="Times New Roman" w:hAnsi="Times New Roman"/>
          <w:sz w:val="22"/>
          <w:szCs w:val="22"/>
          <w:i w:val="1"/>
          <w:iCs w:val="1"/>
          <w:color w:val="auto"/>
        </w:rPr>
        <w:t>or</w:t>
      </w:r>
    </w:p>
    <w:p>
      <w:pPr>
        <w:spacing w:after="0" w:line="257"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color w:val="auto"/>
        </w:rPr>
        <w:t>c.3. Equipment specified by 5A004.</w:t>
      </w:r>
    </w:p>
    <w:p>
      <w:pPr>
        <w:spacing w:after="0" w:line="253"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d. [Reserved]</w:t>
      </w:r>
    </w:p>
    <w:p>
      <w:pPr>
        <w:spacing w:after="0" w:line="247" w:lineRule="exact"/>
        <w:rPr>
          <w:sz w:val="20"/>
          <w:szCs w:val="20"/>
          <w:color w:val="auto"/>
        </w:rPr>
      </w:pPr>
    </w:p>
    <w:p>
      <w:pPr>
        <w:jc w:val="both"/>
        <w:ind w:firstLine="360"/>
        <w:spacing w:after="0" w:line="276" w:lineRule="auto"/>
        <w:rPr>
          <w:sz w:val="20"/>
          <w:szCs w:val="20"/>
          <w:color w:val="auto"/>
        </w:rPr>
      </w:pPr>
      <w:r>
        <w:rPr>
          <w:rFonts w:ascii="Times New Roman" w:cs="Times New Roman" w:eastAsia="Times New Roman" w:hAnsi="Times New Roman"/>
          <w:sz w:val="22"/>
          <w:szCs w:val="22"/>
          <w:b w:val="1"/>
          <w:bCs w:val="1"/>
          <w:i w:val="1"/>
          <w:iCs w:val="1"/>
          <w:color w:val="auto"/>
        </w:rPr>
        <w:t>N.B</w:t>
      </w:r>
      <w:r>
        <w:rPr>
          <w:rFonts w:ascii="Times New Roman" w:cs="Times New Roman" w:eastAsia="Times New Roman" w:hAnsi="Times New Roman"/>
          <w:sz w:val="22"/>
          <w:szCs w:val="22"/>
          <w:i w:val="1"/>
          <w:iCs w:val="1"/>
          <w:color w:val="auto"/>
        </w:rPr>
        <w:t>.: See 5D002.b for items formerly</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specified in 5D002.d.</w:t>
      </w:r>
    </w:p>
    <w:p>
      <w:pPr>
        <w:spacing w:after="0" w:line="200" w:lineRule="exact"/>
        <w:rPr>
          <w:sz w:val="20"/>
          <w:szCs w:val="20"/>
          <w:color w:val="auto"/>
        </w:rPr>
      </w:pPr>
    </w:p>
    <w:p>
      <w:pPr>
        <w:spacing w:after="0" w:line="232" w:lineRule="exact"/>
        <w:rPr>
          <w:sz w:val="20"/>
          <w:szCs w:val="20"/>
          <w:color w:val="auto"/>
        </w:rPr>
      </w:pPr>
    </w:p>
    <w:p>
      <w:pPr>
        <w:jc w:val="both"/>
        <w:spacing w:after="0" w:line="257" w:lineRule="auto"/>
        <w:rPr>
          <w:sz w:val="20"/>
          <w:szCs w:val="20"/>
          <w:color w:val="auto"/>
        </w:rPr>
      </w:pPr>
      <w:r>
        <w:rPr>
          <w:rFonts w:ascii="Times New Roman" w:cs="Times New Roman" w:eastAsia="Times New Roman" w:hAnsi="Times New Roman"/>
          <w:sz w:val="22"/>
          <w:szCs w:val="22"/>
          <w:b w:val="1"/>
          <w:bCs w:val="1"/>
          <w:color w:val="auto"/>
        </w:rPr>
        <w:t>5D992 “Information Security” “software” not controlled by 5D002 as follows (see List of Items Controlled).</w:t>
      </w:r>
    </w:p>
    <w:p>
      <w:pPr>
        <w:spacing w:after="0" w:line="200"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540" w:type="dxa"/>
            <w:vAlign w:val="bottom"/>
            <w:tcBorders>
              <w:top w:val="single" w:sz="8" w:color="auto"/>
              <w:left w:val="single" w:sz="8" w:color="auto"/>
              <w:right w:val="single" w:sz="8" w:color="auto"/>
            </w:tcBorders>
          </w:tcPr>
          <w:p>
            <w:pPr>
              <w:spacing w:after="0"/>
              <w:rPr>
                <w:sz w:val="21"/>
                <w:szCs w:val="21"/>
                <w:color w:val="auto"/>
              </w:rPr>
            </w:pPr>
          </w:p>
        </w:tc>
        <w:tc>
          <w:tcPr>
            <w:tcW w:w="18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w w:val="99"/>
              </w:rPr>
              <w:t>Country Chart</w:t>
            </w:r>
          </w:p>
        </w:tc>
      </w:tr>
      <w:tr>
        <w:trPr>
          <w:trHeight w:val="253"/>
        </w:trPr>
        <w:tc>
          <w:tcPr>
            <w:tcW w:w="2540" w:type="dxa"/>
            <w:vAlign w:val="bottom"/>
            <w:tcBorders>
              <w:left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8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 1</w:t>
            </w:r>
          </w:p>
        </w:tc>
      </w:tr>
      <w:tr>
        <w:trPr>
          <w:trHeight w:val="272"/>
        </w:trPr>
        <w:tc>
          <w:tcPr>
            <w:tcW w:w="2540" w:type="dxa"/>
            <w:vAlign w:val="bottom"/>
            <w:tcBorders>
              <w:left w:val="single" w:sz="8" w:color="auto"/>
              <w:bottom w:val="single" w:sz="8" w:color="auto"/>
              <w:right w:val="single" w:sz="8" w:color="auto"/>
            </w:tcBorders>
          </w:tcPr>
          <w:p>
            <w:pPr>
              <w:spacing w:after="0"/>
              <w:rPr>
                <w:sz w:val="23"/>
                <w:szCs w:val="23"/>
                <w:color w:val="auto"/>
              </w:rPr>
            </w:pPr>
          </w:p>
        </w:tc>
        <w:tc>
          <w:tcPr>
            <w:tcW w:w="18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w w:val="98"/>
              </w:rPr>
              <w:t>to part 738)</w:t>
            </w:r>
          </w:p>
        </w:tc>
      </w:tr>
      <w:tr>
        <w:trPr>
          <w:trHeight w:val="243"/>
        </w:trPr>
        <w:tc>
          <w:tcPr>
            <w:tcW w:w="2540" w:type="dxa"/>
            <w:vAlign w:val="bottom"/>
            <w:tcBorders>
              <w:left w:val="single" w:sz="8" w:color="auto"/>
              <w:bottom w:val="single" w:sz="8" w:color="auto"/>
              <w:right w:val="single" w:sz="8" w:color="auto"/>
            </w:tcBorders>
          </w:tcPr>
          <w:p>
            <w:pPr>
              <w:jc w:val="center"/>
              <w:spacing w:after="0" w:line="243" w:lineRule="exact"/>
              <w:rPr>
                <w:sz w:val="20"/>
                <w:szCs w:val="20"/>
                <w:color w:val="auto"/>
              </w:rPr>
            </w:pPr>
            <w:r>
              <w:rPr>
                <w:rFonts w:ascii="Times New Roman" w:cs="Times New Roman" w:eastAsia="Times New Roman" w:hAnsi="Times New Roman"/>
                <w:sz w:val="22"/>
                <w:szCs w:val="22"/>
                <w:color w:val="auto"/>
              </w:rPr>
              <w:t>AT applies to entire entry</w:t>
            </w:r>
          </w:p>
        </w:tc>
        <w:tc>
          <w:tcPr>
            <w:tcW w:w="1800" w:type="dxa"/>
            <w:vAlign w:val="bottom"/>
            <w:tcBorders>
              <w:bottom w:val="single" w:sz="8" w:color="auto"/>
              <w:right w:val="single" w:sz="8" w:color="auto"/>
            </w:tcBorders>
          </w:tcPr>
          <w:p>
            <w:pPr>
              <w:ind w:left="80"/>
              <w:spacing w:after="0" w:line="243" w:lineRule="exact"/>
              <w:rPr>
                <w:sz w:val="20"/>
                <w:szCs w:val="20"/>
                <w:color w:val="auto"/>
              </w:rPr>
            </w:pPr>
            <w:r>
              <w:rPr>
                <w:rFonts w:ascii="Times New Roman" w:cs="Times New Roman" w:eastAsia="Times New Roman" w:hAnsi="Times New Roman"/>
                <w:sz w:val="22"/>
                <w:szCs w:val="22"/>
                <w:color w:val="auto"/>
              </w:rPr>
              <w:t>AT Column 1</w:t>
            </w:r>
          </w:p>
        </w:tc>
      </w:tr>
    </w:tbl>
    <w:p>
      <w:pPr>
        <w:spacing w:after="0" w:line="233" w:lineRule="exact"/>
        <w:rPr>
          <w:sz w:val="20"/>
          <w:szCs w:val="20"/>
          <w:color w:val="auto"/>
        </w:rPr>
      </w:pPr>
    </w:p>
    <w:p>
      <w:pPr>
        <w:jc w:val="both"/>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License Requirements Note</w:t>
      </w:r>
      <w:r>
        <w:rPr>
          <w:rFonts w:ascii="Times New Roman" w:cs="Times New Roman" w:eastAsia="Times New Roman" w:hAnsi="Times New Roman"/>
          <w:sz w:val="22"/>
          <w:szCs w:val="22"/>
          <w:i w:val="1"/>
          <w:iCs w:val="1"/>
          <w:color w:val="auto"/>
        </w:rPr>
        <w:t>: See § 744.17 of</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the EAR for additional license requirements for microprocessors having a processing speed of 5 GFLOPS or more and an arithmetic logic unit with an access width of 32 bit or more, including</w:t>
      </w:r>
    </w:p>
    <w:p>
      <w:pPr>
        <w:spacing w:after="0" w:line="20" w:lineRule="exact"/>
        <w:rPr>
          <w:sz w:val="20"/>
          <w:szCs w:val="20"/>
          <w:color w:val="auto"/>
        </w:rPr>
      </w:pPr>
      <w:r>
        <w:rPr>
          <w:sz w:val="20"/>
          <w:szCs w:val="20"/>
          <w:color w:val="auto"/>
        </w:rPr>
        <w:br w:type="column"/>
      </w:r>
    </w:p>
    <w:p>
      <w:pPr>
        <w:spacing w:after="0" w:line="192" w:lineRule="exact"/>
        <w:rPr>
          <w:sz w:val="20"/>
          <w:szCs w:val="20"/>
          <w:color w:val="auto"/>
        </w:rPr>
      </w:pPr>
    </w:p>
    <w:p>
      <w:pPr>
        <w:jc w:val="both"/>
        <w:ind w:left="20"/>
        <w:spacing w:after="0" w:line="251" w:lineRule="auto"/>
        <w:rPr>
          <w:sz w:val="20"/>
          <w:szCs w:val="20"/>
          <w:color w:val="auto"/>
        </w:rPr>
      </w:pPr>
      <w:r>
        <w:rPr>
          <w:rFonts w:ascii="Times New Roman" w:cs="Times New Roman" w:eastAsia="Times New Roman" w:hAnsi="Times New Roman"/>
          <w:sz w:val="22"/>
          <w:szCs w:val="22"/>
          <w:i w:val="1"/>
          <w:iCs w:val="1"/>
          <w:color w:val="auto"/>
        </w:rPr>
        <w:t>those incorporating “information security” functionality, and associated “software” and “technology” for the “production” or “development” of such microprocessors.</w:t>
      </w:r>
    </w:p>
    <w:p>
      <w:pPr>
        <w:spacing w:after="0" w:line="205" w:lineRule="exact"/>
        <w:rPr>
          <w:sz w:val="20"/>
          <w:szCs w:val="20"/>
          <w:color w:val="auto"/>
        </w:rPr>
      </w:pPr>
    </w:p>
    <w:p>
      <w:pPr>
        <w:jc w:val="both"/>
        <w:ind w:left="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1" w:lineRule="exact"/>
        <w:rPr>
          <w:sz w:val="20"/>
          <w:szCs w:val="20"/>
          <w:color w:val="auto"/>
        </w:rPr>
      </w:pP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4" w:lineRule="exact"/>
        <w:rPr>
          <w:sz w:val="20"/>
          <w:szCs w:val="20"/>
          <w:color w:val="auto"/>
        </w:rPr>
      </w:pP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TSR</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251"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0" w:lineRule="exact"/>
        <w:rPr>
          <w:sz w:val="20"/>
          <w:szCs w:val="20"/>
          <w:color w:val="auto"/>
        </w:rPr>
      </w:pPr>
    </w:p>
    <w:p>
      <w:pPr>
        <w:spacing w:after="0" w:line="304" w:lineRule="exact"/>
        <w:rPr>
          <w:sz w:val="20"/>
          <w:szCs w:val="20"/>
          <w:color w:val="auto"/>
        </w:rPr>
      </w:pPr>
    </w:p>
    <w:p>
      <w:pPr>
        <w:jc w:val="both"/>
        <w:ind w:left="380"/>
        <w:spacing w:after="0"/>
        <w:rPr>
          <w:sz w:val="20"/>
          <w:szCs w:val="20"/>
          <w:color w:val="auto"/>
        </w:rPr>
      </w:pPr>
      <w:r>
        <w:rPr>
          <w:rFonts w:ascii="Times New Roman" w:cs="Times New Roman" w:eastAsia="Times New Roman" w:hAnsi="Times New Roman"/>
          <w:sz w:val="22"/>
          <w:szCs w:val="22"/>
          <w:i w:val="1"/>
          <w:iCs w:val="1"/>
          <w:color w:val="auto"/>
        </w:rPr>
        <w:t xml:space="preserve">Related Controls: </w:t>
      </w:r>
      <w:r>
        <w:rPr>
          <w:rFonts w:ascii="Times New Roman" w:cs="Times New Roman" w:eastAsia="Times New Roman" w:hAnsi="Times New Roman"/>
          <w:sz w:val="22"/>
          <w:szCs w:val="22"/>
          <w:color w:val="auto"/>
        </w:rPr>
        <w:t>This entry does not</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 xml:space="preserve">control “software” designed or modified to protect against malicious computer damage, </w:t>
      </w:r>
      <w:r>
        <w:rPr>
          <w:rFonts w:ascii="Times New Roman" w:cs="Times New Roman" w:eastAsia="Times New Roman" w:hAnsi="Times New Roman"/>
          <w:sz w:val="22"/>
          <w:szCs w:val="22"/>
          <w:i w:val="1"/>
          <w:iCs w:val="1"/>
          <w:color w:val="auto"/>
        </w:rPr>
        <w:t>e.g.</w:t>
      </w:r>
      <w:r>
        <w:rPr>
          <w:rFonts w:ascii="Times New Roman" w:cs="Times New Roman" w:eastAsia="Times New Roman" w:hAnsi="Times New Roman"/>
          <w:sz w:val="22"/>
          <w:szCs w:val="22"/>
          <w:color w:val="auto"/>
        </w:rPr>
        <w:t>, viruses, where the use of</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“cryptography” is limited to authentication, digital signature and/or the decryption of data or files.</w:t>
      </w:r>
    </w:p>
    <w:p>
      <w:pPr>
        <w:spacing w:after="0" w:line="4"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2"/>
          <w:szCs w:val="22"/>
          <w:i w:val="1"/>
          <w:iCs w:val="1"/>
          <w:color w:val="auto"/>
        </w:rPr>
        <w:t xml:space="preserve">Related Definitions: </w:t>
      </w:r>
      <w:r>
        <w:rPr>
          <w:rFonts w:ascii="Times New Roman" w:cs="Times New Roman" w:eastAsia="Times New Roman" w:hAnsi="Times New Roman"/>
          <w:sz w:val="22"/>
          <w:szCs w:val="22"/>
          <w:color w:val="auto"/>
        </w:rPr>
        <w:t>N/A</w:t>
      </w:r>
    </w:p>
    <w:p>
      <w:pPr>
        <w:spacing w:after="0" w:line="1" w:lineRule="exact"/>
        <w:rPr>
          <w:sz w:val="20"/>
          <w:szCs w:val="20"/>
          <w:color w:val="auto"/>
        </w:rPr>
      </w:pPr>
    </w:p>
    <w:p>
      <w:pPr>
        <w:ind w:left="380"/>
        <w:spacing w:after="0"/>
        <w:rPr>
          <w:sz w:val="20"/>
          <w:szCs w:val="20"/>
          <w:color w:val="auto"/>
        </w:rPr>
      </w:pPr>
      <w:r>
        <w:rPr>
          <w:rFonts w:ascii="Times New Roman" w:cs="Times New Roman" w:eastAsia="Times New Roman" w:hAnsi="Times New Roman"/>
          <w:sz w:val="22"/>
          <w:szCs w:val="22"/>
          <w:i w:val="1"/>
          <w:iCs w:val="1"/>
          <w:color w:val="auto"/>
        </w:rPr>
        <w:t>Items:</w:t>
      </w:r>
    </w:p>
    <w:p>
      <w:pPr>
        <w:spacing w:after="0" w:line="251" w:lineRule="exact"/>
        <w:rPr>
          <w:sz w:val="20"/>
          <w:szCs w:val="20"/>
          <w:color w:val="auto"/>
        </w:rPr>
      </w:pPr>
    </w:p>
    <w:p>
      <w:pPr>
        <w:ind w:left="280" w:hanging="260"/>
        <w:spacing w:after="0"/>
        <w:tabs>
          <w:tab w:leader="none" w:pos="280" w:val="left"/>
        </w:tabs>
        <w:numPr>
          <w:ilvl w:val="0"/>
          <w:numId w:val="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3" w:lineRule="exact"/>
        <w:rPr>
          <w:rFonts w:ascii="Times New Roman" w:cs="Times New Roman" w:eastAsia="Times New Roman" w:hAnsi="Times New Roman"/>
          <w:sz w:val="22"/>
          <w:szCs w:val="22"/>
          <w:color w:val="auto"/>
        </w:rPr>
      </w:pPr>
    </w:p>
    <w:p>
      <w:pPr>
        <w:ind w:left="300" w:hanging="280"/>
        <w:spacing w:after="0"/>
        <w:tabs>
          <w:tab w:leader="none" w:pos="300" w:val="left"/>
        </w:tabs>
        <w:numPr>
          <w:ilvl w:val="0"/>
          <w:numId w:val="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2" w:lineRule="exact"/>
        <w:rPr>
          <w:rFonts w:ascii="Times New Roman" w:cs="Times New Roman" w:eastAsia="Times New Roman" w:hAnsi="Times New Roman"/>
          <w:sz w:val="22"/>
          <w:szCs w:val="22"/>
          <w:color w:val="auto"/>
        </w:rPr>
      </w:pPr>
    </w:p>
    <w:p>
      <w:pPr>
        <w:ind w:left="540" w:hanging="520"/>
        <w:spacing w:after="0"/>
        <w:tabs>
          <w:tab w:leader="none" w:pos="540" w:val="left"/>
        </w:tabs>
        <w:numPr>
          <w:ilvl w:val="0"/>
          <w:numId w:val="18"/>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“Software”  classified  as  mass  market</w:t>
      </w:r>
    </w:p>
    <w:p>
      <w:pPr>
        <w:ind w:left="20"/>
        <w:spacing w:after="0" w:line="271" w:lineRule="auto"/>
        <w:rPr>
          <w:sz w:val="20"/>
          <w:szCs w:val="20"/>
          <w:color w:val="auto"/>
        </w:rPr>
      </w:pPr>
      <w:r>
        <w:rPr>
          <w:rFonts w:ascii="Times New Roman" w:cs="Times New Roman" w:eastAsia="Times New Roman" w:hAnsi="Times New Roman"/>
          <w:sz w:val="22"/>
          <w:szCs w:val="22"/>
          <w:color w:val="auto"/>
        </w:rPr>
        <w:t>encryption software in accordance with § 740.17(b) of the EAR.</w:t>
      </w:r>
    </w:p>
    <w:p>
      <w:pPr>
        <w:spacing w:after="0" w:line="200" w:lineRule="exact"/>
        <w:rPr>
          <w:sz w:val="20"/>
          <w:szCs w:val="20"/>
          <w:color w:val="auto"/>
        </w:rPr>
      </w:pPr>
    </w:p>
    <w:p>
      <w:pPr>
        <w:spacing w:after="0" w:line="239" w:lineRule="exact"/>
        <w:rPr>
          <w:sz w:val="20"/>
          <w:szCs w:val="20"/>
          <w:color w:val="auto"/>
        </w:rPr>
      </w:pPr>
    </w:p>
    <w:p>
      <w:pPr>
        <w:ind w:left="1140"/>
        <w:spacing w:after="0"/>
        <w:rPr>
          <w:sz w:val="20"/>
          <w:szCs w:val="20"/>
          <w:color w:val="auto"/>
        </w:rPr>
      </w:pPr>
      <w:r>
        <w:rPr>
          <w:rFonts w:ascii="Times New Roman" w:cs="Times New Roman" w:eastAsia="Times New Roman" w:hAnsi="Times New Roman"/>
          <w:sz w:val="22"/>
          <w:szCs w:val="22"/>
          <w:b w:val="1"/>
          <w:bCs w:val="1"/>
          <w:color w:val="auto"/>
        </w:rPr>
        <w:t>E. “TECHNOLOGY”</w:t>
      </w:r>
    </w:p>
    <w:p>
      <w:pPr>
        <w:spacing w:after="0" w:line="200" w:lineRule="exact"/>
        <w:rPr>
          <w:sz w:val="20"/>
          <w:szCs w:val="20"/>
          <w:color w:val="auto"/>
        </w:rPr>
      </w:pPr>
    </w:p>
    <w:p>
      <w:pPr>
        <w:spacing w:after="0" w:line="305" w:lineRule="exact"/>
        <w:rPr>
          <w:sz w:val="20"/>
          <w:szCs w:val="20"/>
          <w:color w:val="auto"/>
        </w:rPr>
      </w:pPr>
    </w:p>
    <w:p>
      <w:pPr>
        <w:ind w:left="20"/>
        <w:spacing w:after="0" w:line="274" w:lineRule="auto"/>
        <w:rPr>
          <w:sz w:val="20"/>
          <w:szCs w:val="20"/>
          <w:color w:val="auto"/>
        </w:rPr>
      </w:pPr>
      <w:r>
        <w:rPr>
          <w:rFonts w:ascii="Times New Roman" w:cs="Times New Roman" w:eastAsia="Times New Roman" w:hAnsi="Times New Roman"/>
          <w:sz w:val="22"/>
          <w:szCs w:val="22"/>
          <w:b w:val="1"/>
          <w:bCs w:val="1"/>
          <w:color w:val="auto"/>
        </w:rPr>
        <w:t>5E002 “Technology” as follows (see List of Items Controlled).</w:t>
      </w:r>
    </w:p>
    <w:p>
      <w:pPr>
        <w:spacing w:after="0" w:line="182"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80"/>
        <w:spacing w:after="0"/>
        <w:tabs>
          <w:tab w:leader="none" w:pos="228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1"/>
          <w:szCs w:val="21"/>
          <w:color w:val="auto"/>
        </w:rPr>
        <w:t>NS, AT, EI</w:t>
      </w:r>
    </w:p>
    <w:p>
      <w:pPr>
        <w:spacing w:after="0" w:line="248" w:lineRule="exact"/>
        <w:rPr>
          <w:sz w:val="20"/>
          <w:szCs w:val="20"/>
          <w:color w:val="auto"/>
        </w:rPr>
      </w:pPr>
    </w:p>
    <w:tbl>
      <w:tblPr>
        <w:tblLayout w:type="fixed"/>
        <w:tblInd w:w="10" w:type="dxa"/>
        <w:tblCellMar>
          <w:top w:w="0" w:type="dxa"/>
          <w:left w:w="0" w:type="dxa"/>
          <w:bottom w:w="0" w:type="dxa"/>
          <w:right w:w="0" w:type="dxa"/>
        </w:tblCellMar>
      </w:tblPr>
      <w:tr>
        <w:trPr>
          <w:trHeight w:val="249"/>
        </w:trPr>
        <w:tc>
          <w:tcPr>
            <w:tcW w:w="2740" w:type="dxa"/>
            <w:vAlign w:val="bottom"/>
            <w:tcBorders>
              <w:top w:val="single" w:sz="8" w:color="auto"/>
              <w:left w:val="single" w:sz="8" w:color="auto"/>
              <w:right w:val="single" w:sz="8" w:color="auto"/>
            </w:tcBorders>
          </w:tcPr>
          <w:p>
            <w:pPr>
              <w:spacing w:after="0"/>
              <w:rPr>
                <w:sz w:val="21"/>
                <w:szCs w:val="21"/>
                <w:color w:val="auto"/>
              </w:rPr>
            </w:pPr>
          </w:p>
        </w:tc>
        <w:tc>
          <w:tcPr>
            <w:tcW w:w="1600" w:type="dxa"/>
            <w:vAlign w:val="bottom"/>
            <w:tcBorders>
              <w:top w:val="single" w:sz="8" w:color="auto"/>
              <w:right w:val="single" w:sz="8" w:color="auto"/>
            </w:tcBorders>
          </w:tcPr>
          <w:p>
            <w:pPr>
              <w:jc w:val="center"/>
              <w:spacing w:after="0" w:line="249" w:lineRule="exact"/>
              <w:rPr>
                <w:sz w:val="20"/>
                <w:szCs w:val="20"/>
                <w:color w:val="auto"/>
              </w:rPr>
            </w:pPr>
            <w:r>
              <w:rPr>
                <w:rFonts w:ascii="Times New Roman" w:cs="Times New Roman" w:eastAsia="Times New Roman" w:hAnsi="Times New Roman"/>
                <w:sz w:val="22"/>
                <w:szCs w:val="22"/>
                <w:i w:val="1"/>
                <w:iCs w:val="1"/>
                <w:color w:val="auto"/>
              </w:rPr>
              <w:t>Country Chart</w:t>
            </w:r>
          </w:p>
        </w:tc>
      </w:tr>
      <w:tr>
        <w:trPr>
          <w:trHeight w:val="253"/>
        </w:trPr>
        <w:tc>
          <w:tcPr>
            <w:tcW w:w="2740" w:type="dxa"/>
            <w:vAlign w:val="bottom"/>
            <w:tcBorders>
              <w:left w:val="single" w:sz="8" w:color="auto"/>
              <w:right w:val="single" w:sz="8" w:color="auto"/>
            </w:tcBorders>
          </w:tcPr>
          <w:p>
            <w:pPr>
              <w:ind w:left="900"/>
              <w:spacing w:after="0"/>
              <w:rPr>
                <w:sz w:val="20"/>
                <w:szCs w:val="20"/>
                <w:color w:val="auto"/>
              </w:rPr>
            </w:pPr>
            <w:r>
              <w:rPr>
                <w:rFonts w:ascii="Times New Roman" w:cs="Times New Roman" w:eastAsia="Times New Roman" w:hAnsi="Times New Roman"/>
                <w:sz w:val="22"/>
                <w:szCs w:val="22"/>
                <w:i w:val="1"/>
                <w:iCs w:val="1"/>
                <w:color w:val="auto"/>
              </w:rPr>
              <w:t>Control(s)</w:t>
            </w:r>
          </w:p>
        </w:tc>
        <w:tc>
          <w:tcPr>
            <w:tcW w:w="1600" w:type="dxa"/>
            <w:vAlign w:val="bottom"/>
            <w:tcBorders>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(See Supp. No.</w:t>
            </w:r>
          </w:p>
        </w:tc>
      </w:tr>
      <w:tr>
        <w:trPr>
          <w:trHeight w:val="272"/>
        </w:trPr>
        <w:tc>
          <w:tcPr>
            <w:tcW w:w="2740" w:type="dxa"/>
            <w:vAlign w:val="bottom"/>
            <w:tcBorders>
              <w:left w:val="single" w:sz="8" w:color="auto"/>
              <w:bottom w:val="single" w:sz="8" w:color="auto"/>
              <w:right w:val="single" w:sz="8" w:color="auto"/>
            </w:tcBorders>
          </w:tcPr>
          <w:p>
            <w:pPr>
              <w:spacing w:after="0"/>
              <w:rPr>
                <w:sz w:val="23"/>
                <w:szCs w:val="23"/>
                <w:color w:val="auto"/>
              </w:rPr>
            </w:pPr>
          </w:p>
        </w:tc>
        <w:tc>
          <w:tcPr>
            <w:tcW w:w="1600" w:type="dxa"/>
            <w:vAlign w:val="bottom"/>
            <w:tcBorders>
              <w:bottom w:val="single" w:sz="8" w:color="auto"/>
              <w:right w:val="single" w:sz="8" w:color="auto"/>
            </w:tcBorders>
          </w:tcPr>
          <w:p>
            <w:pPr>
              <w:jc w:val="center"/>
              <w:spacing w:after="0"/>
              <w:rPr>
                <w:sz w:val="20"/>
                <w:szCs w:val="20"/>
                <w:color w:val="auto"/>
              </w:rPr>
            </w:pPr>
            <w:r>
              <w:rPr>
                <w:rFonts w:ascii="Times New Roman" w:cs="Times New Roman" w:eastAsia="Times New Roman" w:hAnsi="Times New Roman"/>
                <w:sz w:val="22"/>
                <w:szCs w:val="22"/>
                <w:i w:val="1"/>
                <w:iCs w:val="1"/>
                <w:color w:val="auto"/>
              </w:rPr>
              <w:t>1 to part 738)</w:t>
            </w:r>
          </w:p>
        </w:tc>
      </w:tr>
      <w:tr>
        <w:trPr>
          <w:trHeight w:val="243"/>
        </w:trPr>
        <w:tc>
          <w:tcPr>
            <w:tcW w:w="2740" w:type="dxa"/>
            <w:vAlign w:val="bottom"/>
            <w:tcBorders>
              <w:left w:val="single" w:sz="8" w:color="auto"/>
              <w:bottom w:val="single" w:sz="8" w:color="auto"/>
              <w:right w:val="single" w:sz="8" w:color="auto"/>
            </w:tcBorders>
          </w:tcPr>
          <w:p>
            <w:pPr>
              <w:ind w:left="120"/>
              <w:spacing w:after="0" w:line="243" w:lineRule="exact"/>
              <w:rPr>
                <w:sz w:val="20"/>
                <w:szCs w:val="20"/>
                <w:color w:val="auto"/>
              </w:rPr>
            </w:pPr>
            <w:r>
              <w:rPr>
                <w:rFonts w:ascii="Times New Roman" w:cs="Times New Roman" w:eastAsia="Times New Roman" w:hAnsi="Times New Roman"/>
                <w:sz w:val="22"/>
                <w:szCs w:val="22"/>
                <w:color w:val="auto"/>
              </w:rPr>
              <w:t>NS applies to entire entry</w:t>
            </w:r>
          </w:p>
        </w:tc>
        <w:tc>
          <w:tcPr>
            <w:tcW w:w="1600" w:type="dxa"/>
            <w:vAlign w:val="bottom"/>
            <w:tcBorders>
              <w:bottom w:val="single" w:sz="8" w:color="auto"/>
              <w:right w:val="single" w:sz="8" w:color="auto"/>
            </w:tcBorders>
          </w:tcPr>
          <w:p>
            <w:pPr>
              <w:ind w:left="100"/>
              <w:spacing w:after="0" w:line="243" w:lineRule="exact"/>
              <w:rPr>
                <w:sz w:val="20"/>
                <w:szCs w:val="20"/>
                <w:color w:val="auto"/>
              </w:rPr>
            </w:pPr>
            <w:r>
              <w:rPr>
                <w:rFonts w:ascii="Times New Roman" w:cs="Times New Roman" w:eastAsia="Times New Roman" w:hAnsi="Times New Roman"/>
                <w:sz w:val="22"/>
                <w:szCs w:val="22"/>
                <w:color w:val="auto"/>
              </w:rPr>
              <w:t>NS Column 1</w:t>
            </w:r>
          </w:p>
        </w:tc>
      </w:tr>
    </w:tbl>
    <w:p>
      <w:pPr>
        <w:spacing w:after="0" w:line="227" w:lineRule="exact"/>
        <w:rPr>
          <w:sz w:val="20"/>
          <w:szCs w:val="20"/>
          <w:color w:val="auto"/>
        </w:rPr>
      </w:pPr>
    </w:p>
    <w:p>
      <w:pPr>
        <w:sectPr>
          <w:pgSz w:w="12240" w:h="15840" w:orient="portrait"/>
          <w:cols w:equalWidth="0" w:num="2">
            <w:col w:w="4320" w:space="700"/>
            <w:col w:w="4340"/>
          </w:cols>
          <w:pgMar w:left="1440" w:top="1422" w:right="1440" w:bottom="892" w:gutter="0" w:footer="0" w:header="0"/>
          <w:type w:val="continuous"/>
        </w:sectPr>
      </w:pPr>
    </w:p>
    <w:p>
      <w:pPr>
        <w:spacing w:after="0" w:line="170"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60"/>
          </w:cols>
          <w:pgMar w:left="1440" w:top="1422" w:right="1440" w:bottom="892" w:gutter="0" w:footer="0" w:header="0"/>
          <w:type w:val="continuous"/>
        </w:sectPr>
      </w:pPr>
    </w:p>
    <w:bookmarkStart w:id="10" w:name="page11"/>
    <w:bookmarkEnd w:id="10"/>
    <w:p>
      <w:pPr>
        <w:ind w:left="20"/>
        <w:spacing w:after="0"/>
        <w:tabs>
          <w:tab w:leader="none" w:pos="3560" w:val="left"/>
          <w:tab w:leader="none" w:pos="656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Info. Security—page 11</w:t>
      </w:r>
    </w:p>
    <w:p>
      <w:pPr>
        <w:sectPr>
          <w:pgSz w:w="12240" w:h="15840" w:orient="portrait"/>
          <w:cols w:equalWidth="0" w:num="1">
            <w:col w:w="9380"/>
          </w:cols>
          <w:pgMar w:left="1420" w:top="1422" w:right="1440" w:bottom="892" w:gutter="0" w:footer="0" w:header="0"/>
        </w:sectPr>
      </w:pPr>
    </w:p>
    <w:p>
      <w:pPr>
        <w:spacing w:after="0" w:line="204" w:lineRule="exact"/>
        <w:rPr>
          <w:sz w:val="20"/>
          <w:szCs w:val="20"/>
          <w:color w:val="auto"/>
        </w:rPr>
      </w:pPr>
    </w:p>
    <w:tbl>
      <w:tblPr>
        <w:tblLayout w:type="fixed"/>
        <w:tblInd w:w="10" w:type="dxa"/>
        <w:tblCellMar>
          <w:top w:w="0" w:type="dxa"/>
          <w:left w:w="0" w:type="dxa"/>
          <w:bottom w:w="0" w:type="dxa"/>
          <w:right w:w="0" w:type="dxa"/>
        </w:tblCellMar>
      </w:tblPr>
      <w:tr>
        <w:trPr>
          <w:trHeight w:val="269"/>
        </w:trPr>
        <w:tc>
          <w:tcPr>
            <w:tcW w:w="2740" w:type="dxa"/>
            <w:vAlign w:val="bottom"/>
            <w:tcBorders>
              <w:top w:val="single" w:sz="8" w:color="auto"/>
              <w:left w:val="single" w:sz="8" w:color="auto"/>
              <w:bottom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AT applies to entire entry</w:t>
            </w:r>
          </w:p>
        </w:tc>
        <w:tc>
          <w:tcPr>
            <w:tcW w:w="1600" w:type="dxa"/>
            <w:vAlign w:val="bottom"/>
            <w:tcBorders>
              <w:top w:val="single" w:sz="8" w:color="auto"/>
              <w:bottom w:val="single" w:sz="8" w:color="auto"/>
              <w:right w:val="single" w:sz="8" w:color="auto"/>
            </w:tcBorders>
            <w:gridSpan w:val="3"/>
          </w:tcPr>
          <w:p>
            <w:pPr>
              <w:ind w:left="100"/>
              <w:spacing w:after="0"/>
              <w:rPr>
                <w:sz w:val="20"/>
                <w:szCs w:val="20"/>
                <w:color w:val="auto"/>
              </w:rPr>
            </w:pPr>
            <w:r>
              <w:rPr>
                <w:rFonts w:ascii="Times New Roman" w:cs="Times New Roman" w:eastAsia="Times New Roman" w:hAnsi="Times New Roman"/>
                <w:sz w:val="22"/>
                <w:szCs w:val="22"/>
                <w:color w:val="auto"/>
              </w:rPr>
              <w:t>AT Column 1</w:t>
            </w:r>
          </w:p>
        </w:tc>
      </w:tr>
      <w:tr>
        <w:trPr>
          <w:trHeight w:val="227"/>
        </w:trPr>
        <w:tc>
          <w:tcPr>
            <w:tcW w:w="2740" w:type="dxa"/>
            <w:vAlign w:val="bottom"/>
            <w:tcBorders>
              <w:left w:val="single" w:sz="8" w:color="auto"/>
              <w:right w:val="single" w:sz="8" w:color="auto"/>
            </w:tcBorders>
            <w:gridSpan w:val="4"/>
          </w:tcPr>
          <w:p>
            <w:pPr>
              <w:ind w:left="120"/>
              <w:spacing w:after="0" w:line="227" w:lineRule="exact"/>
              <w:rPr>
                <w:sz w:val="20"/>
                <w:szCs w:val="20"/>
                <w:color w:val="auto"/>
              </w:rPr>
            </w:pPr>
            <w:r>
              <w:rPr>
                <w:rFonts w:ascii="Times New Roman" w:cs="Times New Roman" w:eastAsia="Times New Roman" w:hAnsi="Times New Roman"/>
                <w:sz w:val="22"/>
                <w:szCs w:val="22"/>
                <w:color w:val="auto"/>
              </w:rPr>
              <w:t>EI applies to “technology”</w:t>
            </w:r>
          </w:p>
        </w:tc>
        <w:tc>
          <w:tcPr>
            <w:tcW w:w="780" w:type="dxa"/>
            <w:vAlign w:val="bottom"/>
          </w:tcPr>
          <w:p>
            <w:pPr>
              <w:ind w:left="100"/>
              <w:spacing w:after="0" w:line="227" w:lineRule="exact"/>
              <w:rPr>
                <w:sz w:val="20"/>
                <w:szCs w:val="20"/>
                <w:color w:val="auto"/>
              </w:rPr>
            </w:pPr>
            <w:r>
              <w:rPr>
                <w:rFonts w:ascii="Times New Roman" w:cs="Times New Roman" w:eastAsia="Times New Roman" w:hAnsi="Times New Roman"/>
                <w:sz w:val="22"/>
                <w:szCs w:val="22"/>
                <w:color w:val="auto"/>
              </w:rPr>
              <w:t>Refer</w:t>
            </w:r>
          </w:p>
        </w:tc>
        <w:tc>
          <w:tcPr>
            <w:tcW w:w="360" w:type="dxa"/>
            <w:vAlign w:val="bottom"/>
          </w:tcPr>
          <w:p>
            <w:pPr>
              <w:ind w:left="100"/>
              <w:spacing w:after="0" w:line="227" w:lineRule="exact"/>
              <w:rPr>
                <w:sz w:val="20"/>
                <w:szCs w:val="20"/>
                <w:color w:val="auto"/>
              </w:rPr>
            </w:pPr>
            <w:r>
              <w:rPr>
                <w:rFonts w:ascii="Times New Roman" w:cs="Times New Roman" w:eastAsia="Times New Roman" w:hAnsi="Times New Roman"/>
                <w:sz w:val="22"/>
                <w:szCs w:val="22"/>
                <w:color w:val="auto"/>
              </w:rPr>
              <w:t>to</w:t>
            </w:r>
          </w:p>
        </w:tc>
        <w:tc>
          <w:tcPr>
            <w:tcW w:w="460" w:type="dxa"/>
            <w:vAlign w:val="bottom"/>
            <w:tcBorders>
              <w:right w:val="single" w:sz="8" w:color="auto"/>
            </w:tcBorders>
          </w:tcPr>
          <w:p>
            <w:pPr>
              <w:jc w:val="right"/>
              <w:ind w:right="10"/>
              <w:spacing w:after="0" w:line="227" w:lineRule="exact"/>
              <w:rPr>
                <w:sz w:val="20"/>
                <w:szCs w:val="20"/>
                <w:color w:val="auto"/>
              </w:rPr>
            </w:pPr>
            <w:r>
              <w:rPr>
                <w:rFonts w:ascii="Times New Roman" w:cs="Times New Roman" w:eastAsia="Times New Roman" w:hAnsi="Times New Roman"/>
                <w:sz w:val="22"/>
                <w:szCs w:val="22"/>
                <w:color w:val="auto"/>
              </w:rPr>
              <w:t>§</w:t>
            </w: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in 5E002.a for commodities</w:t>
            </w:r>
          </w:p>
        </w:tc>
        <w:tc>
          <w:tcPr>
            <w:tcW w:w="78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742.15</w:t>
            </w:r>
          </w:p>
        </w:tc>
        <w:tc>
          <w:tcPr>
            <w:tcW w:w="360" w:type="dxa"/>
            <w:vAlign w:val="bottom"/>
          </w:tcPr>
          <w:p>
            <w:pPr>
              <w:ind w:left="80"/>
              <w:spacing w:after="0"/>
              <w:rPr>
                <w:sz w:val="20"/>
                <w:szCs w:val="20"/>
                <w:color w:val="auto"/>
              </w:rPr>
            </w:pPr>
            <w:r>
              <w:rPr>
                <w:rFonts w:ascii="Times New Roman" w:cs="Times New Roman" w:eastAsia="Times New Roman" w:hAnsi="Times New Roman"/>
                <w:sz w:val="22"/>
                <w:szCs w:val="22"/>
                <w:color w:val="auto"/>
              </w:rPr>
              <w:t>of</w:t>
            </w:r>
          </w:p>
        </w:tc>
        <w:tc>
          <w:tcPr>
            <w:tcW w:w="460" w:type="dxa"/>
            <w:vAlign w:val="bottom"/>
            <w:tcBorders>
              <w:right w:val="single" w:sz="8" w:color="auto"/>
            </w:tcBorders>
          </w:tcPr>
          <w:p>
            <w:pPr>
              <w:jc w:val="right"/>
              <w:ind w:right="10"/>
              <w:spacing w:after="0"/>
              <w:rPr>
                <w:sz w:val="20"/>
                <w:szCs w:val="20"/>
                <w:color w:val="auto"/>
              </w:rPr>
            </w:pPr>
            <w:r>
              <w:rPr>
                <w:rFonts w:ascii="Times New Roman" w:cs="Times New Roman" w:eastAsia="Times New Roman" w:hAnsi="Times New Roman"/>
                <w:sz w:val="22"/>
                <w:szCs w:val="22"/>
                <w:color w:val="auto"/>
              </w:rPr>
              <w:t>the</w:t>
            </w:r>
          </w:p>
        </w:tc>
      </w:tr>
      <w:tr>
        <w:trPr>
          <w:trHeight w:val="253"/>
        </w:trPr>
        <w:tc>
          <w:tcPr>
            <w:tcW w:w="2740" w:type="dxa"/>
            <w:vAlign w:val="bottom"/>
            <w:tcBorders>
              <w:left w:val="single" w:sz="8" w:color="auto"/>
              <w:right w:val="single" w:sz="8" w:color="auto"/>
            </w:tcBorders>
            <w:gridSpan w:val="4"/>
          </w:tcPr>
          <w:p>
            <w:pPr>
              <w:ind w:left="120"/>
              <w:spacing w:after="0"/>
              <w:rPr>
                <w:sz w:val="20"/>
                <w:szCs w:val="20"/>
                <w:color w:val="auto"/>
              </w:rPr>
            </w:pPr>
            <w:r>
              <w:rPr>
                <w:rFonts w:ascii="Times New Roman" w:cs="Times New Roman" w:eastAsia="Times New Roman" w:hAnsi="Times New Roman"/>
                <w:sz w:val="22"/>
                <w:szCs w:val="22"/>
                <w:color w:val="auto"/>
              </w:rPr>
              <w:t>or “software” controlled for</w:t>
            </w:r>
          </w:p>
        </w:tc>
        <w:tc>
          <w:tcPr>
            <w:tcW w:w="780" w:type="dxa"/>
            <w:vAlign w:val="bottom"/>
          </w:tcPr>
          <w:p>
            <w:pPr>
              <w:ind w:left="100"/>
              <w:spacing w:after="0"/>
              <w:rPr>
                <w:sz w:val="20"/>
                <w:szCs w:val="20"/>
                <w:color w:val="auto"/>
              </w:rPr>
            </w:pPr>
            <w:r>
              <w:rPr>
                <w:rFonts w:ascii="Times New Roman" w:cs="Times New Roman" w:eastAsia="Times New Roman" w:hAnsi="Times New Roman"/>
                <w:sz w:val="22"/>
                <w:szCs w:val="22"/>
                <w:color w:val="auto"/>
              </w:rPr>
              <w:t>EAR.</w:t>
            </w:r>
          </w:p>
        </w:tc>
        <w:tc>
          <w:tcPr>
            <w:tcW w:w="360" w:type="dxa"/>
            <w:vAlign w:val="bottom"/>
          </w:tcPr>
          <w:p>
            <w:pPr>
              <w:spacing w:after="0"/>
              <w:rPr>
                <w:sz w:val="22"/>
                <w:szCs w:val="22"/>
                <w:color w:val="auto"/>
              </w:rPr>
            </w:pPr>
          </w:p>
        </w:tc>
        <w:tc>
          <w:tcPr>
            <w:tcW w:w="460" w:type="dxa"/>
            <w:vAlign w:val="bottom"/>
            <w:tcBorders>
              <w:right w:val="single" w:sz="8" w:color="auto"/>
            </w:tcBorders>
          </w:tcPr>
          <w:p>
            <w:pPr>
              <w:spacing w:after="0"/>
              <w:rPr>
                <w:sz w:val="22"/>
                <w:szCs w:val="22"/>
                <w:color w:val="auto"/>
              </w:rPr>
            </w:pPr>
          </w:p>
        </w:tc>
      </w:tr>
      <w:tr>
        <w:trPr>
          <w:trHeight w:val="253"/>
        </w:trPr>
        <w:tc>
          <w:tcPr>
            <w:tcW w:w="52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EI</w:t>
            </w:r>
          </w:p>
        </w:tc>
        <w:tc>
          <w:tcPr>
            <w:tcW w:w="1360" w:type="dxa"/>
            <w:vAlign w:val="bottom"/>
            <w:gridSpan w:val="2"/>
          </w:tcPr>
          <w:p>
            <w:pPr>
              <w:ind w:left="80"/>
              <w:spacing w:after="0"/>
              <w:rPr>
                <w:sz w:val="20"/>
                <w:szCs w:val="20"/>
                <w:color w:val="auto"/>
              </w:rPr>
            </w:pPr>
            <w:r>
              <w:rPr>
                <w:rFonts w:ascii="Times New Roman" w:cs="Times New Roman" w:eastAsia="Times New Roman" w:hAnsi="Times New Roman"/>
                <w:sz w:val="22"/>
                <w:szCs w:val="22"/>
                <w:color w:val="auto"/>
              </w:rPr>
              <w:t>reasons   in</w:t>
            </w:r>
          </w:p>
        </w:tc>
        <w:tc>
          <w:tcPr>
            <w:tcW w:w="860" w:type="dxa"/>
            <w:vAlign w:val="bottom"/>
            <w:tcBorders>
              <w:right w:val="single" w:sz="8" w:color="auto"/>
            </w:tcBorders>
          </w:tcPr>
          <w:p>
            <w:pPr>
              <w:jc w:val="right"/>
              <w:ind w:right="30"/>
              <w:spacing w:after="0"/>
              <w:rPr>
                <w:sz w:val="20"/>
                <w:szCs w:val="20"/>
                <w:color w:val="auto"/>
              </w:rPr>
            </w:pPr>
            <w:r>
              <w:rPr>
                <w:rFonts w:ascii="Times New Roman" w:cs="Times New Roman" w:eastAsia="Times New Roman" w:hAnsi="Times New Roman"/>
                <w:sz w:val="22"/>
                <w:szCs w:val="22"/>
                <w:color w:val="auto"/>
              </w:rPr>
              <w:t>ECCNs</w:t>
            </w:r>
          </w:p>
        </w:tc>
        <w:tc>
          <w:tcPr>
            <w:tcW w:w="780" w:type="dxa"/>
            <w:vAlign w:val="bottom"/>
          </w:tcPr>
          <w:p>
            <w:pPr>
              <w:spacing w:after="0"/>
              <w:rPr>
                <w:sz w:val="22"/>
                <w:szCs w:val="22"/>
                <w:color w:val="auto"/>
              </w:rPr>
            </w:pPr>
          </w:p>
        </w:tc>
        <w:tc>
          <w:tcPr>
            <w:tcW w:w="360" w:type="dxa"/>
            <w:vAlign w:val="bottom"/>
          </w:tcPr>
          <w:p>
            <w:pPr>
              <w:spacing w:after="0"/>
              <w:rPr>
                <w:sz w:val="22"/>
                <w:szCs w:val="22"/>
                <w:color w:val="auto"/>
              </w:rPr>
            </w:pPr>
          </w:p>
        </w:tc>
        <w:tc>
          <w:tcPr>
            <w:tcW w:w="460" w:type="dxa"/>
            <w:vAlign w:val="bottom"/>
            <w:tcBorders>
              <w:right w:val="single" w:sz="8" w:color="auto"/>
            </w:tcBorders>
          </w:tcPr>
          <w:p>
            <w:pPr>
              <w:spacing w:after="0"/>
              <w:rPr>
                <w:sz w:val="22"/>
                <w:szCs w:val="22"/>
                <w:color w:val="auto"/>
              </w:rPr>
            </w:pPr>
          </w:p>
        </w:tc>
      </w:tr>
      <w:tr>
        <w:trPr>
          <w:trHeight w:val="252"/>
        </w:trPr>
        <w:tc>
          <w:tcPr>
            <w:tcW w:w="880" w:type="dxa"/>
            <w:vAlign w:val="bottom"/>
            <w:tcBorders>
              <w:left w:val="single" w:sz="8" w:color="auto"/>
            </w:tcBorders>
            <w:gridSpan w:val="2"/>
          </w:tcPr>
          <w:p>
            <w:pPr>
              <w:ind w:left="120"/>
              <w:spacing w:after="0"/>
              <w:rPr>
                <w:sz w:val="20"/>
                <w:szCs w:val="20"/>
                <w:color w:val="auto"/>
              </w:rPr>
            </w:pPr>
            <w:r>
              <w:rPr>
                <w:rFonts w:ascii="Times New Roman" w:cs="Times New Roman" w:eastAsia="Times New Roman" w:hAnsi="Times New Roman"/>
                <w:sz w:val="22"/>
                <w:szCs w:val="22"/>
                <w:color w:val="auto"/>
              </w:rPr>
              <w:t>5A002,</w:t>
            </w:r>
          </w:p>
        </w:tc>
        <w:tc>
          <w:tcPr>
            <w:tcW w:w="1000" w:type="dxa"/>
            <w:vAlign w:val="bottom"/>
          </w:tcPr>
          <w:p>
            <w:pPr>
              <w:jc w:val="center"/>
              <w:spacing w:after="0"/>
              <w:rPr>
                <w:sz w:val="20"/>
                <w:szCs w:val="20"/>
                <w:color w:val="auto"/>
              </w:rPr>
            </w:pPr>
            <w:r>
              <w:rPr>
                <w:rFonts w:ascii="Times New Roman" w:cs="Times New Roman" w:eastAsia="Times New Roman" w:hAnsi="Times New Roman"/>
                <w:sz w:val="22"/>
                <w:szCs w:val="22"/>
                <w:color w:val="auto"/>
              </w:rPr>
              <w:t>5A004 or</w:t>
            </w:r>
          </w:p>
        </w:tc>
        <w:tc>
          <w:tcPr>
            <w:tcW w:w="860" w:type="dxa"/>
            <w:vAlign w:val="bottom"/>
            <w:tcBorders>
              <w:right w:val="single" w:sz="8" w:color="auto"/>
            </w:tcBorders>
          </w:tcPr>
          <w:p>
            <w:pPr>
              <w:jc w:val="right"/>
              <w:ind w:right="30"/>
              <w:spacing w:after="0"/>
              <w:rPr>
                <w:sz w:val="20"/>
                <w:szCs w:val="20"/>
                <w:color w:val="auto"/>
              </w:rPr>
            </w:pPr>
            <w:r>
              <w:rPr>
                <w:rFonts w:ascii="Times New Roman" w:cs="Times New Roman" w:eastAsia="Times New Roman" w:hAnsi="Times New Roman"/>
                <w:sz w:val="22"/>
                <w:szCs w:val="22"/>
                <w:color w:val="auto"/>
              </w:rPr>
              <w:t>5D002,</w:t>
            </w:r>
          </w:p>
        </w:tc>
        <w:tc>
          <w:tcPr>
            <w:tcW w:w="780" w:type="dxa"/>
            <w:vAlign w:val="bottom"/>
          </w:tcPr>
          <w:p>
            <w:pPr>
              <w:spacing w:after="0"/>
              <w:rPr>
                <w:sz w:val="21"/>
                <w:szCs w:val="21"/>
                <w:color w:val="auto"/>
              </w:rPr>
            </w:pPr>
          </w:p>
        </w:tc>
        <w:tc>
          <w:tcPr>
            <w:tcW w:w="360" w:type="dxa"/>
            <w:vAlign w:val="bottom"/>
          </w:tcPr>
          <w:p>
            <w:pPr>
              <w:spacing w:after="0"/>
              <w:rPr>
                <w:sz w:val="21"/>
                <w:szCs w:val="21"/>
                <w:color w:val="auto"/>
              </w:rPr>
            </w:pPr>
          </w:p>
        </w:tc>
        <w:tc>
          <w:tcPr>
            <w:tcW w:w="460" w:type="dxa"/>
            <w:vAlign w:val="bottom"/>
            <w:tcBorders>
              <w:right w:val="single" w:sz="8" w:color="auto"/>
            </w:tcBorders>
          </w:tcPr>
          <w:p>
            <w:pPr>
              <w:spacing w:after="0"/>
              <w:rPr>
                <w:sz w:val="21"/>
                <w:szCs w:val="21"/>
                <w:color w:val="auto"/>
              </w:rPr>
            </w:pPr>
          </w:p>
        </w:tc>
      </w:tr>
      <w:tr>
        <w:trPr>
          <w:trHeight w:val="253"/>
        </w:trPr>
        <w:tc>
          <w:tcPr>
            <w:tcW w:w="520" w:type="dxa"/>
            <w:vAlign w:val="bottom"/>
            <w:tcBorders>
              <w:left w:val="single" w:sz="8" w:color="auto"/>
            </w:tcBorders>
          </w:tcPr>
          <w:p>
            <w:pPr>
              <w:ind w:left="120"/>
              <w:spacing w:after="0"/>
              <w:rPr>
                <w:sz w:val="20"/>
                <w:szCs w:val="20"/>
                <w:color w:val="auto"/>
              </w:rPr>
            </w:pPr>
            <w:r>
              <w:rPr>
                <w:rFonts w:ascii="Times New Roman" w:cs="Times New Roman" w:eastAsia="Times New Roman" w:hAnsi="Times New Roman"/>
                <w:sz w:val="22"/>
                <w:szCs w:val="22"/>
                <w:color w:val="auto"/>
              </w:rPr>
              <w:t>and</w:t>
            </w:r>
          </w:p>
        </w:tc>
        <w:tc>
          <w:tcPr>
            <w:tcW w:w="360" w:type="dxa"/>
            <w:vAlign w:val="bottom"/>
          </w:tcPr>
          <w:p>
            <w:pPr>
              <w:ind w:left="140"/>
              <w:spacing w:after="0"/>
              <w:rPr>
                <w:sz w:val="20"/>
                <w:szCs w:val="20"/>
                <w:color w:val="auto"/>
              </w:rPr>
            </w:pPr>
            <w:r>
              <w:rPr>
                <w:rFonts w:ascii="Times New Roman" w:cs="Times New Roman" w:eastAsia="Times New Roman" w:hAnsi="Times New Roman"/>
                <w:sz w:val="22"/>
                <w:szCs w:val="22"/>
                <w:color w:val="auto"/>
              </w:rPr>
              <w:t>to</w:t>
            </w:r>
          </w:p>
        </w:tc>
        <w:tc>
          <w:tcPr>
            <w:tcW w:w="1860" w:type="dxa"/>
            <w:vAlign w:val="bottom"/>
            <w:tcBorders>
              <w:right w:val="single" w:sz="8" w:color="auto"/>
            </w:tcBorders>
            <w:gridSpan w:val="2"/>
          </w:tcPr>
          <w:p>
            <w:pPr>
              <w:jc w:val="right"/>
              <w:ind w:right="30"/>
              <w:spacing w:after="0"/>
              <w:rPr>
                <w:sz w:val="20"/>
                <w:szCs w:val="20"/>
                <w:color w:val="auto"/>
              </w:rPr>
            </w:pPr>
            <w:r>
              <w:rPr>
                <w:rFonts w:ascii="Times New Roman" w:cs="Times New Roman" w:eastAsia="Times New Roman" w:hAnsi="Times New Roman"/>
                <w:sz w:val="22"/>
                <w:szCs w:val="22"/>
                <w:color w:val="auto"/>
              </w:rPr>
              <w:t>“technology”  in</w:t>
            </w:r>
          </w:p>
        </w:tc>
        <w:tc>
          <w:tcPr>
            <w:tcW w:w="780" w:type="dxa"/>
            <w:vAlign w:val="bottom"/>
          </w:tcPr>
          <w:p>
            <w:pPr>
              <w:spacing w:after="0"/>
              <w:rPr>
                <w:sz w:val="22"/>
                <w:szCs w:val="22"/>
                <w:color w:val="auto"/>
              </w:rPr>
            </w:pPr>
          </w:p>
        </w:tc>
        <w:tc>
          <w:tcPr>
            <w:tcW w:w="360" w:type="dxa"/>
            <w:vAlign w:val="bottom"/>
          </w:tcPr>
          <w:p>
            <w:pPr>
              <w:spacing w:after="0"/>
              <w:rPr>
                <w:sz w:val="22"/>
                <w:szCs w:val="22"/>
                <w:color w:val="auto"/>
              </w:rPr>
            </w:pPr>
          </w:p>
        </w:tc>
        <w:tc>
          <w:tcPr>
            <w:tcW w:w="460" w:type="dxa"/>
            <w:vAlign w:val="bottom"/>
            <w:tcBorders>
              <w:right w:val="single" w:sz="8" w:color="auto"/>
            </w:tcBorders>
          </w:tcPr>
          <w:p>
            <w:pPr>
              <w:spacing w:after="0"/>
              <w:rPr>
                <w:sz w:val="22"/>
                <w:szCs w:val="22"/>
                <w:color w:val="auto"/>
              </w:rPr>
            </w:pPr>
          </w:p>
        </w:tc>
      </w:tr>
      <w:tr>
        <w:trPr>
          <w:trHeight w:val="270"/>
        </w:trPr>
        <w:tc>
          <w:tcPr>
            <w:tcW w:w="1880" w:type="dxa"/>
            <w:vAlign w:val="bottom"/>
            <w:tcBorders>
              <w:left w:val="single" w:sz="8" w:color="auto"/>
              <w:bottom w:val="single" w:sz="8" w:color="auto"/>
            </w:tcBorders>
            <w:gridSpan w:val="3"/>
          </w:tcPr>
          <w:p>
            <w:pPr>
              <w:ind w:left="120"/>
              <w:spacing w:after="0"/>
              <w:rPr>
                <w:sz w:val="20"/>
                <w:szCs w:val="20"/>
                <w:color w:val="auto"/>
              </w:rPr>
            </w:pPr>
            <w:r>
              <w:rPr>
                <w:rFonts w:ascii="Times New Roman" w:cs="Times New Roman" w:eastAsia="Times New Roman" w:hAnsi="Times New Roman"/>
                <w:sz w:val="22"/>
                <w:szCs w:val="22"/>
                <w:color w:val="auto"/>
              </w:rPr>
              <w:t>5E002.b.</w:t>
            </w:r>
          </w:p>
        </w:tc>
        <w:tc>
          <w:tcPr>
            <w:tcW w:w="860" w:type="dxa"/>
            <w:vAlign w:val="bottom"/>
            <w:tcBorders>
              <w:bottom w:val="single" w:sz="8" w:color="auto"/>
              <w:right w:val="single" w:sz="8" w:color="auto"/>
            </w:tcBorders>
          </w:tcPr>
          <w:p>
            <w:pPr>
              <w:spacing w:after="0"/>
              <w:rPr>
                <w:sz w:val="23"/>
                <w:szCs w:val="23"/>
                <w:color w:val="auto"/>
              </w:rPr>
            </w:pPr>
          </w:p>
        </w:tc>
        <w:tc>
          <w:tcPr>
            <w:tcW w:w="780" w:type="dxa"/>
            <w:vAlign w:val="bottom"/>
            <w:tcBorders>
              <w:bottom w:val="single" w:sz="8" w:color="auto"/>
            </w:tcBorders>
          </w:tcPr>
          <w:p>
            <w:pPr>
              <w:spacing w:after="0"/>
              <w:rPr>
                <w:sz w:val="23"/>
                <w:szCs w:val="23"/>
                <w:color w:val="auto"/>
              </w:rPr>
            </w:pPr>
          </w:p>
        </w:tc>
        <w:tc>
          <w:tcPr>
            <w:tcW w:w="360" w:type="dxa"/>
            <w:vAlign w:val="bottom"/>
            <w:tcBorders>
              <w:bottom w:val="single" w:sz="8" w:color="auto"/>
            </w:tcBorders>
          </w:tcPr>
          <w:p>
            <w:pPr>
              <w:spacing w:after="0"/>
              <w:rPr>
                <w:sz w:val="23"/>
                <w:szCs w:val="23"/>
                <w:color w:val="auto"/>
              </w:rPr>
            </w:pPr>
          </w:p>
        </w:tc>
        <w:tc>
          <w:tcPr>
            <w:tcW w:w="460" w:type="dxa"/>
            <w:vAlign w:val="bottom"/>
            <w:tcBorders>
              <w:bottom w:val="single" w:sz="8" w:color="auto"/>
              <w:right w:val="single" w:sz="8" w:color="auto"/>
            </w:tcBorders>
          </w:tcPr>
          <w:p>
            <w:pPr>
              <w:spacing w:after="0"/>
              <w:rPr>
                <w:sz w:val="23"/>
                <w:szCs w:val="23"/>
                <w:color w:val="auto"/>
              </w:rPr>
            </w:pPr>
          </w:p>
        </w:tc>
      </w:tr>
      <w:tr>
        <w:trPr>
          <w:trHeight w:val="513"/>
        </w:trPr>
        <w:tc>
          <w:tcPr>
            <w:tcW w:w="2740" w:type="dxa"/>
            <w:vAlign w:val="bottom"/>
            <w:gridSpan w:val="4"/>
          </w:tcPr>
          <w:p>
            <w:pPr>
              <w:jc w:val="center"/>
              <w:spacing w:after="0"/>
              <w:rPr>
                <w:sz w:val="20"/>
                <w:szCs w:val="20"/>
                <w:color w:val="auto"/>
              </w:rPr>
            </w:pPr>
            <w:r>
              <w:rPr>
                <w:rFonts w:ascii="Times New Roman" w:cs="Times New Roman" w:eastAsia="Times New Roman" w:hAnsi="Times New Roman"/>
                <w:sz w:val="22"/>
                <w:szCs w:val="22"/>
                <w:b w:val="1"/>
                <w:bCs w:val="1"/>
                <w:i w:val="1"/>
                <w:iCs w:val="1"/>
                <w:color w:val="auto"/>
              </w:rPr>
              <w:t>License Requirements Notes</w:t>
            </w:r>
            <w:r>
              <w:rPr>
                <w:rFonts w:ascii="Times New Roman" w:cs="Times New Roman" w:eastAsia="Times New Roman" w:hAnsi="Times New Roman"/>
                <w:sz w:val="22"/>
                <w:szCs w:val="22"/>
                <w:i w:val="1"/>
                <w:iCs w:val="1"/>
                <w:color w:val="auto"/>
              </w:rPr>
              <w:t>:</w:t>
            </w:r>
          </w:p>
        </w:tc>
        <w:tc>
          <w:tcPr>
            <w:tcW w:w="780" w:type="dxa"/>
            <w:vAlign w:val="bottom"/>
          </w:tcPr>
          <w:p>
            <w:pPr>
              <w:spacing w:after="0"/>
              <w:rPr>
                <w:sz w:val="24"/>
                <w:szCs w:val="24"/>
                <w:color w:val="auto"/>
              </w:rPr>
            </w:pPr>
          </w:p>
        </w:tc>
        <w:tc>
          <w:tcPr>
            <w:tcW w:w="360" w:type="dxa"/>
            <w:vAlign w:val="bottom"/>
          </w:tcPr>
          <w:p>
            <w:pPr>
              <w:spacing w:after="0"/>
              <w:rPr>
                <w:sz w:val="24"/>
                <w:szCs w:val="24"/>
                <w:color w:val="auto"/>
              </w:rPr>
            </w:pPr>
          </w:p>
        </w:tc>
        <w:tc>
          <w:tcPr>
            <w:tcW w:w="460" w:type="dxa"/>
            <w:vAlign w:val="bottom"/>
          </w:tcPr>
          <w:p>
            <w:pPr>
              <w:spacing w:after="0"/>
              <w:rPr>
                <w:sz w:val="24"/>
                <w:szCs w:val="24"/>
                <w:color w:val="auto"/>
              </w:rPr>
            </w:pPr>
          </w:p>
        </w:tc>
      </w:tr>
    </w:tbl>
    <w:p>
      <w:pPr>
        <w:spacing w:after="0" w:line="217" w:lineRule="exact"/>
        <w:rPr>
          <w:sz w:val="20"/>
          <w:szCs w:val="20"/>
          <w:color w:val="auto"/>
        </w:rPr>
      </w:pPr>
    </w:p>
    <w:p>
      <w:pPr>
        <w:jc w:val="both"/>
        <w:ind w:left="20"/>
        <w:spacing w:after="0"/>
        <w:rPr>
          <w:sz w:val="20"/>
          <w:szCs w:val="20"/>
          <w:color w:val="auto"/>
        </w:rPr>
      </w:pPr>
      <w:r>
        <w:rPr>
          <w:rFonts w:ascii="Times New Roman" w:cs="Times New Roman" w:eastAsia="Times New Roman" w:hAnsi="Times New Roman"/>
          <w:sz w:val="22"/>
          <w:szCs w:val="22"/>
          <w:i w:val="1"/>
          <w:iCs w:val="1"/>
          <w:color w:val="auto"/>
        </w:rPr>
        <w:t>(1) See § 744.17 of the EAR for additional license requirements for microprocessors having a processing speed of 5 GFLOPS or more and an arithmetic logic unit with an access width of 32 bit or more, including those</w:t>
      </w:r>
    </w:p>
    <w:p>
      <w:pPr>
        <w:spacing w:after="0" w:line="4" w:lineRule="exact"/>
        <w:rPr>
          <w:sz w:val="20"/>
          <w:szCs w:val="20"/>
          <w:color w:val="auto"/>
        </w:rPr>
      </w:pPr>
    </w:p>
    <w:p>
      <w:pPr>
        <w:jc w:val="both"/>
        <w:ind w:left="20"/>
        <w:spacing w:after="0" w:line="250" w:lineRule="auto"/>
        <w:rPr>
          <w:sz w:val="20"/>
          <w:szCs w:val="20"/>
          <w:color w:val="auto"/>
        </w:rPr>
      </w:pPr>
      <w:r>
        <w:rPr>
          <w:rFonts w:ascii="Times New Roman" w:cs="Times New Roman" w:eastAsia="Times New Roman" w:hAnsi="Times New Roman"/>
          <w:sz w:val="22"/>
          <w:szCs w:val="22"/>
          <w:i w:val="1"/>
          <w:iCs w:val="1"/>
          <w:color w:val="auto"/>
        </w:rPr>
        <w:t>incorporating “information security” functionality, and associated “software” and “technology” for the “production” or “development” of such microprocessors.</w:t>
      </w:r>
    </w:p>
    <w:p>
      <w:pPr>
        <w:spacing w:after="0" w:line="207" w:lineRule="exact"/>
        <w:rPr>
          <w:sz w:val="20"/>
          <w:szCs w:val="20"/>
          <w:color w:val="auto"/>
        </w:rPr>
      </w:pPr>
    </w:p>
    <w:p>
      <w:pPr>
        <w:jc w:val="both"/>
        <w:ind w:left="20"/>
        <w:spacing w:after="0" w:line="242" w:lineRule="auto"/>
        <w:tabs>
          <w:tab w:leader="none" w:pos="594" w:val="left"/>
        </w:tabs>
        <w:numPr>
          <w:ilvl w:val="0"/>
          <w:numId w:val="19"/>
        </w:numPr>
        <w:rPr>
          <w:rFonts w:ascii="Times New Roman" w:cs="Times New Roman" w:eastAsia="Times New Roman" w:hAnsi="Times New Roman"/>
          <w:sz w:val="22"/>
          <w:szCs w:val="22"/>
          <w:i w:val="1"/>
          <w:iCs w:val="1"/>
          <w:color w:val="auto"/>
        </w:rPr>
      </w:pPr>
      <w:r>
        <w:rPr>
          <w:rFonts w:ascii="Times New Roman" w:cs="Times New Roman" w:eastAsia="Times New Roman" w:hAnsi="Times New Roman"/>
          <w:sz w:val="22"/>
          <w:szCs w:val="22"/>
          <w:i w:val="1"/>
          <w:iCs w:val="1"/>
          <w:color w:val="auto"/>
        </w:rPr>
        <w:t>When a person performs or provides technical assistance that incorporates, or otherwise draws upon, “technology” that was either obtained in the United States or is of US-origin, then a release of the “technology” takes place. Such technical assistance, when rendered with the intent to aid in the “development” or “production” of encryption commodities or software that would be controlled for “EI” reasons under ECCN 5A002, 5A004 or 5D002, may require authorization under the EAR even if the underlying encryption algorithm to be implemented is from the public domain or is not of U.S.-origin.</w:t>
      </w:r>
    </w:p>
    <w:p>
      <w:pPr>
        <w:spacing w:after="0" w:line="222" w:lineRule="exact"/>
        <w:rPr>
          <w:sz w:val="20"/>
          <w:szCs w:val="20"/>
          <w:color w:val="auto"/>
        </w:rPr>
      </w:pPr>
    </w:p>
    <w:p>
      <w:pPr>
        <w:ind w:left="20"/>
        <w:spacing w:after="0" w:line="274" w:lineRule="auto"/>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r>
        <w:rPr>
          <w:rFonts w:ascii="Times New Roman" w:cs="Times New Roman" w:eastAsia="Times New Roman" w:hAnsi="Times New Roman"/>
          <w:sz w:val="22"/>
          <w:szCs w:val="22"/>
          <w:b w:val="1"/>
          <w:bCs w:val="1"/>
          <w:color w:val="auto"/>
        </w:rPr>
        <w:t xml:space="preserve"> </w:t>
      </w:r>
      <w:r>
        <w:rPr>
          <w:rFonts w:ascii="Times New Roman" w:cs="Times New Roman" w:eastAsia="Times New Roman" w:hAnsi="Times New Roman"/>
          <w:sz w:val="22"/>
          <w:szCs w:val="22"/>
          <w:color w:val="auto"/>
        </w:rPr>
        <w:t>for a description of all license exceptions)</w:t>
      </w:r>
    </w:p>
    <w:p>
      <w:pPr>
        <w:spacing w:after="0" w:line="181" w:lineRule="exact"/>
        <w:rPr>
          <w:sz w:val="20"/>
          <w:szCs w:val="20"/>
          <w:color w:val="auto"/>
        </w:rPr>
      </w:pP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CIV</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spacing w:after="0" w:line="3" w:lineRule="exact"/>
        <w:rPr>
          <w:sz w:val="20"/>
          <w:szCs w:val="20"/>
          <w:color w:val="auto"/>
        </w:rPr>
      </w:pPr>
    </w:p>
    <w:p>
      <w:pPr>
        <w:ind w:left="380"/>
        <w:spacing w:after="0"/>
        <w:tabs>
          <w:tab w:leader="none" w:pos="1080" w:val="left"/>
        </w:tabs>
        <w:rPr>
          <w:sz w:val="20"/>
          <w:szCs w:val="20"/>
          <w:color w:val="auto"/>
        </w:rPr>
      </w:pPr>
      <w:r>
        <w:rPr>
          <w:rFonts w:ascii="Times New Roman" w:cs="Times New Roman" w:eastAsia="Times New Roman" w:hAnsi="Times New Roman"/>
          <w:sz w:val="22"/>
          <w:szCs w:val="22"/>
          <w:i w:val="1"/>
          <w:iCs w:val="1"/>
          <w:color w:val="auto"/>
        </w:rPr>
        <w:t>TSR</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N/A</w:t>
      </w:r>
    </w:p>
    <w:p>
      <w:pPr>
        <w:jc w:val="both"/>
        <w:ind w:left="1100" w:hanging="719"/>
        <w:spacing w:after="0" w:line="255" w:lineRule="auto"/>
        <w:tabs>
          <w:tab w:leader="none" w:pos="1080" w:val="left"/>
        </w:tabs>
        <w:rPr>
          <w:sz w:val="20"/>
          <w:szCs w:val="20"/>
          <w:color w:val="auto"/>
        </w:rPr>
      </w:pPr>
      <w:r>
        <w:rPr>
          <w:rFonts w:ascii="Times New Roman" w:cs="Times New Roman" w:eastAsia="Times New Roman" w:hAnsi="Times New Roman"/>
          <w:sz w:val="22"/>
          <w:szCs w:val="22"/>
          <w:i w:val="1"/>
          <w:iCs w:val="1"/>
          <w:color w:val="auto"/>
        </w:rPr>
        <w:t>ENC</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Yes for certain EI controlled technology, see §740.17 of the EAR for eligibility.</w:t>
      </w:r>
    </w:p>
    <w:p>
      <w:pPr>
        <w:spacing w:after="0" w:line="204" w:lineRule="exact"/>
        <w:rPr>
          <w:sz w:val="20"/>
          <w:szCs w:val="20"/>
          <w:color w:val="auto"/>
        </w:rPr>
      </w:pPr>
    </w:p>
    <w:p>
      <w:pPr>
        <w:ind w:left="20"/>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0" w:lineRule="exact"/>
        <w:rPr>
          <w:sz w:val="20"/>
          <w:szCs w:val="20"/>
          <w:color w:val="auto"/>
        </w:rPr>
      </w:pPr>
      <w:r>
        <w:rPr>
          <w:sz w:val="20"/>
          <w:szCs w:val="20"/>
          <w:color w:val="auto"/>
        </w:rPr>
        <w:br w:type="column"/>
      </w:r>
    </w:p>
    <w:p>
      <w:pPr>
        <w:spacing w:after="0" w:line="191" w:lineRule="exact"/>
        <w:rPr>
          <w:sz w:val="20"/>
          <w:szCs w:val="20"/>
          <w:color w:val="auto"/>
        </w:rPr>
      </w:pPr>
    </w:p>
    <w:p>
      <w:pPr>
        <w:jc w:val="both"/>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See also 5E992. This</w:t>
      </w:r>
      <w:r>
        <w:rPr>
          <w:rFonts w:ascii="Times New Roman" w:cs="Times New Roman" w:eastAsia="Times New Roman" w:hAnsi="Times New Roman"/>
          <w:sz w:val="22"/>
          <w:szCs w:val="22"/>
          <w:i w:val="1"/>
          <w:iCs w:val="1"/>
          <w:color w:val="auto"/>
        </w:rPr>
        <w:t xml:space="preserve"> </w:t>
      </w:r>
      <w:r>
        <w:rPr>
          <w:rFonts w:ascii="Times New Roman" w:cs="Times New Roman" w:eastAsia="Times New Roman" w:hAnsi="Times New Roman"/>
          <w:sz w:val="22"/>
          <w:szCs w:val="22"/>
          <w:color w:val="auto"/>
        </w:rPr>
        <w:t>entry does not control “technology” “required” for the “use” of equipment excluded from control under the Related Controls paragraph or the Technical Notes in ECCN 5A002 or “technology” related to equipment excluded from control under ECCN 5A002.</w:t>
      </w:r>
    </w:p>
    <w:p>
      <w:pPr>
        <w:spacing w:after="0" w:line="3"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jc w:val="both"/>
        <w:spacing w:after="0" w:line="247" w:lineRule="auto"/>
        <w:rPr>
          <w:sz w:val="20"/>
          <w:szCs w:val="20"/>
          <w:color w:val="auto"/>
        </w:rPr>
      </w:pPr>
      <w:r>
        <w:rPr>
          <w:rFonts w:ascii="Times New Roman" w:cs="Times New Roman" w:eastAsia="Times New Roman" w:hAnsi="Times New Roman"/>
          <w:sz w:val="22"/>
          <w:szCs w:val="22"/>
          <w:color w:val="auto"/>
        </w:rPr>
        <w:t>a. “Technology” according to the General Technology Note for the “development,” “production” or “use” of equipment controlled by 5A002, 5A003, 5A004 or 5B002, or of “software” controlled by 5D002.a or 5D002.c.</w:t>
      </w:r>
    </w:p>
    <w:p>
      <w:pPr>
        <w:spacing w:after="0" w:line="216" w:lineRule="exact"/>
        <w:rPr>
          <w:sz w:val="20"/>
          <w:szCs w:val="20"/>
          <w:color w:val="auto"/>
        </w:rPr>
      </w:pPr>
    </w:p>
    <w:p>
      <w:pPr>
        <w:ind w:right="40"/>
        <w:spacing w:after="0" w:line="243" w:lineRule="auto"/>
        <w:rPr>
          <w:sz w:val="20"/>
          <w:szCs w:val="20"/>
          <w:color w:val="auto"/>
        </w:rPr>
      </w:pPr>
      <w:r>
        <w:rPr>
          <w:rFonts w:ascii="Times New Roman" w:cs="Times New Roman" w:eastAsia="Times New Roman" w:hAnsi="Times New Roman"/>
          <w:sz w:val="22"/>
          <w:szCs w:val="22"/>
          <w:color w:val="auto"/>
        </w:rPr>
        <w:t>b. “Technology” for converting, by means of “cryptographic activation”, an item not specified by Category 5 – Part 2 into an item specified by 5A002.a or 5D002.c.1, and not released by the Cryptography Note (Note 3 in Category 5 – Part 2), or for enabling, by means of “cryptographic activation”, additional functionality specified by 5A002.a of an item already specified by Category 5 – Part 2.</w:t>
      </w:r>
    </w:p>
    <w:p>
      <w:pPr>
        <w:spacing w:after="0" w:line="220" w:lineRule="exact"/>
        <w:rPr>
          <w:sz w:val="20"/>
          <w:szCs w:val="20"/>
          <w:color w:val="auto"/>
        </w:rPr>
      </w:pPr>
    </w:p>
    <w:p>
      <w:pPr>
        <w:jc w:val="both"/>
        <w:ind w:firstLine="360"/>
        <w:spacing w:after="0" w:line="249" w:lineRule="auto"/>
        <w:rPr>
          <w:sz w:val="20"/>
          <w:szCs w:val="20"/>
          <w:color w:val="auto"/>
        </w:rPr>
      </w:pPr>
      <w:r>
        <w:rPr>
          <w:rFonts w:ascii="Times New Roman" w:cs="Times New Roman" w:eastAsia="Times New Roman" w:hAnsi="Times New Roman"/>
          <w:sz w:val="22"/>
          <w:szCs w:val="22"/>
          <w:b w:val="1"/>
          <w:bCs w:val="1"/>
          <w:i w:val="1"/>
          <w:iCs w:val="1"/>
          <w:color w:val="auto"/>
        </w:rPr>
        <w:t>Note</w:t>
      </w:r>
      <w:r>
        <w:rPr>
          <w:rFonts w:ascii="Times New Roman" w:cs="Times New Roman" w:eastAsia="Times New Roman" w:hAnsi="Times New Roman"/>
          <w:sz w:val="22"/>
          <w:szCs w:val="22"/>
          <w:i w:val="1"/>
          <w:iCs w:val="1"/>
          <w:color w:val="auto"/>
        </w:rPr>
        <w:t>: 5E002 includes “information</w:t>
      </w:r>
      <w:r>
        <w:rPr>
          <w:rFonts w:ascii="Times New Roman" w:cs="Times New Roman" w:eastAsia="Times New Roman" w:hAnsi="Times New Roman"/>
          <w:sz w:val="22"/>
          <w:szCs w:val="22"/>
          <w:b w:val="1"/>
          <w:bCs w:val="1"/>
          <w:i w:val="1"/>
          <w:iCs w:val="1"/>
          <w:color w:val="auto"/>
        </w:rPr>
        <w:t xml:space="preserve"> </w:t>
      </w:r>
      <w:r>
        <w:rPr>
          <w:rFonts w:ascii="Times New Roman" w:cs="Times New Roman" w:eastAsia="Times New Roman" w:hAnsi="Times New Roman"/>
          <w:sz w:val="22"/>
          <w:szCs w:val="22"/>
          <w:i w:val="1"/>
          <w:iCs w:val="1"/>
          <w:color w:val="auto"/>
        </w:rPr>
        <w:t>security” technical data resulting from procedures carried out to evaluate or determine the implementation of functions, features or techniques specified in Category 5 ̶Part 2.</w:t>
      </w:r>
    </w:p>
    <w:p>
      <w:pPr>
        <w:spacing w:after="0" w:line="200" w:lineRule="exact"/>
        <w:rPr>
          <w:sz w:val="20"/>
          <w:szCs w:val="20"/>
          <w:color w:val="auto"/>
        </w:rPr>
      </w:pPr>
    </w:p>
    <w:p>
      <w:pPr>
        <w:spacing w:after="0" w:line="261" w:lineRule="exact"/>
        <w:rPr>
          <w:sz w:val="20"/>
          <w:szCs w:val="20"/>
          <w:color w:val="auto"/>
        </w:rPr>
      </w:pPr>
    </w:p>
    <w:p>
      <w:pPr>
        <w:jc w:val="both"/>
        <w:spacing w:after="0" w:line="251" w:lineRule="auto"/>
        <w:rPr>
          <w:sz w:val="20"/>
          <w:szCs w:val="20"/>
          <w:color w:val="auto"/>
        </w:rPr>
      </w:pPr>
      <w:r>
        <w:rPr>
          <w:rFonts w:ascii="Times New Roman" w:cs="Times New Roman" w:eastAsia="Times New Roman" w:hAnsi="Times New Roman"/>
          <w:sz w:val="22"/>
          <w:szCs w:val="22"/>
          <w:b w:val="1"/>
          <w:bCs w:val="1"/>
          <w:color w:val="auto"/>
        </w:rPr>
        <w:t>5E992 “Information Security” “technology” according to the General Technology Note, not controlled by 5E002, as follows (see List of Items Controlled).</w:t>
      </w:r>
    </w:p>
    <w:p>
      <w:pPr>
        <w:spacing w:after="0" w:line="20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License Requirements</w:t>
      </w:r>
    </w:p>
    <w:p>
      <w:pPr>
        <w:spacing w:after="0" w:line="251" w:lineRule="exact"/>
        <w:rPr>
          <w:sz w:val="20"/>
          <w:szCs w:val="20"/>
          <w:color w:val="auto"/>
        </w:rPr>
      </w:pPr>
    </w:p>
    <w:p>
      <w:pPr>
        <w:ind w:left="360"/>
        <w:spacing w:after="0"/>
        <w:tabs>
          <w:tab w:leader="none" w:pos="2260" w:val="left"/>
        </w:tabs>
        <w:rPr>
          <w:sz w:val="20"/>
          <w:szCs w:val="20"/>
          <w:color w:val="auto"/>
        </w:rPr>
      </w:pPr>
      <w:r>
        <w:rPr>
          <w:rFonts w:ascii="Times New Roman" w:cs="Times New Roman" w:eastAsia="Times New Roman" w:hAnsi="Times New Roman"/>
          <w:sz w:val="22"/>
          <w:szCs w:val="22"/>
          <w:i w:val="1"/>
          <w:iCs w:val="1"/>
          <w:color w:val="auto"/>
        </w:rPr>
        <w:t>Reason for Control</w:t>
      </w:r>
      <w:r>
        <w:rPr>
          <w:rFonts w:ascii="Times New Roman" w:cs="Times New Roman" w:eastAsia="Times New Roman" w:hAnsi="Times New Roman"/>
          <w:sz w:val="22"/>
          <w:szCs w:val="22"/>
          <w:color w:val="auto"/>
        </w:rPr>
        <w:t>:</w:t>
      </w:r>
      <w:r>
        <w:rPr>
          <w:sz w:val="20"/>
          <w:szCs w:val="20"/>
          <w:color w:val="auto"/>
        </w:rPr>
        <w:tab/>
      </w:r>
      <w:r>
        <w:rPr>
          <w:rFonts w:ascii="Times New Roman" w:cs="Times New Roman" w:eastAsia="Times New Roman" w:hAnsi="Times New Roman"/>
          <w:sz w:val="22"/>
          <w:szCs w:val="22"/>
          <w:color w:val="auto"/>
        </w:rPr>
        <w:t>AT</w:t>
      </w:r>
    </w:p>
    <w:p>
      <w:pPr>
        <w:spacing w:after="0" w:line="264" w:lineRule="exact"/>
        <w:rPr>
          <w:sz w:val="20"/>
          <w:szCs w:val="20"/>
          <w:color w:val="auto"/>
        </w:rPr>
      </w:pPr>
    </w:p>
    <w:p>
      <w:pPr>
        <w:ind w:left="2820"/>
        <w:spacing w:after="0"/>
        <w:rPr>
          <w:sz w:val="20"/>
          <w:szCs w:val="20"/>
          <w:color w:val="auto"/>
        </w:rPr>
      </w:pPr>
      <w:r>
        <w:rPr>
          <w:rFonts w:ascii="Times New Roman" w:cs="Times New Roman" w:eastAsia="Times New Roman" w:hAnsi="Times New Roman"/>
          <w:sz w:val="22"/>
          <w:szCs w:val="22"/>
          <w:i w:val="1"/>
          <w:iCs w:val="1"/>
          <w:color w:val="auto"/>
        </w:rPr>
        <w:t>Country Chart</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-151765</wp:posOffset>
                </wp:positionV>
                <wp:extent cx="2748280" cy="0"/>
                <wp:wrapNone/>
                <wp:docPr id="9" name="Shape 9"/>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828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9" o:spid="_x0000_s1034"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999pt,-11.9499pt" to="216.2pt,-11.9499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-2540</wp:posOffset>
                </wp:positionH>
                <wp:positionV relativeFrom="paragraph">
                  <wp:posOffset>335915</wp:posOffset>
                </wp:positionV>
                <wp:extent cx="2748280" cy="0"/>
                <wp:wrapNone/>
                <wp:docPr id="10" name="Shape 10"/>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828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0" o:spid="_x0000_s1035"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999pt,26.45pt" to="216.2pt,26.4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0</wp:posOffset>
                </wp:positionH>
                <wp:positionV relativeFrom="paragraph">
                  <wp:posOffset>-154940</wp:posOffset>
                </wp:positionV>
                <wp:extent cx="0" cy="661035"/>
                <wp:wrapNone/>
                <wp:docPr id="11" name="Shape 11"/>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1" o:spid="_x0000_s1036"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pt,-12.1999pt" to="0pt,39.85pt" o:allowincell="f" strokecolor="#000000" strokeweight="0.4799pt"/>
            </w:pict>
          </mc:Fallback>
        </mc:AlternateContent>
        <mc:AlternateContent>
          <mc:Choice Requires="wps">
            <w:drawing>
              <wp:anchor simplePos="0" relativeHeight="251657728" behindDoc="1" locked="0" layoutInCell="0" allowOverlap="1">
                <wp:simplePos x="0" y="0"/>
                <wp:positionH relativeFrom="column">
                  <wp:posOffset>1657350</wp:posOffset>
                </wp:positionH>
                <wp:positionV relativeFrom="paragraph">
                  <wp:posOffset>-154940</wp:posOffset>
                </wp:positionV>
                <wp:extent cx="0" cy="661035"/>
                <wp:wrapNone/>
                <wp:docPr id="12" name="Shape 12"/>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2" o:spid="_x0000_s1037"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130.5pt,-12.1999pt" to="130.5pt,39.85pt" o:allowincell="f" strokecolor="#000000" strokeweight="0.48pt"/>
            </w:pict>
          </mc:Fallback>
        </mc:AlternateContent>
        <mc:AlternateContent>
          <mc:Choice Requires="wps">
            <w:drawing>
              <wp:anchor simplePos="0" relativeHeight="251657728" behindDoc="1" locked="0" layoutInCell="0" allowOverlap="1">
                <wp:simplePos x="0" y="0"/>
                <wp:positionH relativeFrom="column">
                  <wp:posOffset>2743200</wp:posOffset>
                </wp:positionH>
                <wp:positionV relativeFrom="paragraph">
                  <wp:posOffset>-154940</wp:posOffset>
                </wp:positionV>
                <wp:extent cx="0" cy="661035"/>
                <wp:wrapNone/>
                <wp:docPr id="13" name="Shape 13"/>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4763" cy="661035"/>
                        </a:xfrm>
                        <a:prstGeom prst="line">
                          <a:avLst/>
                        </a:prstGeom>
                        <a:solidFill>
                          <a:srgbClr val="FFFFFF"/>
                        </a:solidFill>
                        <a:ln w="6095">
                          <a:solidFill>
                            <a:srgbClr val="000000"/>
                          </a:solidFill>
                          <a:miter lim="800000"/>
                          <a:headEnd/>
                          <a:tailEnd/>
                        </a:ln>
                      </wps:spPr>
                      <wps:bodyPr/>
                    </wps:wsp>
                  </a:graphicData>
                </a:graphic>
              </wp:anchor>
            </w:drawing>
          </mc:Choice>
          <mc:Fallback>
            <w:pict>
              <v:line id="Shape 13" o:spid="_x0000_s1038"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216pt,-12.1999pt" to="216pt,39.85pt" o:allowincell="f" strokecolor="#000000" strokeweight="0.4799pt"/>
            </w:pict>
          </mc:Fallback>
        </mc:AlternateContent>
      </w:r>
    </w:p>
    <w:p>
      <w:pPr>
        <w:ind w:left="840"/>
        <w:spacing w:after="0"/>
        <w:tabs>
          <w:tab w:leader="none" w:pos="2720" w:val="left"/>
        </w:tabs>
        <w:rPr>
          <w:sz w:val="20"/>
          <w:szCs w:val="20"/>
          <w:color w:val="auto"/>
        </w:rPr>
      </w:pPr>
      <w:r>
        <w:rPr>
          <w:rFonts w:ascii="Times New Roman" w:cs="Times New Roman" w:eastAsia="Times New Roman" w:hAnsi="Times New Roman"/>
          <w:sz w:val="22"/>
          <w:szCs w:val="22"/>
          <w:i w:val="1"/>
          <w:iCs w:val="1"/>
          <w:color w:val="auto"/>
        </w:rPr>
        <w:t>Control(s)</w:t>
      </w:r>
      <w:r>
        <w:rPr>
          <w:sz w:val="20"/>
          <w:szCs w:val="20"/>
          <w:color w:val="auto"/>
        </w:rPr>
        <w:tab/>
      </w:r>
      <w:r>
        <w:rPr>
          <w:rFonts w:ascii="Times New Roman" w:cs="Times New Roman" w:eastAsia="Times New Roman" w:hAnsi="Times New Roman"/>
          <w:sz w:val="22"/>
          <w:szCs w:val="22"/>
          <w:i w:val="1"/>
          <w:iCs w:val="1"/>
          <w:color w:val="auto"/>
        </w:rPr>
        <w:t>(See Supp. No. 1</w:t>
      </w:r>
    </w:p>
    <w:p>
      <w:pPr>
        <w:jc w:val="right"/>
        <w:ind w:right="320"/>
        <w:spacing w:after="0"/>
        <w:rPr>
          <w:sz w:val="20"/>
          <w:szCs w:val="20"/>
          <w:color w:val="auto"/>
        </w:rPr>
      </w:pPr>
      <w:r>
        <w:rPr>
          <w:rFonts w:ascii="Times New Roman" w:cs="Times New Roman" w:eastAsia="Times New Roman" w:hAnsi="Times New Roman"/>
          <w:sz w:val="22"/>
          <w:szCs w:val="22"/>
          <w:i w:val="1"/>
          <w:iCs w:val="1"/>
          <w:color w:val="auto"/>
        </w:rPr>
        <w:t>to part 738)</w:t>
      </w:r>
    </w:p>
    <w:p>
      <w:pPr>
        <w:spacing w:after="0" w:line="9" w:lineRule="exact"/>
        <w:rPr>
          <w:sz w:val="20"/>
          <w:szCs w:val="20"/>
          <w:color w:val="auto"/>
        </w:rPr>
      </w:pPr>
    </w:p>
    <w:p>
      <w:pPr>
        <w:jc w:val="right"/>
        <w:ind w:right="380"/>
        <w:spacing w:after="0"/>
        <w:tabs>
          <w:tab w:leader="none" w:pos="1580" w:val="left"/>
        </w:tabs>
        <w:rPr>
          <w:sz w:val="20"/>
          <w:szCs w:val="20"/>
          <w:color w:val="auto"/>
        </w:rPr>
      </w:pPr>
      <w:r>
        <w:rPr>
          <w:rFonts w:ascii="Times New Roman" w:cs="Times New Roman" w:eastAsia="Times New Roman" w:hAnsi="Times New Roman"/>
          <w:sz w:val="22"/>
          <w:szCs w:val="22"/>
          <w:color w:val="auto"/>
        </w:rPr>
        <w:t>AT applies to entire entry</w:t>
      </w:r>
      <w:r>
        <w:rPr>
          <w:sz w:val="20"/>
          <w:szCs w:val="20"/>
          <w:color w:val="auto"/>
        </w:rPr>
        <w:tab/>
      </w:r>
      <w:r>
        <w:rPr>
          <w:rFonts w:ascii="Times New Roman" w:cs="Times New Roman" w:eastAsia="Times New Roman" w:hAnsi="Times New Roman"/>
          <w:sz w:val="21"/>
          <w:szCs w:val="21"/>
          <w:color w:val="auto"/>
        </w:rPr>
        <w:t>AT Column 1</w:t>
      </w:r>
    </w:p>
    <w:p>
      <w:pPr>
        <w:spacing w:after="0" w:line="20" w:lineRule="exact"/>
        <w:rPr>
          <w:sz w:val="20"/>
          <w:szCs w:val="20"/>
          <w:color w:val="auto"/>
        </w:rPr>
      </w:pPr>
      <w:r>
        <w:rPr>
          <w:sz w:val="20"/>
          <w:szCs w:val="20"/>
          <w:color w:val="auto"/>
        </w:rPr>
        <mc:AlternateContent>
          <mc:Choice Requires="wps">
            <w:drawing>
              <wp:anchor simplePos="0" relativeHeight="251657728" behindDoc="1" locked="0" layoutInCell="0" allowOverlap="1">
                <wp:simplePos x="0" y="0"/>
                <wp:positionH relativeFrom="column">
                  <wp:posOffset>-2540</wp:posOffset>
                </wp:positionH>
                <wp:positionV relativeFrom="paragraph">
                  <wp:posOffset>12700</wp:posOffset>
                </wp:positionV>
                <wp:extent cx="2748280" cy="0"/>
                <wp:wrapNone/>
                <wp:docPr id="14" name="Shape 14"/>
                <wp:cNvGraphicFramePr>
                  <a:graphicFrameLocks xmlns:a="http://schemas.openxmlformats.org/drawingml/2006/main"/>
                </wp:cNvGraphicFramePr>
                <a:graphic xmlns:a="http://schemas.openxmlformats.org/drawingml/2006/main">
                  <a:graphicData uri="http://schemas.microsoft.com/office/word/2010/wordprocessingShape">
                    <wps:wsp>
                      <wps:cNvSpPr/>
                      <wps:spPr>
                        <a:xfrm>
                          <a:off x="0" y="0"/>
                          <a:ext cx="2748280" cy="4763"/>
                        </a:xfrm>
                        <a:prstGeom prst="line">
                          <a:avLst/>
                        </a:prstGeom>
                        <a:solidFill>
                          <a:srgbClr val="FFFFFF"/>
                        </a:solidFill>
                        <a:ln w="6096">
                          <a:solidFill>
                            <a:srgbClr val="000000"/>
                          </a:solidFill>
                          <a:miter lim="800000"/>
                          <a:headEnd/>
                          <a:tailEnd/>
                        </a:ln>
                      </wps:spPr>
                      <wps:bodyPr/>
                    </wps:wsp>
                  </a:graphicData>
                </a:graphic>
              </wp:anchor>
            </w:drawing>
          </mc:Choice>
          <mc:Fallback>
            <w:pict>
              <v:line id="Shape 14" o:spid="_x0000_s1039" style="position:absolute;z-index:251657728;visibility:visible;mso-wrap-style:square;mso-wrap-distance-left:0pt;mso-wrap-distance-top:0;mso-wrap-distance-right:0pt;mso-wrap-distance-bottom:0;mso-position-horizontal:absolute;mso-position-horizontal-relative:text;mso-position-vertical:absolute;mso-position-vertical-relative:text;" from="-0.1999pt,1pt" to="216.2pt,1pt" o:allowincell="f" strokecolor="#000000" strokeweight="0.48pt"/>
            </w:pict>
          </mc:Fallback>
        </mc:AlternateContent>
      </w:r>
    </w:p>
    <w:p>
      <w:pPr>
        <w:spacing w:after="0" w:line="200" w:lineRule="exact"/>
        <w:rPr>
          <w:sz w:val="20"/>
          <w:szCs w:val="20"/>
          <w:color w:val="auto"/>
        </w:rPr>
      </w:pPr>
    </w:p>
    <w:p>
      <w:pPr>
        <w:sectPr>
          <w:pgSz w:w="12240" w:h="15840" w:orient="portrait"/>
          <w:cols w:equalWidth="0" w:num="2">
            <w:col w:w="4340" w:space="720"/>
            <w:col w:w="4320"/>
          </w:cols>
          <w:pgMar w:left="1420" w:top="1422" w:right="1440" w:bottom="892" w:gutter="0" w:footer="0" w:header="0"/>
          <w:type w:val="continuous"/>
        </w:sectPr>
      </w:pPr>
    </w:p>
    <w:p>
      <w:pPr>
        <w:spacing w:after="0" w:line="222" w:lineRule="exact"/>
        <w:rPr>
          <w:sz w:val="20"/>
          <w:szCs w:val="20"/>
          <w:color w:val="auto"/>
        </w:rPr>
      </w:pPr>
    </w:p>
    <w:p>
      <w:pPr>
        <w:ind w:left="20"/>
        <w:spacing w:after="0"/>
        <w:tabs>
          <w:tab w:leader="none" w:pos="3440" w:val="left"/>
          <w:tab w:leader="none" w:pos="834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p>
      <w:pPr>
        <w:sectPr>
          <w:pgSz w:w="12240" w:h="15840" w:orient="portrait"/>
          <w:cols w:equalWidth="0" w:num="1">
            <w:col w:w="9380"/>
          </w:cols>
          <w:pgMar w:left="1420" w:top="1422" w:right="1440" w:bottom="892" w:gutter="0" w:footer="0" w:header="0"/>
          <w:type w:val="continuous"/>
        </w:sectPr>
      </w:pPr>
    </w:p>
    <w:bookmarkStart w:id="11" w:name="page12"/>
    <w:bookmarkEnd w:id="11"/>
    <w:p>
      <w:pPr>
        <w:spacing w:after="0"/>
        <w:tabs>
          <w:tab w:leader="none" w:pos="3540" w:val="left"/>
          <w:tab w:leader="none" w:pos="6540" w:val="left"/>
        </w:tabs>
        <w:rPr>
          <w:sz w:val="20"/>
          <w:szCs w:val="20"/>
          <w:color w:val="auto"/>
        </w:rPr>
      </w:pPr>
      <w:r>
        <w:rPr>
          <w:rFonts w:ascii="Times New Roman" w:cs="Times New Roman" w:eastAsia="Times New Roman" w:hAnsi="Times New Roman"/>
          <w:sz w:val="18"/>
          <w:szCs w:val="18"/>
          <w:b w:val="1"/>
          <w:bCs w:val="1"/>
          <w:color w:val="auto"/>
        </w:rPr>
        <w:t>Commerce Control List</w:t>
      </w:r>
      <w:r>
        <w:rPr>
          <w:sz w:val="20"/>
          <w:szCs w:val="20"/>
          <w:color w:val="auto"/>
        </w:rPr>
        <w:tab/>
      </w:r>
      <w:r>
        <w:rPr>
          <w:rFonts w:ascii="Times New Roman" w:cs="Times New Roman" w:eastAsia="Times New Roman" w:hAnsi="Times New Roman"/>
          <w:sz w:val="18"/>
          <w:szCs w:val="18"/>
          <w:b w:val="1"/>
          <w:bCs w:val="1"/>
          <w:color w:val="auto"/>
        </w:rPr>
        <w:t>Supplement No. 1 to Part 774</w:t>
      </w:r>
      <w:r>
        <w:rPr>
          <w:sz w:val="20"/>
          <w:szCs w:val="20"/>
          <w:color w:val="auto"/>
        </w:rPr>
        <w:tab/>
      </w:r>
      <w:r>
        <w:rPr>
          <w:rFonts w:ascii="Times New Roman" w:cs="Times New Roman" w:eastAsia="Times New Roman" w:hAnsi="Times New Roman"/>
          <w:sz w:val="17"/>
          <w:szCs w:val="17"/>
          <w:b w:val="1"/>
          <w:bCs w:val="1"/>
          <w:color w:val="auto"/>
        </w:rPr>
        <w:t>Category 5 - Info. Security—page 12</w:t>
      </w:r>
    </w:p>
    <w:p>
      <w:pPr>
        <w:spacing w:after="0" w:line="200" w:lineRule="exact"/>
        <w:rPr>
          <w:sz w:val="20"/>
          <w:szCs w:val="20"/>
          <w:color w:val="auto"/>
        </w:rPr>
      </w:pPr>
    </w:p>
    <w:p>
      <w:pPr>
        <w:spacing w:after="0" w:line="263" w:lineRule="exact"/>
        <w:rPr>
          <w:sz w:val="20"/>
          <w:szCs w:val="20"/>
          <w:color w:val="auto"/>
        </w:rPr>
      </w:pPr>
    </w:p>
    <w:p>
      <w:pPr>
        <w:spacing w:after="0"/>
        <w:tabs>
          <w:tab w:leader="none" w:pos="2820" w:val="left"/>
        </w:tabs>
        <w:rPr>
          <w:sz w:val="20"/>
          <w:szCs w:val="20"/>
          <w:color w:val="auto"/>
        </w:rPr>
      </w:pPr>
      <w:r>
        <w:rPr>
          <w:rFonts w:ascii="Times New Roman" w:cs="Times New Roman" w:eastAsia="Times New Roman" w:hAnsi="Times New Roman"/>
          <w:sz w:val="22"/>
          <w:szCs w:val="22"/>
          <w:b w:val="1"/>
          <w:bCs w:val="1"/>
          <w:i w:val="1"/>
          <w:iCs w:val="1"/>
          <w:color w:val="auto"/>
        </w:rPr>
        <w:t>License Requirements Note</w:t>
      </w:r>
      <w:r>
        <w:rPr>
          <w:rFonts w:ascii="Times New Roman" w:cs="Times New Roman" w:eastAsia="Times New Roman" w:hAnsi="Times New Roman"/>
          <w:sz w:val="22"/>
          <w:szCs w:val="22"/>
          <w:i w:val="1"/>
          <w:iCs w:val="1"/>
          <w:color w:val="auto"/>
        </w:rPr>
        <w:t>:</w:t>
      </w:r>
      <w:r>
        <w:rPr>
          <w:sz w:val="20"/>
          <w:szCs w:val="20"/>
          <w:color w:val="auto"/>
        </w:rPr>
        <w:tab/>
      </w:r>
      <w:r>
        <w:rPr>
          <w:rFonts w:ascii="Times New Roman" w:cs="Times New Roman" w:eastAsia="Times New Roman" w:hAnsi="Times New Roman"/>
          <w:sz w:val="22"/>
          <w:szCs w:val="22"/>
          <w:i w:val="1"/>
          <w:iCs w:val="1"/>
          <w:color w:val="auto"/>
        </w:rPr>
        <w:t>See § 744.17 of</w:t>
      </w:r>
    </w:p>
    <w:p>
      <w:pPr>
        <w:spacing w:after="0" w:line="5"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i w:val="1"/>
          <w:iCs w:val="1"/>
          <w:color w:val="auto"/>
        </w:rPr>
        <w:t>the EAR for additional license requirements for</w:t>
      </w:r>
    </w:p>
    <w:p>
      <w:pPr>
        <w:spacing w:after="0"/>
        <w:rPr>
          <w:sz w:val="20"/>
          <w:szCs w:val="20"/>
          <w:color w:val="auto"/>
        </w:rPr>
      </w:pPr>
      <w:r>
        <w:rPr>
          <w:rFonts w:ascii="Times New Roman" w:cs="Times New Roman" w:eastAsia="Times New Roman" w:hAnsi="Times New Roman"/>
          <w:sz w:val="22"/>
          <w:szCs w:val="22"/>
          <w:i w:val="1"/>
          <w:iCs w:val="1"/>
          <w:color w:val="auto"/>
        </w:rPr>
        <w:t>microprocessors having a processing speed of 5</w:t>
      </w:r>
    </w:p>
    <w:p>
      <w:pPr>
        <w:spacing w:after="0"/>
        <w:rPr>
          <w:sz w:val="20"/>
          <w:szCs w:val="20"/>
          <w:color w:val="auto"/>
        </w:rPr>
      </w:pPr>
      <w:r>
        <w:rPr>
          <w:rFonts w:ascii="Times New Roman" w:cs="Times New Roman" w:eastAsia="Times New Roman" w:hAnsi="Times New Roman"/>
          <w:sz w:val="22"/>
          <w:szCs w:val="22"/>
          <w:i w:val="1"/>
          <w:iCs w:val="1"/>
          <w:color w:val="auto"/>
        </w:rPr>
        <w:t>GFLOPS or more and an arithmetic logic unit</w:t>
      </w:r>
    </w:p>
    <w:p>
      <w:pPr>
        <w:spacing w:after="0"/>
        <w:rPr>
          <w:sz w:val="20"/>
          <w:szCs w:val="20"/>
          <w:color w:val="auto"/>
        </w:rPr>
      </w:pPr>
      <w:r>
        <w:rPr>
          <w:rFonts w:ascii="Times New Roman" w:cs="Times New Roman" w:eastAsia="Times New Roman" w:hAnsi="Times New Roman"/>
          <w:sz w:val="22"/>
          <w:szCs w:val="22"/>
          <w:i w:val="1"/>
          <w:iCs w:val="1"/>
          <w:color w:val="auto"/>
        </w:rPr>
        <w:t>with an access width of 32 bit or more, including</w:t>
      </w:r>
    </w:p>
    <w:p>
      <w:pPr>
        <w:spacing w:after="0"/>
        <w:tabs>
          <w:tab w:leader="none" w:pos="660" w:val="left"/>
          <w:tab w:leader="none" w:pos="2100" w:val="left"/>
          <w:tab w:leader="none" w:pos="3480" w:val="left"/>
        </w:tabs>
        <w:rPr>
          <w:sz w:val="20"/>
          <w:szCs w:val="20"/>
          <w:color w:val="auto"/>
        </w:rPr>
      </w:pPr>
      <w:r>
        <w:rPr>
          <w:rFonts w:ascii="Times New Roman" w:cs="Times New Roman" w:eastAsia="Times New Roman" w:hAnsi="Times New Roman"/>
          <w:sz w:val="22"/>
          <w:szCs w:val="22"/>
          <w:i w:val="1"/>
          <w:iCs w:val="1"/>
          <w:color w:val="auto"/>
        </w:rPr>
        <w:t>those</w:t>
        <w:tab/>
        <w:t>incorporating</w:t>
        <w:tab/>
        <w:t>“information</w:t>
        <w:tab/>
        <w:t>security”</w:t>
      </w:r>
    </w:p>
    <w:p>
      <w:pPr>
        <w:spacing w:after="0"/>
        <w:rPr>
          <w:sz w:val="20"/>
          <w:szCs w:val="20"/>
          <w:color w:val="auto"/>
        </w:rPr>
      </w:pPr>
      <w:r>
        <w:rPr>
          <w:rFonts w:ascii="Times New Roman" w:cs="Times New Roman" w:eastAsia="Times New Roman" w:hAnsi="Times New Roman"/>
          <w:sz w:val="22"/>
          <w:szCs w:val="22"/>
          <w:i w:val="1"/>
          <w:iCs w:val="1"/>
          <w:color w:val="auto"/>
        </w:rPr>
        <w:t>functionality,  and  associated  “software”  and</w:t>
      </w:r>
    </w:p>
    <w:p>
      <w:pPr>
        <w:spacing w:after="0"/>
        <w:tabs>
          <w:tab w:leader="none" w:pos="1480" w:val="left"/>
          <w:tab w:leader="none" w:pos="2040" w:val="left"/>
          <w:tab w:leader="none" w:pos="2600" w:val="left"/>
          <w:tab w:leader="none" w:pos="4100" w:val="left"/>
        </w:tabs>
        <w:rPr>
          <w:sz w:val="20"/>
          <w:szCs w:val="20"/>
          <w:color w:val="auto"/>
        </w:rPr>
      </w:pPr>
      <w:r>
        <w:rPr>
          <w:rFonts w:ascii="Times New Roman" w:cs="Times New Roman" w:eastAsia="Times New Roman" w:hAnsi="Times New Roman"/>
          <w:sz w:val="22"/>
          <w:szCs w:val="22"/>
          <w:i w:val="1"/>
          <w:iCs w:val="1"/>
          <w:color w:val="auto"/>
        </w:rPr>
        <w:t>“technology”</w:t>
        <w:tab/>
        <w:t>for</w:t>
        <w:tab/>
        <w:t>the</w:t>
        <w:tab/>
        <w:t>“production”</w:t>
        <w:tab/>
        <w:t>or</w:t>
      </w:r>
    </w:p>
    <w:p>
      <w:pPr>
        <w:spacing w:after="0"/>
        <w:rPr>
          <w:sz w:val="20"/>
          <w:szCs w:val="20"/>
          <w:color w:val="auto"/>
        </w:rPr>
      </w:pPr>
      <w:r>
        <w:rPr>
          <w:rFonts w:ascii="Times New Roman" w:cs="Times New Roman" w:eastAsia="Times New Roman" w:hAnsi="Times New Roman"/>
          <w:sz w:val="22"/>
          <w:szCs w:val="22"/>
          <w:i w:val="1"/>
          <w:iCs w:val="1"/>
          <w:color w:val="auto"/>
        </w:rPr>
        <w:t>“development” of such microprocessors.</w:t>
      </w:r>
    </w:p>
    <w:p>
      <w:pPr>
        <w:spacing w:after="0" w:line="248"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 xml:space="preserve">List Based License Exceptions </w:t>
      </w:r>
      <w:r>
        <w:rPr>
          <w:rFonts w:ascii="Times New Roman" w:cs="Times New Roman" w:eastAsia="Times New Roman" w:hAnsi="Times New Roman"/>
          <w:sz w:val="22"/>
          <w:szCs w:val="22"/>
          <w:color w:val="auto"/>
        </w:rPr>
        <w:t>(See Part 740</w:t>
      </w:r>
    </w:p>
    <w:p>
      <w:pPr>
        <w:spacing w:after="0" w:line="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color w:val="auto"/>
        </w:rPr>
        <w:t>for a description of all license exceptions)</w:t>
      </w:r>
    </w:p>
    <w:p>
      <w:pPr>
        <w:spacing w:after="0" w:line="252" w:lineRule="exact"/>
        <w:rPr>
          <w:sz w:val="20"/>
          <w:szCs w:val="20"/>
          <w:color w:val="auto"/>
        </w:rPr>
      </w:pP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CIV:</w:t>
        <w:tab/>
        <w:t>N/A</w:t>
      </w:r>
    </w:p>
    <w:p>
      <w:pPr>
        <w:ind w:left="360"/>
        <w:spacing w:after="0"/>
        <w:tabs>
          <w:tab w:leader="none" w:pos="1060" w:val="left"/>
        </w:tabs>
        <w:rPr>
          <w:sz w:val="20"/>
          <w:szCs w:val="20"/>
          <w:color w:val="auto"/>
        </w:rPr>
      </w:pPr>
      <w:r>
        <w:rPr>
          <w:rFonts w:ascii="Times New Roman" w:cs="Times New Roman" w:eastAsia="Times New Roman" w:hAnsi="Times New Roman"/>
          <w:sz w:val="22"/>
          <w:szCs w:val="22"/>
          <w:color w:val="auto"/>
        </w:rPr>
        <w:t>TSR:</w:t>
        <w:tab/>
        <w:t>N/A</w:t>
      </w:r>
    </w:p>
    <w:p>
      <w:pPr>
        <w:spacing w:after="0" w:line="251"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List of Items Controlled</w:t>
      </w:r>
    </w:p>
    <w:p>
      <w:pPr>
        <w:spacing w:after="0" w:line="251"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Controls</w:t>
      </w:r>
      <w:r>
        <w:rPr>
          <w:rFonts w:ascii="Times New Roman" w:cs="Times New Roman" w:eastAsia="Times New Roman" w:hAnsi="Times New Roman"/>
          <w:sz w:val="22"/>
          <w:szCs w:val="22"/>
          <w:color w:val="auto"/>
        </w:rPr>
        <w:t>: N/A</w:t>
      </w:r>
    </w:p>
    <w:p>
      <w:pPr>
        <w:spacing w:after="0" w:line="4" w:lineRule="exact"/>
        <w:rPr>
          <w:sz w:val="20"/>
          <w:szCs w:val="20"/>
          <w:color w:val="auto"/>
        </w:rPr>
      </w:pPr>
    </w:p>
    <w:p>
      <w:pPr>
        <w:ind w:left="360"/>
        <w:spacing w:after="0"/>
        <w:rPr>
          <w:sz w:val="20"/>
          <w:szCs w:val="20"/>
          <w:color w:val="auto"/>
        </w:rPr>
      </w:pPr>
      <w:r>
        <w:rPr>
          <w:rFonts w:ascii="Times New Roman" w:cs="Times New Roman" w:eastAsia="Times New Roman" w:hAnsi="Times New Roman"/>
          <w:sz w:val="22"/>
          <w:szCs w:val="22"/>
          <w:i w:val="1"/>
          <w:iCs w:val="1"/>
          <w:color w:val="auto"/>
        </w:rPr>
        <w:t>Related Definitions</w:t>
      </w:r>
      <w:r>
        <w:rPr>
          <w:rFonts w:ascii="Times New Roman" w:cs="Times New Roman" w:eastAsia="Times New Roman" w:hAnsi="Times New Roman"/>
          <w:sz w:val="22"/>
          <w:szCs w:val="22"/>
          <w:color w:val="auto"/>
        </w:rPr>
        <w:t>: N/A</w:t>
      </w:r>
    </w:p>
    <w:p>
      <w:pPr>
        <w:ind w:left="360"/>
        <w:spacing w:after="0"/>
        <w:rPr>
          <w:sz w:val="20"/>
          <w:szCs w:val="20"/>
          <w:color w:val="auto"/>
        </w:rPr>
      </w:pPr>
      <w:r>
        <w:rPr>
          <w:rFonts w:ascii="Times New Roman" w:cs="Times New Roman" w:eastAsia="Times New Roman" w:hAnsi="Times New Roman"/>
          <w:sz w:val="22"/>
          <w:szCs w:val="22"/>
          <w:i w:val="1"/>
          <w:iCs w:val="1"/>
          <w:color w:val="auto"/>
        </w:rPr>
        <w:t>Items</w:t>
      </w:r>
      <w:r>
        <w:rPr>
          <w:rFonts w:ascii="Times New Roman" w:cs="Times New Roman" w:eastAsia="Times New Roman" w:hAnsi="Times New Roman"/>
          <w:sz w:val="22"/>
          <w:szCs w:val="22"/>
          <w:color w:val="auto"/>
        </w:rPr>
        <w:t>:</w:t>
      </w:r>
    </w:p>
    <w:p>
      <w:pPr>
        <w:spacing w:after="0" w:line="253" w:lineRule="exact"/>
        <w:rPr>
          <w:sz w:val="20"/>
          <w:szCs w:val="20"/>
          <w:color w:val="auto"/>
        </w:rPr>
      </w:pPr>
    </w:p>
    <w:p>
      <w:pPr>
        <w:ind w:left="260" w:hanging="260"/>
        <w:spacing w:after="0"/>
        <w:tabs>
          <w:tab w:leader="none" w:pos="260" w:val="left"/>
        </w:tabs>
        <w:numPr>
          <w:ilvl w:val="0"/>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[Reserved]</w:t>
      </w:r>
    </w:p>
    <w:p>
      <w:pPr>
        <w:spacing w:after="0" w:line="252" w:lineRule="exact"/>
        <w:rPr>
          <w:rFonts w:ascii="Times New Roman" w:cs="Times New Roman" w:eastAsia="Times New Roman" w:hAnsi="Times New Roman"/>
          <w:sz w:val="22"/>
          <w:szCs w:val="22"/>
          <w:color w:val="auto"/>
        </w:rPr>
      </w:pPr>
    </w:p>
    <w:p>
      <w:pPr>
        <w:jc w:val="both"/>
        <w:ind w:right="5040"/>
        <w:spacing w:after="0" w:line="255" w:lineRule="auto"/>
        <w:tabs>
          <w:tab w:leader="none" w:pos="340" w:val="left"/>
        </w:tabs>
        <w:numPr>
          <w:ilvl w:val="0"/>
          <w:numId w:val="20"/>
        </w:numPr>
        <w:rPr>
          <w:rFonts w:ascii="Times New Roman" w:cs="Times New Roman" w:eastAsia="Times New Roman" w:hAnsi="Times New Roman"/>
          <w:sz w:val="22"/>
          <w:szCs w:val="22"/>
          <w:color w:val="auto"/>
        </w:rPr>
      </w:pPr>
      <w:r>
        <w:rPr>
          <w:rFonts w:ascii="Times New Roman" w:cs="Times New Roman" w:eastAsia="Times New Roman" w:hAnsi="Times New Roman"/>
          <w:sz w:val="22"/>
          <w:szCs w:val="22"/>
          <w:color w:val="auto"/>
        </w:rPr>
        <w:t xml:space="preserve">“Technology”, n.e.s., for the “use” of mass market commodities controlled by </w:t>
      </w:r>
      <w:r>
        <w:rPr>
          <w:rFonts w:ascii="Times New Roman" w:cs="Times New Roman" w:eastAsia="Times New Roman" w:hAnsi="Times New Roman"/>
          <w:sz w:val="22"/>
          <w:szCs w:val="22"/>
          <w:u w:val="single" w:color="auto"/>
          <w:color w:val="0000FF"/>
        </w:rPr>
        <w:t>5A992.c</w:t>
      </w:r>
      <w:r>
        <w:rPr>
          <w:rFonts w:ascii="Times New Roman" w:cs="Times New Roman" w:eastAsia="Times New Roman" w:hAnsi="Times New Roman"/>
          <w:sz w:val="22"/>
          <w:szCs w:val="22"/>
          <w:color w:val="auto"/>
        </w:rPr>
        <w:t xml:space="preserve"> or mass market “software” controlled by </w:t>
      </w:r>
      <w:r>
        <w:rPr>
          <w:rFonts w:ascii="Times New Roman" w:cs="Times New Roman" w:eastAsia="Times New Roman" w:hAnsi="Times New Roman"/>
          <w:sz w:val="22"/>
          <w:szCs w:val="22"/>
          <w:u w:val="single" w:color="auto"/>
          <w:color w:val="0000FF"/>
        </w:rPr>
        <w:t>5D992.c</w:t>
      </w:r>
      <w:r>
        <w:rPr>
          <w:rFonts w:ascii="Times New Roman" w:cs="Times New Roman" w:eastAsia="Times New Roman" w:hAnsi="Times New Roman"/>
          <w:sz w:val="22"/>
          <w:szCs w:val="22"/>
          <w:color w:val="auto"/>
        </w:rPr>
        <w:t>.</w:t>
      </w:r>
    </w:p>
    <w:p>
      <w:pPr>
        <w:spacing w:after="0" w:line="200" w:lineRule="exact"/>
        <w:rPr>
          <w:sz w:val="20"/>
          <w:szCs w:val="20"/>
          <w:color w:val="auto"/>
        </w:rPr>
      </w:pPr>
    </w:p>
    <w:p>
      <w:pPr>
        <w:spacing w:after="0" w:line="254"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 xml:space="preserve">EAR99 Items subject to the EAR that are </w:t>
      </w:r>
      <w:r>
        <w:rPr>
          <w:rFonts w:ascii="Times New Roman" w:cs="Times New Roman" w:eastAsia="Times New Roman" w:hAnsi="Times New Roman"/>
          <w:sz w:val="22"/>
          <w:szCs w:val="22"/>
          <w:b w:val="1"/>
          <w:bCs w:val="1"/>
          <w:i w:val="1"/>
          <w:iCs w:val="1"/>
          <w:color w:val="auto"/>
        </w:rPr>
        <w:t>not</w:t>
      </w:r>
    </w:p>
    <w:p>
      <w:pPr>
        <w:spacing w:after="0" w:line="6" w:lineRule="exact"/>
        <w:rPr>
          <w:sz w:val="20"/>
          <w:szCs w:val="20"/>
          <w:color w:val="auto"/>
        </w:rPr>
      </w:pPr>
    </w:p>
    <w:p>
      <w:pPr>
        <w:spacing w:after="0"/>
        <w:rPr>
          <w:sz w:val="20"/>
          <w:szCs w:val="20"/>
          <w:color w:val="auto"/>
        </w:rPr>
      </w:pPr>
      <w:r>
        <w:rPr>
          <w:rFonts w:ascii="Times New Roman" w:cs="Times New Roman" w:eastAsia="Times New Roman" w:hAnsi="Times New Roman"/>
          <w:sz w:val="22"/>
          <w:szCs w:val="22"/>
          <w:b w:val="1"/>
          <w:bCs w:val="1"/>
          <w:color w:val="auto"/>
        </w:rPr>
        <w:t xml:space="preserve">elsewhere specified in this CCL Category </w:t>
      </w:r>
      <w:r>
        <w:rPr>
          <w:rFonts w:ascii="Times New Roman" w:cs="Times New Roman" w:eastAsia="Times New Roman" w:hAnsi="Times New Roman"/>
          <w:sz w:val="22"/>
          <w:szCs w:val="22"/>
          <w:b w:val="1"/>
          <w:bCs w:val="1"/>
          <w:i w:val="1"/>
          <w:iCs w:val="1"/>
          <w:color w:val="auto"/>
        </w:rPr>
        <w:t>or</w:t>
      </w:r>
    </w:p>
    <w:p>
      <w:pPr>
        <w:spacing w:after="0"/>
        <w:rPr>
          <w:sz w:val="20"/>
          <w:szCs w:val="20"/>
          <w:color w:val="auto"/>
        </w:rPr>
      </w:pPr>
      <w:r>
        <w:rPr>
          <w:rFonts w:ascii="Times New Roman" w:cs="Times New Roman" w:eastAsia="Times New Roman" w:hAnsi="Times New Roman"/>
          <w:sz w:val="22"/>
          <w:szCs w:val="22"/>
          <w:b w:val="1"/>
          <w:bCs w:val="1"/>
          <w:color w:val="auto"/>
        </w:rPr>
        <w:t>in  any  other  category  in  the  CCL  are</w:t>
      </w:r>
    </w:p>
    <w:p>
      <w:pPr>
        <w:spacing w:after="0"/>
        <w:rPr>
          <w:sz w:val="20"/>
          <w:szCs w:val="20"/>
          <w:color w:val="auto"/>
        </w:rPr>
      </w:pPr>
      <w:r>
        <w:rPr>
          <w:rFonts w:ascii="Times New Roman" w:cs="Times New Roman" w:eastAsia="Times New Roman" w:hAnsi="Times New Roman"/>
          <w:sz w:val="22"/>
          <w:szCs w:val="22"/>
          <w:b w:val="1"/>
          <w:bCs w:val="1"/>
          <w:color w:val="auto"/>
        </w:rPr>
        <w:t>designated by the number EAR99.</w:t>
      </w: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200" w:lineRule="exact"/>
        <w:rPr>
          <w:sz w:val="20"/>
          <w:szCs w:val="20"/>
          <w:color w:val="auto"/>
        </w:rPr>
      </w:pPr>
    </w:p>
    <w:p>
      <w:pPr>
        <w:spacing w:after="0" w:line="329" w:lineRule="exact"/>
        <w:rPr>
          <w:sz w:val="20"/>
          <w:szCs w:val="20"/>
          <w:color w:val="auto"/>
        </w:rPr>
      </w:pPr>
    </w:p>
    <w:p>
      <w:pPr>
        <w:spacing w:after="0"/>
        <w:tabs>
          <w:tab w:leader="none" w:pos="3420" w:val="left"/>
          <w:tab w:leader="none" w:pos="8320" w:val="left"/>
        </w:tabs>
        <w:rPr>
          <w:sz w:val="20"/>
          <w:szCs w:val="20"/>
          <w:color w:val="auto"/>
        </w:rPr>
      </w:pPr>
      <w:r>
        <w:rPr>
          <w:rFonts w:ascii="Times New Roman" w:cs="Times New Roman" w:eastAsia="Times New Roman" w:hAnsi="Times New Roman"/>
          <w:sz w:val="18"/>
          <w:szCs w:val="18"/>
          <w:b w:val="1"/>
          <w:bCs w:val="1"/>
          <w:color w:val="auto"/>
        </w:rPr>
        <w:t>Export Administration Regulations</w:t>
      </w:r>
      <w:r>
        <w:rPr>
          <w:sz w:val="20"/>
          <w:szCs w:val="20"/>
          <w:color w:val="auto"/>
        </w:rPr>
        <w:tab/>
      </w:r>
      <w:r>
        <w:rPr>
          <w:rFonts w:ascii="Times New Roman" w:cs="Times New Roman" w:eastAsia="Times New Roman" w:hAnsi="Times New Roman"/>
          <w:sz w:val="18"/>
          <w:szCs w:val="18"/>
          <w:b w:val="1"/>
          <w:bCs w:val="1"/>
          <w:color w:val="auto"/>
        </w:rPr>
        <w:t>Bureau of Industry and Security</w:t>
      </w:r>
      <w:r>
        <w:rPr>
          <w:sz w:val="20"/>
          <w:szCs w:val="20"/>
          <w:color w:val="auto"/>
        </w:rPr>
        <w:tab/>
      </w:r>
      <w:r>
        <w:rPr>
          <w:rFonts w:ascii="Times New Roman" w:cs="Times New Roman" w:eastAsia="Times New Roman" w:hAnsi="Times New Roman"/>
          <w:sz w:val="17"/>
          <w:szCs w:val="17"/>
          <w:b w:val="1"/>
          <w:bCs w:val="1"/>
          <w:color w:val="auto"/>
        </w:rPr>
        <w:t>May 23, 2019</w:t>
      </w:r>
    </w:p>
    <w:sectPr>
      <w:pgSz w:w="12240" w:h="15840" w:orient="portrait"/>
      <w:cols w:equalWidth="0" w:num="1">
        <w:col w:w="9360"/>
      </w:cols>
      <w:pgMar w:left="1440" w:top="1422" w:right="1440" w:bottom="892" w:gutter="0" w:footer="0" w:header="0"/>
    </w:sectPr>
  </w:body>
</w:document>
</file>

<file path=word/fontTable.xml><?xml version="1.0" encoding="utf-8"?>
<w:font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http://schemas.openxmlformats.org/wordprocessingml/2006/main">
  <w:abstractNum w:abstractNumId="0">
    <w:nsid w:val="216231B"/>
    <w:multiLevelType w:val="hybridMultilevel"/>
    <w:lvl w:ilvl="0">
      <w:lvlJc w:val="left"/>
      <w:lvlText w:val="%1."/>
      <w:numFmt w:val="decimal"/>
      <w:start w:val="1"/>
    </w:lvl>
    <w:lvl w:ilvl="1">
      <w:lvlJc w:val="left"/>
      <w:lvlText w:val="%2."/>
      <w:numFmt w:val="lowerLetter"/>
      <w:start w:val="1"/>
    </w:lvl>
  </w:abstractNum>
  <w:abstractNum w:abstractNumId="1">
    <w:nsid w:val="1F16E9E8"/>
    <w:multiLevelType w:val="hybridMultilevel"/>
    <w:lvl w:ilvl="0">
      <w:lvlJc w:val="left"/>
      <w:lvlText w:val="%1."/>
      <w:numFmt w:val="decimal"/>
      <w:start w:val="1"/>
    </w:lvl>
    <w:lvl w:ilvl="1">
      <w:lvlJc w:val="left"/>
      <w:lvlText w:val="%2."/>
      <w:numFmt w:val="lowerLetter"/>
      <w:start w:val="1"/>
    </w:lvl>
  </w:abstractNum>
  <w:abstractNum w:abstractNumId="2">
    <w:nsid w:val="1190CDE7"/>
    <w:multiLevelType w:val="hybridMultilevel"/>
    <w:lvl w:ilvl="0">
      <w:lvlJc w:val="left"/>
      <w:lvlText w:val="%1."/>
      <w:numFmt w:val="decimal"/>
      <w:start w:val="2"/>
    </w:lvl>
  </w:abstractNum>
  <w:abstractNum w:abstractNumId="3">
    <w:nsid w:val="66EF438D"/>
    <w:multiLevelType w:val="hybridMultilevel"/>
    <w:lvl w:ilvl="0">
      <w:lvlJc w:val="left"/>
      <w:lvlText w:val="§"/>
      <w:numFmt w:val="bullet"/>
      <w:start w:val="1"/>
    </w:lvl>
    <w:lvl w:ilvl="1">
      <w:lvlJc w:val="left"/>
      <w:lvlText w:val="%2."/>
      <w:numFmt w:val="upperLetter"/>
      <w:start w:val="1"/>
    </w:lvl>
    <w:lvl w:ilvl="2">
      <w:lvlJc w:val="left"/>
      <w:lvlText w:val="%3."/>
      <w:numFmt w:val="upperLetter"/>
      <w:start w:val="9"/>
    </w:lvl>
  </w:abstractNum>
  <w:abstractNum w:abstractNumId="4">
    <w:nsid w:val="140E0F76"/>
    <w:multiLevelType w:val="hybridMultilevel"/>
    <w:lvl w:ilvl="0">
      <w:lvlJc w:val="left"/>
      <w:lvlText w:val="%1"/>
      <w:numFmt w:val="lowerLetter"/>
      <w:start w:val="1"/>
    </w:lvl>
  </w:abstractNum>
  <w:abstractNum w:abstractNumId="5">
    <w:nsid w:val="3352255A"/>
    <w:multiLevelType w:val="hybridMultilevel"/>
    <w:lvl w:ilvl="0">
      <w:lvlJc w:val="left"/>
      <w:lvlText w:val="%1."/>
      <w:numFmt w:val="lowerLetter"/>
      <w:start w:val="1"/>
    </w:lvl>
  </w:abstractNum>
  <w:abstractNum w:abstractNumId="6">
    <w:nsid w:val="109CF92E"/>
    <w:multiLevelType w:val="hybridMultilevel"/>
    <w:lvl w:ilvl="0">
      <w:lvlJc w:val="left"/>
      <w:lvlText w:val="%1."/>
      <w:numFmt w:val="decimal"/>
      <w:start w:val="1"/>
    </w:lvl>
  </w:abstractNum>
  <w:abstractNum w:abstractNumId="7">
    <w:nsid w:val="DED7263"/>
    <w:multiLevelType w:val="hybridMultilevel"/>
    <w:lvl w:ilvl="0">
      <w:lvlJc w:val="left"/>
      <w:lvlText w:val="%1."/>
      <w:numFmt w:val="decimal"/>
      <w:start w:val="2"/>
    </w:lvl>
  </w:abstractNum>
  <w:abstractNum w:abstractNumId="8">
    <w:nsid w:val="7FDCC233"/>
    <w:multiLevelType w:val="hybridMultilevel"/>
    <w:lvl w:ilvl="0">
      <w:lvlJc w:val="left"/>
      <w:lvlText w:val="%1."/>
      <w:numFmt w:val="lowerLetter"/>
      <w:start w:val="1"/>
    </w:lvl>
  </w:abstractNum>
  <w:abstractNum w:abstractNumId="9">
    <w:nsid w:val="1BEFD79F"/>
    <w:multiLevelType w:val="hybridMultilevel"/>
    <w:lvl w:ilvl="0">
      <w:lvlJc w:val="left"/>
      <w:lvlText w:val="%1."/>
      <w:numFmt w:val="lowerLetter"/>
      <w:start w:val="4"/>
    </w:lvl>
  </w:abstractNum>
  <w:abstractNum w:abstractNumId="10">
    <w:nsid w:val="41A7C4C9"/>
    <w:multiLevelType w:val="hybridMultilevel"/>
    <w:lvl w:ilvl="0">
      <w:lvlJc w:val="left"/>
      <w:lvlText w:val="%1."/>
      <w:numFmt w:val="lowerLetter"/>
      <w:start w:val="4"/>
    </w:lvl>
  </w:abstractNum>
  <w:abstractNum w:abstractNumId="11">
    <w:nsid w:val="6B68079A"/>
    <w:multiLevelType w:val="hybridMultilevel"/>
    <w:lvl w:ilvl="0">
      <w:lvlJc w:val="left"/>
      <w:lvlText w:val="%1."/>
      <w:numFmt w:val="lowerLetter"/>
      <w:start w:val="1"/>
    </w:lvl>
  </w:abstractNum>
  <w:abstractNum w:abstractNumId="12">
    <w:nsid w:val="4E6AFB66"/>
    <w:multiLevelType w:val="hybridMultilevel"/>
    <w:lvl w:ilvl="0">
      <w:lvlJc w:val="left"/>
      <w:lvlText w:val="%1."/>
      <w:numFmt w:val="upperLetter"/>
      <w:start w:val="35"/>
    </w:lvl>
  </w:abstractNum>
  <w:abstractNum w:abstractNumId="13">
    <w:nsid w:val="25E45D32"/>
    <w:multiLevelType w:val="hybridMultilevel"/>
    <w:lvl w:ilvl="0">
      <w:lvlJc w:val="left"/>
      <w:lvlText w:val="%1."/>
      <w:numFmt w:val="upperLetter"/>
      <w:start w:val="61"/>
    </w:lvl>
  </w:abstractNum>
  <w:abstractNum w:abstractNumId="14">
    <w:nsid w:val="519B500D"/>
    <w:multiLevelType w:val="hybridMultilevel"/>
    <w:lvl w:ilvl="0">
      <w:lvlJc w:val="left"/>
      <w:lvlText w:val="%1."/>
      <w:numFmt w:val="lowerLetter"/>
      <w:start w:val="2"/>
    </w:lvl>
  </w:abstractNum>
  <w:abstractNum w:abstractNumId="15">
    <w:nsid w:val="431BD7B7"/>
    <w:multiLevelType w:val="hybridMultilevel"/>
    <w:lvl w:ilvl="0">
      <w:lvlJc w:val="left"/>
      <w:lvlText w:val="§"/>
      <w:numFmt w:val="bullet"/>
      <w:start w:val="1"/>
    </w:lvl>
  </w:abstractNum>
  <w:abstractNum w:abstractNumId="16">
    <w:nsid w:val="3F2DBA31"/>
    <w:multiLevelType w:val="hybridMultilevel"/>
    <w:lvl w:ilvl="0">
      <w:lvlJc w:val="left"/>
      <w:lvlText w:val="%1."/>
      <w:numFmt w:val="lowerLetter"/>
      <w:start w:val="3"/>
    </w:lvl>
  </w:abstractNum>
  <w:abstractNum w:abstractNumId="17">
    <w:nsid w:val="7C83E458"/>
    <w:multiLevelType w:val="hybridMultilevel"/>
    <w:lvl w:ilvl="0">
      <w:lvlJc w:val="left"/>
      <w:lvlText w:val="%1."/>
      <w:numFmt w:val="lowerLetter"/>
      <w:start w:val="1"/>
    </w:lvl>
  </w:abstractNum>
  <w:abstractNum w:abstractNumId="18">
    <w:nsid w:val="257130A3"/>
    <w:multiLevelType w:val="hybridMultilevel"/>
    <w:lvl w:ilvl="0">
      <w:lvlJc w:val="left"/>
      <w:lvlText w:val="(%1)"/>
      <w:numFmt w:val="decimal"/>
      <w:start w:val="2"/>
    </w:lvl>
  </w:abstractNum>
  <w:abstractNum w:abstractNumId="19">
    <w:nsid w:val="62BBD95A"/>
    <w:multiLevelType w:val="hybridMultilevel"/>
    <w:lvl w:ilvl="0">
      <w:lvlJc w:val="left"/>
      <w:lvlText w:val="%1."/>
      <w:numFmt w:val="lowerLetter"/>
      <w:start w:val="1"/>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eastAsiaTheme="minorEastAsia"/>
        <w:sz w:val="22"/>
        <w:szCs w:val="22"/>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Layout w:type="fixed"/>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2020-05-27T05:27:25Z</dcterms:created>
  <dcterms:modified xsi:type="dcterms:W3CDTF">2020-05-27T05:27:25Z</dcterms:modified>
</cp:coreProperties>
</file>