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1</w:t>
      </w:r>
    </w:p>
    <w:p>
      <w:pPr>
        <w:sectPr>
          <w:pgSz w:w="12240" w:h="15840" w:orient="portrait"/>
          <w:cols w:equalWidth="0" w:num="1">
            <w:col w:w="9360"/>
          </w:cols>
          <w:pgMar w:left="1440" w:top="1437" w:right="1440" w:bottom="876" w:gutter="0" w:footer="0" w:header="0"/>
        </w:sectPr>
      </w:pPr>
    </w:p>
    <w:p>
      <w:pPr>
        <w:spacing w:after="0" w:line="276" w:lineRule="exact"/>
        <w:rPr>
          <w:sz w:val="24"/>
          <w:szCs w:val="24"/>
          <w:color w:val="auto"/>
        </w:rPr>
      </w:pPr>
    </w:p>
    <w:p>
      <w:pPr>
        <w:jc w:val="center"/>
        <w:ind w:right="171"/>
        <w:spacing w:after="0"/>
        <w:rPr>
          <w:sz w:val="20"/>
          <w:szCs w:val="20"/>
          <w:color w:val="auto"/>
        </w:rPr>
      </w:pPr>
      <w:r>
        <w:rPr>
          <w:rFonts w:ascii="Times New Roman" w:cs="Times New Roman" w:eastAsia="Times New Roman" w:hAnsi="Times New Roman"/>
          <w:sz w:val="22"/>
          <w:szCs w:val="22"/>
          <w:b w:val="1"/>
          <w:bCs w:val="1"/>
          <w:i w:val="1"/>
          <w:iCs w:val="1"/>
          <w:color w:val="auto"/>
        </w:rPr>
        <w:t>CATEGORY 7 - NAVIGATION AND</w:t>
      </w:r>
    </w:p>
    <w:p>
      <w:pPr>
        <w:jc w:val="center"/>
        <w:ind w:right="191"/>
        <w:spacing w:after="0"/>
        <w:rPr>
          <w:sz w:val="20"/>
          <w:szCs w:val="20"/>
          <w:color w:val="auto"/>
        </w:rPr>
      </w:pPr>
      <w:r>
        <w:rPr>
          <w:rFonts w:ascii="Times New Roman" w:cs="Times New Roman" w:eastAsia="Times New Roman" w:hAnsi="Times New Roman"/>
          <w:sz w:val="22"/>
          <w:szCs w:val="22"/>
          <w:b w:val="1"/>
          <w:bCs w:val="1"/>
          <w:i w:val="1"/>
          <w:iCs w:val="1"/>
          <w:color w:val="auto"/>
        </w:rPr>
        <w:t>AVIONICS</w:t>
      </w:r>
    </w:p>
    <w:p>
      <w:pPr>
        <w:spacing w:after="0" w:line="200" w:lineRule="exact"/>
        <w:rPr>
          <w:sz w:val="24"/>
          <w:szCs w:val="24"/>
          <w:color w:val="auto"/>
        </w:rPr>
      </w:pPr>
    </w:p>
    <w:p>
      <w:pPr>
        <w:spacing w:after="0" w:line="320" w:lineRule="exact"/>
        <w:rPr>
          <w:sz w:val="24"/>
          <w:szCs w:val="24"/>
          <w:color w:val="auto"/>
        </w:rPr>
      </w:pPr>
    </w:p>
    <w:p>
      <w:pPr>
        <w:ind w:left="180" w:right="351" w:firstLine="178"/>
        <w:spacing w:after="0" w:line="249" w:lineRule="auto"/>
        <w:tabs>
          <w:tab w:leader="none" w:pos="688" w:val="left"/>
        </w:tabs>
        <w:numPr>
          <w:ilvl w:val="0"/>
          <w:numId w:val="1"/>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“END ITEMS,” “EQUIPMENT,” “ACCESSORIES,” “ATTACHMENTS,”</w:t>
      </w:r>
    </w:p>
    <w:p>
      <w:pPr>
        <w:ind w:left="40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“PARTS,” “COMPONENTS,” AND</w:t>
      </w:r>
    </w:p>
    <w:p>
      <w:pPr>
        <w:ind w:left="150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“SYSTEMS”</w:t>
      </w:r>
    </w:p>
    <w:p>
      <w:pPr>
        <w:spacing w:after="0" w:line="200" w:lineRule="exact"/>
        <w:rPr>
          <w:sz w:val="24"/>
          <w:szCs w:val="24"/>
          <w:color w:val="auto"/>
        </w:rPr>
      </w:pPr>
    </w:p>
    <w:p>
      <w:pPr>
        <w:spacing w:after="0" w:line="318" w:lineRule="exact"/>
        <w:rPr>
          <w:sz w:val="24"/>
          <w:szCs w:val="24"/>
          <w:color w:val="auto"/>
        </w:rPr>
      </w:pPr>
    </w:p>
    <w:p>
      <w:pPr>
        <w:jc w:val="both"/>
        <w:ind w:right="191"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N.B.1: </w:t>
      </w:r>
      <w:r>
        <w:rPr>
          <w:rFonts w:ascii="Times New Roman" w:cs="Times New Roman" w:eastAsia="Times New Roman" w:hAnsi="Times New Roman"/>
          <w:sz w:val="22"/>
          <w:szCs w:val="22"/>
          <w:i w:val="1"/>
          <w:iCs w:val="1"/>
          <w:color w:val="auto"/>
        </w:rPr>
        <w:t>For automatic pilots for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underwater vehicles, see Category 8. For radar, see Category 6.</w:t>
      </w:r>
    </w:p>
    <w:p>
      <w:pPr>
        <w:spacing w:after="0" w:line="200" w:lineRule="exact"/>
        <w:rPr>
          <w:sz w:val="24"/>
          <w:szCs w:val="24"/>
          <w:color w:val="auto"/>
        </w:rPr>
      </w:pPr>
    </w:p>
    <w:p>
      <w:pPr>
        <w:spacing w:after="0" w:line="320" w:lineRule="exact"/>
        <w:rPr>
          <w:sz w:val="24"/>
          <w:szCs w:val="24"/>
          <w:color w:val="auto"/>
        </w:rPr>
      </w:pPr>
    </w:p>
    <w:p>
      <w:pPr>
        <w:jc w:val="both"/>
        <w:ind w:right="171"/>
        <w:spacing w:after="0" w:line="235" w:lineRule="auto"/>
        <w:rPr>
          <w:sz w:val="20"/>
          <w:szCs w:val="20"/>
          <w:color w:val="auto"/>
        </w:rPr>
      </w:pPr>
      <w:r>
        <w:rPr>
          <w:rFonts w:ascii="Times New Roman" w:cs="Times New Roman" w:eastAsia="Times New Roman" w:hAnsi="Times New Roman"/>
          <w:sz w:val="22"/>
          <w:szCs w:val="22"/>
          <w:b w:val="1"/>
          <w:bCs w:val="1"/>
          <w:color w:val="auto"/>
        </w:rPr>
        <w:t>7A001 Accelerometers as follows (see List of Items Controlled) and “specially designed” “components” therefor.</w:t>
      </w:r>
    </w:p>
    <w:p>
      <w:pPr>
        <w:spacing w:after="0" w:line="256"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4"/>
          <w:szCs w:val="24"/>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AT</w:t>
      </w:r>
    </w:p>
    <w:p>
      <w:pPr>
        <w:spacing w:after="0" w:line="236" w:lineRule="exact"/>
        <w:rPr>
          <w:sz w:val="24"/>
          <w:szCs w:val="24"/>
          <w:color w:val="auto"/>
        </w:rPr>
      </w:pPr>
    </w:p>
    <w:tbl>
      <w:tblPr>
        <w:tblLayout w:type="fixed"/>
        <w:tblInd w:w="10" w:type="dxa"/>
        <w:tblCellMar>
          <w:top w:w="0" w:type="dxa"/>
          <w:left w:w="0" w:type="dxa"/>
          <w:bottom w:w="0" w:type="dxa"/>
          <w:right w:w="0" w:type="dxa"/>
        </w:tblCellMar>
      </w:tblPr>
      <w:tr>
        <w:trPr>
          <w:trHeight w:val="261"/>
        </w:trPr>
        <w:tc>
          <w:tcPr>
            <w:tcW w:w="2800" w:type="dxa"/>
            <w:vAlign w:val="bottom"/>
            <w:tcBorders>
              <w:top w:val="single" w:sz="8" w:color="auto"/>
              <w:left w:val="single" w:sz="8" w:color="auto"/>
              <w:right w:val="single" w:sz="8" w:color="auto"/>
            </w:tcBorders>
          </w:tcPr>
          <w:p>
            <w:pPr>
              <w:spacing w:after="0"/>
              <w:rPr>
                <w:sz w:val="22"/>
                <w:szCs w:val="22"/>
                <w:color w:val="auto"/>
              </w:rPr>
            </w:pPr>
          </w:p>
        </w:tc>
        <w:tc>
          <w:tcPr>
            <w:tcW w:w="156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4"/>
        </w:trPr>
        <w:tc>
          <w:tcPr>
            <w:tcW w:w="2800" w:type="dxa"/>
            <w:vAlign w:val="bottom"/>
            <w:tcBorders>
              <w:left w:val="single" w:sz="8" w:color="auto"/>
              <w:right w:val="single" w:sz="8" w:color="auto"/>
            </w:tcBorders>
          </w:tcPr>
          <w:p>
            <w:pPr>
              <w:ind w:left="9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6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4"/>
        </w:trPr>
        <w:tc>
          <w:tcPr>
            <w:tcW w:w="2800" w:type="dxa"/>
            <w:vAlign w:val="bottom"/>
            <w:tcBorders>
              <w:left w:val="single" w:sz="8" w:color="auto"/>
              <w:bottom w:val="single" w:sz="8" w:color="auto"/>
              <w:right w:val="single" w:sz="8" w:color="auto"/>
            </w:tcBorders>
          </w:tcPr>
          <w:p>
            <w:pPr>
              <w:spacing w:after="0"/>
              <w:rPr>
                <w:sz w:val="22"/>
                <w:szCs w:val="22"/>
                <w:color w:val="auto"/>
              </w:rPr>
            </w:pPr>
          </w:p>
        </w:tc>
        <w:tc>
          <w:tcPr>
            <w:tcW w:w="156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2"/>
        </w:trPr>
        <w:tc>
          <w:tcPr>
            <w:tcW w:w="280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56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1"/>
        </w:trPr>
        <w:tc>
          <w:tcPr>
            <w:tcW w:w="2800" w:type="dxa"/>
            <w:vAlign w:val="bottom"/>
            <w:tcBorders>
              <w:left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applies to commodities</w:t>
            </w:r>
          </w:p>
        </w:tc>
        <w:tc>
          <w:tcPr>
            <w:tcW w:w="156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80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that  meet  or  exceed  the</w:t>
            </w:r>
          </w:p>
        </w:tc>
        <w:tc>
          <w:tcPr>
            <w:tcW w:w="1560" w:type="dxa"/>
            <w:vAlign w:val="bottom"/>
            <w:tcBorders>
              <w:right w:val="single" w:sz="8" w:color="auto"/>
            </w:tcBorders>
          </w:tcPr>
          <w:p>
            <w:pPr>
              <w:spacing w:after="0"/>
              <w:rPr>
                <w:sz w:val="22"/>
                <w:szCs w:val="22"/>
                <w:color w:val="auto"/>
              </w:rPr>
            </w:pPr>
          </w:p>
        </w:tc>
      </w:tr>
      <w:tr>
        <w:trPr>
          <w:trHeight w:val="255"/>
        </w:trPr>
        <w:tc>
          <w:tcPr>
            <w:tcW w:w="280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parameters of 7A101.</w:t>
            </w:r>
          </w:p>
        </w:tc>
        <w:tc>
          <w:tcPr>
            <w:tcW w:w="1560" w:type="dxa"/>
            <w:vAlign w:val="bottom"/>
            <w:tcBorders>
              <w:bottom w:val="single" w:sz="8" w:color="auto"/>
              <w:right w:val="single" w:sz="8" w:color="auto"/>
            </w:tcBorders>
          </w:tcPr>
          <w:p>
            <w:pPr>
              <w:spacing w:after="0"/>
              <w:rPr>
                <w:sz w:val="22"/>
                <w:szCs w:val="22"/>
                <w:color w:val="auto"/>
              </w:rPr>
            </w:pPr>
          </w:p>
        </w:tc>
      </w:tr>
      <w:tr>
        <w:trPr>
          <w:trHeight w:val="243"/>
        </w:trPr>
        <w:tc>
          <w:tcPr>
            <w:tcW w:w="280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6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4"/>
          <w:szCs w:val="24"/>
          <w:color w:val="auto"/>
        </w:rPr>
      </w:pPr>
    </w:p>
    <w:p>
      <w:pPr>
        <w:spacing w:after="0" w:line="316" w:lineRule="exact"/>
        <w:rPr>
          <w:sz w:val="24"/>
          <w:szCs w:val="24"/>
          <w:color w:val="auto"/>
        </w:rPr>
      </w:pPr>
    </w:p>
    <w:p>
      <w:pPr>
        <w:jc w:val="both"/>
        <w:ind w:right="191"/>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4"/>
          <w:szCs w:val="24"/>
          <w:color w:val="auto"/>
        </w:rPr>
      </w:pPr>
    </w:p>
    <w:p>
      <w:pPr>
        <w:jc w:val="both"/>
        <w:ind w:left="540" w:right="171" w:hanging="179"/>
        <w:spacing w:after="0" w:line="237"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XII(e) for accelerometers subject to the ITAR. (2) See also ECCNs </w:t>
      </w:r>
      <w:r>
        <w:rPr>
          <w:rFonts w:ascii="Times New Roman" w:cs="Times New Roman" w:eastAsia="Times New Roman" w:hAnsi="Times New Roman"/>
          <w:sz w:val="22"/>
          <w:szCs w:val="22"/>
          <w:u w:val="single" w:color="auto"/>
          <w:color w:val="0000FF"/>
        </w:rPr>
        <w:t>7A101</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7A611</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7A994</w:t>
      </w:r>
      <w:r>
        <w:rPr>
          <w:rFonts w:ascii="Times New Roman" w:cs="Times New Roman" w:eastAsia="Times New Roman" w:hAnsi="Times New Roman"/>
          <w:sz w:val="22"/>
          <w:szCs w:val="22"/>
          <w:color w:val="000000"/>
        </w:rPr>
        <w:t>. (3) For angular or</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rotational accelerometers, see ECCN</w:t>
      </w:r>
    </w:p>
    <w:p>
      <w:pPr>
        <w:spacing w:after="0" w:line="20" w:lineRule="exact"/>
        <w:rPr>
          <w:sz w:val="24"/>
          <w:szCs w:val="24"/>
          <w:color w:val="auto"/>
        </w:rPr>
      </w:pPr>
      <w:r>
        <w:rPr>
          <w:sz w:val="24"/>
          <w:szCs w:val="24"/>
          <w:color w:val="auto"/>
        </w:rPr>
        <w:br w:type="column"/>
      </w:r>
    </w:p>
    <w:p>
      <w:pPr>
        <w:spacing w:after="0" w:line="267" w:lineRule="exact"/>
        <w:rPr>
          <w:sz w:val="24"/>
          <w:szCs w:val="24"/>
          <w:color w:val="auto"/>
        </w:rPr>
      </w:pPr>
    </w:p>
    <w:p>
      <w:pPr>
        <w:jc w:val="both"/>
        <w:ind w:left="549"/>
        <w:spacing w:after="0" w:line="234" w:lineRule="auto"/>
        <w:rPr>
          <w:sz w:val="20"/>
          <w:szCs w:val="20"/>
          <w:color w:val="auto"/>
        </w:rPr>
      </w:pPr>
      <w:r>
        <w:rPr>
          <w:rFonts w:ascii="Times New Roman" w:cs="Times New Roman" w:eastAsia="Times New Roman" w:hAnsi="Times New Roman"/>
          <w:sz w:val="22"/>
          <w:szCs w:val="22"/>
          <w:u w:val="single" w:color="auto"/>
          <w:color w:val="0000FF"/>
        </w:rPr>
        <w:t>7A001.b</w:t>
      </w:r>
      <w:r>
        <w:rPr>
          <w:rFonts w:ascii="Times New Roman" w:cs="Times New Roman" w:eastAsia="Times New Roman" w:hAnsi="Times New Roman"/>
          <w:sz w:val="22"/>
          <w:szCs w:val="22"/>
          <w:color w:val="000000"/>
        </w:rPr>
        <w:t>. (4) MT controls do not apply</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to accelerometers that are “specially</w:t>
      </w:r>
    </w:p>
    <w:p>
      <w:pPr>
        <w:spacing w:after="0" w:line="13" w:lineRule="exact"/>
        <w:rPr>
          <w:sz w:val="24"/>
          <w:szCs w:val="24"/>
          <w:color w:val="auto"/>
        </w:rPr>
      </w:pPr>
    </w:p>
    <w:p>
      <w:pPr>
        <w:jc w:val="both"/>
        <w:ind w:left="549"/>
        <w:spacing w:after="0" w:line="236" w:lineRule="auto"/>
        <w:rPr>
          <w:sz w:val="20"/>
          <w:szCs w:val="20"/>
          <w:color w:val="auto"/>
        </w:rPr>
      </w:pPr>
      <w:r>
        <w:rPr>
          <w:rFonts w:ascii="Times New Roman" w:cs="Times New Roman" w:eastAsia="Times New Roman" w:hAnsi="Times New Roman"/>
          <w:sz w:val="22"/>
          <w:szCs w:val="22"/>
          <w:color w:val="auto"/>
        </w:rPr>
        <w:t>designed” and developed as Measurement While Drilling (MWD) sensors for use in downhole well service applications.</w:t>
      </w:r>
    </w:p>
    <w:p>
      <w:pPr>
        <w:spacing w:after="0" w:line="4" w:lineRule="exact"/>
        <w:rPr>
          <w:sz w:val="24"/>
          <w:szCs w:val="24"/>
          <w:color w:val="auto"/>
        </w:rPr>
      </w:pPr>
    </w:p>
    <w:p>
      <w:pPr>
        <w:ind w:left="369"/>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9"/>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4"/>
          <w:szCs w:val="24"/>
          <w:color w:val="auto"/>
        </w:rPr>
      </w:pPr>
    </w:p>
    <w:p>
      <w:pPr>
        <w:ind w:left="9" w:hanging="9"/>
        <w:spacing w:after="0" w:line="233" w:lineRule="auto"/>
        <w:tabs>
          <w:tab w:leader="none" w:pos="394"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Linear accelerometers having any of the following:</w:t>
      </w:r>
    </w:p>
    <w:p>
      <w:pPr>
        <w:spacing w:after="0" w:line="267" w:lineRule="exact"/>
        <w:rPr>
          <w:sz w:val="24"/>
          <w:szCs w:val="24"/>
          <w:color w:val="auto"/>
        </w:rPr>
      </w:pPr>
    </w:p>
    <w:p>
      <w:pPr>
        <w:jc w:val="both"/>
        <w:ind w:left="9" w:firstLine="360"/>
        <w:spacing w:after="0" w:line="236" w:lineRule="auto"/>
        <w:rPr>
          <w:sz w:val="20"/>
          <w:szCs w:val="20"/>
          <w:color w:val="auto"/>
        </w:rPr>
      </w:pPr>
      <w:r>
        <w:rPr>
          <w:rFonts w:ascii="Times New Roman" w:cs="Times New Roman" w:eastAsia="Times New Roman" w:hAnsi="Times New Roman"/>
          <w:sz w:val="22"/>
          <w:szCs w:val="22"/>
          <w:color w:val="auto"/>
        </w:rPr>
        <w:t>a.1. Specified to function at linear acceleration levels less than or equal to 15 g and having any of the following:</w:t>
      </w:r>
    </w:p>
    <w:p>
      <w:pPr>
        <w:spacing w:after="0" w:line="265" w:lineRule="exact"/>
        <w:rPr>
          <w:sz w:val="24"/>
          <w:szCs w:val="24"/>
          <w:color w:val="auto"/>
        </w:rPr>
      </w:pPr>
    </w:p>
    <w:p>
      <w:pPr>
        <w:jc w:val="both"/>
        <w:ind w:left="9" w:firstLine="720"/>
        <w:spacing w:after="0" w:line="236" w:lineRule="auto"/>
        <w:rPr>
          <w:sz w:val="20"/>
          <w:szCs w:val="20"/>
          <w:color w:val="auto"/>
        </w:rPr>
      </w:pPr>
      <w:r>
        <w:rPr>
          <w:rFonts w:ascii="Times New Roman" w:cs="Times New Roman" w:eastAsia="Times New Roman" w:hAnsi="Times New Roman"/>
          <w:sz w:val="22"/>
          <w:szCs w:val="22"/>
          <w:color w:val="auto"/>
        </w:rPr>
        <w:t xml:space="preserve">a.1.a. A “bias” “stability” of less (better) than 130 micro g with respect to a fixed calibration value over a period of one year; </w:t>
      </w:r>
      <w:r>
        <w:rPr>
          <w:rFonts w:ascii="Times New Roman" w:cs="Times New Roman" w:eastAsia="Times New Roman" w:hAnsi="Times New Roman"/>
          <w:sz w:val="22"/>
          <w:szCs w:val="22"/>
          <w:i w:val="1"/>
          <w:iCs w:val="1"/>
          <w:color w:val="auto"/>
        </w:rPr>
        <w:t>or</w:t>
      </w:r>
    </w:p>
    <w:p>
      <w:pPr>
        <w:spacing w:after="0" w:line="267" w:lineRule="exact"/>
        <w:rPr>
          <w:sz w:val="24"/>
          <w:szCs w:val="24"/>
          <w:color w:val="auto"/>
        </w:rPr>
      </w:pPr>
    </w:p>
    <w:p>
      <w:pPr>
        <w:jc w:val="both"/>
        <w:ind w:left="9" w:firstLine="720"/>
        <w:spacing w:after="0" w:line="236" w:lineRule="auto"/>
        <w:rPr>
          <w:sz w:val="20"/>
          <w:szCs w:val="20"/>
          <w:color w:val="auto"/>
        </w:rPr>
      </w:pPr>
      <w:r>
        <w:rPr>
          <w:rFonts w:ascii="Times New Roman" w:cs="Times New Roman" w:eastAsia="Times New Roman" w:hAnsi="Times New Roman"/>
          <w:sz w:val="22"/>
          <w:szCs w:val="22"/>
          <w:color w:val="auto"/>
        </w:rPr>
        <w:t>a.1.b. A “scale factor” “stability” of less (better) than 130 ppm with respect to a fixed calibration value over a period of one year;</w:t>
      </w:r>
    </w:p>
    <w:p>
      <w:pPr>
        <w:spacing w:after="0" w:line="270" w:lineRule="exact"/>
        <w:rPr>
          <w:sz w:val="24"/>
          <w:szCs w:val="24"/>
          <w:color w:val="auto"/>
        </w:rPr>
      </w:pPr>
    </w:p>
    <w:p>
      <w:pPr>
        <w:jc w:val="both"/>
        <w:ind w:left="9" w:firstLine="360"/>
        <w:spacing w:after="0" w:line="236" w:lineRule="auto"/>
        <w:rPr>
          <w:sz w:val="20"/>
          <w:szCs w:val="20"/>
          <w:color w:val="auto"/>
        </w:rPr>
      </w:pPr>
      <w:r>
        <w:rPr>
          <w:rFonts w:ascii="Times New Roman" w:cs="Times New Roman" w:eastAsia="Times New Roman" w:hAnsi="Times New Roman"/>
          <w:sz w:val="22"/>
          <w:szCs w:val="22"/>
          <w:color w:val="auto"/>
        </w:rPr>
        <w:t>a.2. Specified to function at linear acceleration levels exceeding 15 g but less than or equal to 100 g and having all of the following:</w:t>
      </w:r>
    </w:p>
    <w:p>
      <w:pPr>
        <w:spacing w:after="0" w:line="270" w:lineRule="exact"/>
        <w:rPr>
          <w:sz w:val="24"/>
          <w:szCs w:val="24"/>
          <w:color w:val="auto"/>
        </w:rPr>
      </w:pPr>
    </w:p>
    <w:p>
      <w:pPr>
        <w:jc w:val="both"/>
        <w:ind w:left="9" w:firstLine="720"/>
        <w:spacing w:after="0" w:line="235" w:lineRule="auto"/>
        <w:rPr>
          <w:sz w:val="20"/>
          <w:szCs w:val="20"/>
          <w:color w:val="auto"/>
        </w:rPr>
      </w:pPr>
      <w:r>
        <w:rPr>
          <w:rFonts w:ascii="Times New Roman" w:cs="Times New Roman" w:eastAsia="Times New Roman" w:hAnsi="Times New Roman"/>
          <w:sz w:val="22"/>
          <w:szCs w:val="22"/>
          <w:color w:val="auto"/>
        </w:rPr>
        <w:t xml:space="preserve">a.2.a. A “bias” “repeatability” of less (better) than 1,250 micro g over a period of one year; </w:t>
      </w:r>
      <w:r>
        <w:rPr>
          <w:rFonts w:ascii="Times New Roman" w:cs="Times New Roman" w:eastAsia="Times New Roman" w:hAnsi="Times New Roman"/>
          <w:sz w:val="22"/>
          <w:szCs w:val="22"/>
          <w:i w:val="1"/>
          <w:iCs w:val="1"/>
          <w:color w:val="auto"/>
        </w:rPr>
        <w:t>and</w:t>
      </w:r>
    </w:p>
    <w:p>
      <w:pPr>
        <w:spacing w:after="0" w:line="268" w:lineRule="exact"/>
        <w:rPr>
          <w:sz w:val="24"/>
          <w:szCs w:val="24"/>
          <w:color w:val="auto"/>
        </w:rPr>
      </w:pPr>
    </w:p>
    <w:p>
      <w:pPr>
        <w:jc w:val="both"/>
        <w:ind w:left="9" w:firstLine="720"/>
        <w:spacing w:after="0" w:line="236" w:lineRule="auto"/>
        <w:rPr>
          <w:sz w:val="20"/>
          <w:szCs w:val="20"/>
          <w:color w:val="auto"/>
        </w:rPr>
      </w:pPr>
      <w:r>
        <w:rPr>
          <w:rFonts w:ascii="Times New Roman" w:cs="Times New Roman" w:eastAsia="Times New Roman" w:hAnsi="Times New Roman"/>
          <w:sz w:val="22"/>
          <w:szCs w:val="22"/>
          <w:color w:val="auto"/>
        </w:rPr>
        <w:t xml:space="preserve">a.2.b. A “scale factor” “repeatability” of less (better) than 1,250 ppm over a period of one year; </w:t>
      </w:r>
      <w:r>
        <w:rPr>
          <w:rFonts w:ascii="Times New Roman" w:cs="Times New Roman" w:eastAsia="Times New Roman" w:hAnsi="Times New Roman"/>
          <w:sz w:val="22"/>
          <w:szCs w:val="22"/>
          <w:i w:val="1"/>
          <w:iCs w:val="1"/>
          <w:color w:val="auto"/>
        </w:rPr>
        <w:t>or</w:t>
      </w:r>
    </w:p>
    <w:p>
      <w:pPr>
        <w:spacing w:after="0" w:line="265" w:lineRule="exact"/>
        <w:rPr>
          <w:sz w:val="24"/>
          <w:szCs w:val="24"/>
          <w:color w:val="auto"/>
        </w:rPr>
      </w:pPr>
    </w:p>
    <w:p>
      <w:pPr>
        <w:jc w:val="both"/>
        <w:ind w:left="9" w:firstLine="360"/>
        <w:spacing w:after="0" w:line="236" w:lineRule="auto"/>
        <w:rPr>
          <w:sz w:val="20"/>
          <w:szCs w:val="20"/>
          <w:color w:val="auto"/>
        </w:rPr>
      </w:pPr>
      <w:r>
        <w:rPr>
          <w:rFonts w:ascii="Times New Roman" w:cs="Times New Roman" w:eastAsia="Times New Roman" w:hAnsi="Times New Roman"/>
          <w:sz w:val="22"/>
          <w:szCs w:val="22"/>
          <w:color w:val="auto"/>
        </w:rPr>
        <w:t>a.3. Designed for use in inertial navigation or guidance systems and specified to function at linear acceleration levels exceeding 100 g;</w:t>
      </w:r>
    </w:p>
    <w:p>
      <w:pPr>
        <w:spacing w:after="0" w:line="255" w:lineRule="exact"/>
        <w:rPr>
          <w:sz w:val="24"/>
          <w:szCs w:val="24"/>
          <w:color w:val="auto"/>
        </w:rPr>
      </w:pPr>
    </w:p>
    <w:p>
      <w:pPr>
        <w:ind w:left="369"/>
        <w:spacing w:after="0"/>
        <w:tabs>
          <w:tab w:leader="none" w:pos="1069"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w:t>
      </w:r>
      <w:r>
        <w:rPr>
          <w:sz w:val="20"/>
          <w:szCs w:val="20"/>
          <w:color w:val="auto"/>
        </w:rPr>
        <w:tab/>
      </w:r>
      <w:r>
        <w:rPr>
          <w:rFonts w:ascii="Times New Roman" w:cs="Times New Roman" w:eastAsia="Times New Roman" w:hAnsi="Times New Roman"/>
          <w:sz w:val="22"/>
          <w:szCs w:val="22"/>
          <w:i w:val="1"/>
          <w:iCs w:val="1"/>
          <w:color w:val="auto"/>
        </w:rPr>
        <w:t>7A001.a.1  and  7A001.a.2  do  not</w:t>
      </w:r>
    </w:p>
    <w:p>
      <w:pPr>
        <w:spacing w:after="0" w:line="12" w:lineRule="exact"/>
        <w:rPr>
          <w:sz w:val="24"/>
          <w:szCs w:val="24"/>
          <w:color w:val="auto"/>
        </w:rPr>
      </w:pPr>
    </w:p>
    <w:p>
      <w:pPr>
        <w:jc w:val="both"/>
        <w:ind w:left="9"/>
        <w:spacing w:after="0" w:line="234" w:lineRule="auto"/>
        <w:rPr>
          <w:sz w:val="20"/>
          <w:szCs w:val="20"/>
          <w:color w:val="auto"/>
        </w:rPr>
      </w:pPr>
      <w:r>
        <w:rPr>
          <w:rFonts w:ascii="Times New Roman" w:cs="Times New Roman" w:eastAsia="Times New Roman" w:hAnsi="Times New Roman"/>
          <w:sz w:val="22"/>
          <w:szCs w:val="22"/>
          <w:i w:val="1"/>
          <w:iCs w:val="1"/>
          <w:color w:val="auto"/>
        </w:rPr>
        <w:t>apply to accelerometers limited to measurement of only vibration or shock.</w:t>
      </w:r>
    </w:p>
    <w:p>
      <w:pPr>
        <w:spacing w:after="0" w:line="253" w:lineRule="exact"/>
        <w:rPr>
          <w:sz w:val="24"/>
          <w:szCs w:val="24"/>
          <w:color w:val="auto"/>
        </w:rPr>
      </w:pPr>
    </w:p>
    <w:p>
      <w:pPr>
        <w:ind w:left="9"/>
        <w:spacing w:after="0"/>
        <w:tabs>
          <w:tab w:leader="none" w:pos="389" w:val="left"/>
          <w:tab w:leader="none" w:pos="1329" w:val="left"/>
          <w:tab w:leader="none" w:pos="1749" w:val="left"/>
          <w:tab w:leader="none" w:pos="2829" w:val="left"/>
        </w:tabs>
        <w:rPr>
          <w:sz w:val="20"/>
          <w:szCs w:val="20"/>
          <w:color w:val="auto"/>
        </w:rPr>
      </w:pPr>
      <w:r>
        <w:rPr>
          <w:rFonts w:ascii="Times New Roman" w:cs="Times New Roman" w:eastAsia="Times New Roman" w:hAnsi="Times New Roman"/>
          <w:sz w:val="22"/>
          <w:szCs w:val="22"/>
          <w:color w:val="auto"/>
        </w:rPr>
        <w:t>b.</w:t>
        <w:tab/>
        <w:t>Angular</w:t>
        <w:tab/>
        <w:t>or</w:t>
        <w:tab/>
        <w:t>rotational</w:t>
        <w:tab/>
        <w:t>accelerometers,</w:t>
      </w:r>
    </w:p>
    <w:p>
      <w:pPr>
        <w:spacing w:after="0" w:line="246" w:lineRule="exact"/>
        <w:rPr>
          <w:sz w:val="24"/>
          <w:szCs w:val="24"/>
          <w:color w:val="auto"/>
        </w:rPr>
      </w:pPr>
    </w:p>
    <w:p>
      <w:pPr>
        <w:sectPr>
          <w:pgSz w:w="12240" w:h="15840" w:orient="portrait"/>
          <w:cols w:equalWidth="0" w:num="2">
            <w:col w:w="4411" w:space="720"/>
            <w:col w:w="4229"/>
          </w:cols>
          <w:pgMar w:left="1440" w:top="1437" w:right="1440" w:bottom="876" w:gutter="0" w:footer="0" w:header="0"/>
          <w:type w:val="continuous"/>
        </w:sectPr>
      </w:pPr>
    </w:p>
    <w:p>
      <w:pPr>
        <w:spacing w:after="0" w:line="136" w:lineRule="exact"/>
        <w:rPr>
          <w:sz w:val="24"/>
          <w:szCs w:val="24"/>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 w:name="page2"/>
    <w:bookmarkEnd w:id="1"/>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2</w:t>
      </w:r>
    </w:p>
    <w:p>
      <w:pPr>
        <w:sectPr>
          <w:pgSz w:w="12240" w:h="15840" w:orient="portrait"/>
          <w:cols w:equalWidth="0" w:num="1">
            <w:col w:w="9360"/>
          </w:cols>
          <w:pgMar w:left="1440" w:top="1437" w:right="1440" w:bottom="876" w:gutter="0" w:footer="0" w:header="0"/>
        </w:sectPr>
      </w:pPr>
    </w:p>
    <w:p>
      <w:pPr>
        <w:spacing w:after="0" w:line="287" w:lineRule="exact"/>
        <w:rPr>
          <w:sz w:val="20"/>
          <w:szCs w:val="20"/>
          <w:color w:val="auto"/>
        </w:rPr>
      </w:pPr>
    </w:p>
    <w:p>
      <w:pPr>
        <w:jc w:val="both"/>
        <w:ind w:right="191"/>
        <w:spacing w:after="0" w:line="234" w:lineRule="auto"/>
        <w:rPr>
          <w:sz w:val="20"/>
          <w:szCs w:val="20"/>
          <w:color w:val="auto"/>
        </w:rPr>
      </w:pPr>
      <w:r>
        <w:rPr>
          <w:rFonts w:ascii="Times New Roman" w:cs="Times New Roman" w:eastAsia="Times New Roman" w:hAnsi="Times New Roman"/>
          <w:sz w:val="22"/>
          <w:szCs w:val="22"/>
          <w:color w:val="auto"/>
        </w:rPr>
        <w:t>specified to function at linear acceleration levels exceeding 100 g.</w:t>
      </w:r>
    </w:p>
    <w:p>
      <w:pPr>
        <w:spacing w:after="0" w:line="200" w:lineRule="exact"/>
        <w:rPr>
          <w:sz w:val="20"/>
          <w:szCs w:val="20"/>
          <w:color w:val="auto"/>
        </w:rPr>
      </w:pPr>
    </w:p>
    <w:p>
      <w:pPr>
        <w:spacing w:after="0" w:line="321" w:lineRule="exact"/>
        <w:rPr>
          <w:sz w:val="20"/>
          <w:szCs w:val="20"/>
          <w:color w:val="auto"/>
        </w:rPr>
      </w:pPr>
    </w:p>
    <w:p>
      <w:pPr>
        <w:jc w:val="both"/>
        <w:ind w:right="191"/>
        <w:spacing w:after="0" w:line="236" w:lineRule="auto"/>
        <w:rPr>
          <w:sz w:val="20"/>
          <w:szCs w:val="20"/>
          <w:color w:val="auto"/>
        </w:rPr>
      </w:pPr>
      <w:r>
        <w:rPr>
          <w:rFonts w:ascii="Times New Roman" w:cs="Times New Roman" w:eastAsia="Times New Roman" w:hAnsi="Times New Roman"/>
          <w:sz w:val="22"/>
          <w:szCs w:val="22"/>
          <w:b w:val="1"/>
          <w:bCs w:val="1"/>
          <w:color w:val="auto"/>
        </w:rPr>
        <w:t>7A002 Gyros or angular rate sensors, having any of the following (see List of Items Controlled) and “specially designed” “components” therefor.</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800" w:type="dxa"/>
            <w:vAlign w:val="bottom"/>
            <w:tcBorders>
              <w:top w:val="single" w:sz="8" w:color="auto"/>
              <w:left w:val="single" w:sz="8" w:color="auto"/>
              <w:right w:val="single" w:sz="8" w:color="auto"/>
            </w:tcBorders>
          </w:tcPr>
          <w:p>
            <w:pPr>
              <w:spacing w:after="0"/>
              <w:rPr>
                <w:sz w:val="22"/>
                <w:szCs w:val="22"/>
                <w:color w:val="auto"/>
              </w:rPr>
            </w:pPr>
          </w:p>
        </w:tc>
        <w:tc>
          <w:tcPr>
            <w:tcW w:w="156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800" w:type="dxa"/>
            <w:vAlign w:val="bottom"/>
            <w:tcBorders>
              <w:left w:val="single" w:sz="8" w:color="auto"/>
              <w:right w:val="single" w:sz="8" w:color="auto"/>
            </w:tcBorders>
          </w:tcPr>
          <w:p>
            <w:pPr>
              <w:ind w:left="9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6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4"/>
        </w:trPr>
        <w:tc>
          <w:tcPr>
            <w:tcW w:w="2800" w:type="dxa"/>
            <w:vAlign w:val="bottom"/>
            <w:tcBorders>
              <w:left w:val="single" w:sz="8" w:color="auto"/>
              <w:bottom w:val="single" w:sz="8" w:color="auto"/>
              <w:right w:val="single" w:sz="8" w:color="auto"/>
            </w:tcBorders>
          </w:tcPr>
          <w:p>
            <w:pPr>
              <w:spacing w:after="0"/>
              <w:rPr>
                <w:sz w:val="22"/>
                <w:szCs w:val="22"/>
                <w:color w:val="auto"/>
              </w:rPr>
            </w:pPr>
          </w:p>
        </w:tc>
        <w:tc>
          <w:tcPr>
            <w:tcW w:w="156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2"/>
        </w:trPr>
        <w:tc>
          <w:tcPr>
            <w:tcW w:w="280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56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1"/>
        </w:trPr>
        <w:tc>
          <w:tcPr>
            <w:tcW w:w="2800" w:type="dxa"/>
            <w:vAlign w:val="bottom"/>
            <w:tcBorders>
              <w:left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applies to commodities</w:t>
            </w:r>
          </w:p>
        </w:tc>
        <w:tc>
          <w:tcPr>
            <w:tcW w:w="156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80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that  meet  or  exceed  the</w:t>
            </w:r>
          </w:p>
        </w:tc>
        <w:tc>
          <w:tcPr>
            <w:tcW w:w="1560" w:type="dxa"/>
            <w:vAlign w:val="bottom"/>
            <w:tcBorders>
              <w:right w:val="single" w:sz="8" w:color="auto"/>
            </w:tcBorders>
          </w:tcPr>
          <w:p>
            <w:pPr>
              <w:spacing w:after="0"/>
              <w:rPr>
                <w:sz w:val="22"/>
                <w:szCs w:val="22"/>
                <w:color w:val="auto"/>
              </w:rPr>
            </w:pPr>
          </w:p>
        </w:tc>
      </w:tr>
      <w:tr>
        <w:trPr>
          <w:trHeight w:val="255"/>
        </w:trPr>
        <w:tc>
          <w:tcPr>
            <w:tcW w:w="280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parameters of 7A102.</w:t>
            </w:r>
          </w:p>
        </w:tc>
        <w:tc>
          <w:tcPr>
            <w:tcW w:w="1560" w:type="dxa"/>
            <w:vAlign w:val="bottom"/>
            <w:tcBorders>
              <w:bottom w:val="single" w:sz="8" w:color="auto"/>
              <w:right w:val="single" w:sz="8" w:color="auto"/>
            </w:tcBorders>
          </w:tcPr>
          <w:p>
            <w:pPr>
              <w:spacing w:after="0"/>
              <w:rPr>
                <w:sz w:val="22"/>
                <w:szCs w:val="22"/>
                <w:color w:val="auto"/>
              </w:rPr>
            </w:pPr>
          </w:p>
        </w:tc>
      </w:tr>
      <w:tr>
        <w:trPr>
          <w:trHeight w:val="243"/>
        </w:trPr>
        <w:tc>
          <w:tcPr>
            <w:tcW w:w="280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6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4" w:lineRule="exact"/>
        <w:rPr>
          <w:sz w:val="20"/>
          <w:szCs w:val="20"/>
          <w:color w:val="auto"/>
        </w:rPr>
      </w:pPr>
    </w:p>
    <w:p>
      <w:pPr>
        <w:jc w:val="both"/>
        <w:ind w:right="171"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License Requirement Note: </w:t>
      </w:r>
      <w:r>
        <w:rPr>
          <w:rFonts w:ascii="Times New Roman" w:cs="Times New Roman" w:eastAsia="Times New Roman" w:hAnsi="Times New Roman"/>
          <w:sz w:val="22"/>
          <w:szCs w:val="22"/>
          <w:i w:val="1"/>
          <w:iCs w:val="1"/>
          <w:color w:val="auto"/>
        </w:rPr>
        <w:t>For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of MT controls only, the term ‘stability’ is defined as a measure of the ability of a specific mechanism or performance coefficient to remain invariant when continuously exposed to a fixed operating condition. (This definition does not refer to dynamic or servo stability.) (IEEE STD 528-2001 paragraph 2.247)</w:t>
      </w:r>
    </w:p>
    <w:p>
      <w:pPr>
        <w:spacing w:after="0" w:line="271" w:lineRule="exact"/>
        <w:rPr>
          <w:sz w:val="20"/>
          <w:szCs w:val="20"/>
          <w:color w:val="auto"/>
        </w:rPr>
      </w:pPr>
    </w:p>
    <w:p>
      <w:pPr>
        <w:jc w:val="both"/>
        <w:ind w:right="191"/>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540" w:right="191" w:hanging="179"/>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XII(e) for gyros or angular rate sensors subject to the ITAR. (2) See also ECCNs </w:t>
      </w:r>
      <w:r>
        <w:rPr>
          <w:rFonts w:ascii="Times New Roman" w:cs="Times New Roman" w:eastAsia="Times New Roman" w:hAnsi="Times New Roman"/>
          <w:sz w:val="22"/>
          <w:szCs w:val="22"/>
          <w:u w:val="single" w:color="auto"/>
          <w:color w:val="0000FF"/>
        </w:rPr>
        <w:t>7A102</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7A611</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7A994</w:t>
      </w:r>
      <w:r>
        <w:rPr>
          <w:rFonts w:ascii="Times New Roman" w:cs="Times New Roman" w:eastAsia="Times New Roman" w:hAnsi="Times New Roman"/>
          <w:sz w:val="22"/>
          <w:szCs w:val="22"/>
          <w:color w:val="000000"/>
        </w:rPr>
        <w:t>. (3) For</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angular or rotational accelerometers, see ECCN </w:t>
      </w:r>
      <w:r>
        <w:rPr>
          <w:rFonts w:ascii="Times New Roman" w:cs="Times New Roman" w:eastAsia="Times New Roman" w:hAnsi="Times New Roman"/>
          <w:sz w:val="22"/>
          <w:szCs w:val="22"/>
          <w:u w:val="single" w:color="auto"/>
          <w:color w:val="0000FF"/>
        </w:rPr>
        <w:t>7A001.b</w:t>
      </w:r>
      <w:r>
        <w:rPr>
          <w:rFonts w:ascii="Times New Roman" w:cs="Times New Roman" w:eastAsia="Times New Roman" w:hAnsi="Times New Roman"/>
          <w:sz w:val="22"/>
          <w:szCs w:val="22"/>
          <w:color w:val="000000"/>
        </w:rPr>
        <w:t>.</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369"/>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9"/>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left="9" w:hanging="9"/>
        <w:spacing w:after="0" w:line="235" w:lineRule="auto"/>
        <w:tabs>
          <w:tab w:leader="none" w:pos="369"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Specified to function at linear acceleration levels less than or equal to 100 g and having any of the following:</w:t>
      </w:r>
    </w:p>
    <w:p>
      <w:pPr>
        <w:spacing w:after="0" w:line="268" w:lineRule="exact"/>
        <w:rPr>
          <w:sz w:val="20"/>
          <w:szCs w:val="20"/>
          <w:color w:val="auto"/>
        </w:rPr>
      </w:pPr>
    </w:p>
    <w:p>
      <w:pPr>
        <w:jc w:val="both"/>
        <w:ind w:left="9" w:firstLine="360"/>
        <w:spacing w:after="0" w:line="234" w:lineRule="auto"/>
        <w:rPr>
          <w:sz w:val="20"/>
          <w:szCs w:val="20"/>
          <w:color w:val="auto"/>
        </w:rPr>
      </w:pPr>
      <w:r>
        <w:rPr>
          <w:rFonts w:ascii="Times New Roman" w:cs="Times New Roman" w:eastAsia="Times New Roman" w:hAnsi="Times New Roman"/>
          <w:sz w:val="22"/>
          <w:szCs w:val="22"/>
          <w:color w:val="auto"/>
        </w:rPr>
        <w:t>a.1. A rate range of less than 500 degrees per second and having any of the following:</w:t>
      </w:r>
    </w:p>
    <w:p>
      <w:pPr>
        <w:spacing w:after="0" w:line="265" w:lineRule="exact"/>
        <w:rPr>
          <w:sz w:val="20"/>
          <w:szCs w:val="20"/>
          <w:color w:val="auto"/>
        </w:rPr>
      </w:pPr>
    </w:p>
    <w:p>
      <w:pPr>
        <w:jc w:val="both"/>
        <w:ind w:left="9" w:firstLine="720"/>
        <w:spacing w:after="0" w:line="237" w:lineRule="auto"/>
        <w:rPr>
          <w:sz w:val="20"/>
          <w:szCs w:val="20"/>
          <w:color w:val="auto"/>
        </w:rPr>
      </w:pPr>
      <w:r>
        <w:rPr>
          <w:rFonts w:ascii="Times New Roman" w:cs="Times New Roman" w:eastAsia="Times New Roman" w:hAnsi="Times New Roman"/>
          <w:sz w:val="22"/>
          <w:szCs w:val="22"/>
          <w:color w:val="auto"/>
        </w:rPr>
        <w:t xml:space="preserve">a.1.a. A “bias” “stability” of less (better) than 0.5 degree per hour, when measured in a 1 g environment over a period of one month, and with respect to a fixed calibration value;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ind w:left="9" w:firstLine="720"/>
        <w:spacing w:after="0" w:line="236" w:lineRule="auto"/>
        <w:rPr>
          <w:sz w:val="20"/>
          <w:szCs w:val="20"/>
          <w:color w:val="auto"/>
        </w:rPr>
      </w:pPr>
      <w:r>
        <w:rPr>
          <w:rFonts w:ascii="Times New Roman" w:cs="Times New Roman" w:eastAsia="Times New Roman" w:hAnsi="Times New Roman"/>
          <w:sz w:val="22"/>
          <w:szCs w:val="22"/>
          <w:color w:val="auto"/>
        </w:rPr>
        <w:t xml:space="preserve">a.1.b. An “angle random walk” of less (better) than or equal to 0.0035 degree per square root hour; </w:t>
      </w:r>
      <w:r>
        <w:rPr>
          <w:rFonts w:ascii="Times New Roman" w:cs="Times New Roman" w:eastAsia="Times New Roman" w:hAnsi="Times New Roman"/>
          <w:sz w:val="22"/>
          <w:szCs w:val="22"/>
          <w:i w:val="1"/>
          <w:iCs w:val="1"/>
          <w:color w:val="auto"/>
        </w:rPr>
        <w:t>or</w:t>
      </w:r>
    </w:p>
    <w:p>
      <w:pPr>
        <w:spacing w:after="0" w:line="268" w:lineRule="exact"/>
        <w:rPr>
          <w:sz w:val="20"/>
          <w:szCs w:val="20"/>
          <w:color w:val="auto"/>
        </w:rPr>
      </w:pPr>
    </w:p>
    <w:p>
      <w:pPr>
        <w:jc w:val="both"/>
        <w:ind w:left="9"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7A002.a.1.b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“spinning mass gyros”.</w:t>
      </w:r>
    </w:p>
    <w:p>
      <w:pPr>
        <w:spacing w:after="0" w:line="266" w:lineRule="exact"/>
        <w:rPr>
          <w:sz w:val="20"/>
          <w:szCs w:val="20"/>
          <w:color w:val="auto"/>
        </w:rPr>
      </w:pPr>
    </w:p>
    <w:p>
      <w:pPr>
        <w:jc w:val="both"/>
        <w:ind w:left="9" w:firstLine="360"/>
        <w:spacing w:after="0" w:line="236" w:lineRule="auto"/>
        <w:rPr>
          <w:sz w:val="20"/>
          <w:szCs w:val="20"/>
          <w:color w:val="auto"/>
        </w:rPr>
      </w:pPr>
      <w:r>
        <w:rPr>
          <w:rFonts w:ascii="Times New Roman" w:cs="Times New Roman" w:eastAsia="Times New Roman" w:hAnsi="Times New Roman"/>
          <w:sz w:val="22"/>
          <w:szCs w:val="22"/>
          <w:color w:val="auto"/>
        </w:rPr>
        <w:t>a.2. A rate range greater than or equal to 500 degrees per second and having any of the following:</w:t>
      </w:r>
    </w:p>
    <w:p>
      <w:pPr>
        <w:spacing w:after="0" w:line="266" w:lineRule="exact"/>
        <w:rPr>
          <w:sz w:val="20"/>
          <w:szCs w:val="20"/>
          <w:color w:val="auto"/>
        </w:rPr>
      </w:pPr>
    </w:p>
    <w:p>
      <w:pPr>
        <w:jc w:val="both"/>
        <w:ind w:left="9" w:firstLine="720"/>
        <w:spacing w:after="0" w:line="237" w:lineRule="auto"/>
        <w:rPr>
          <w:sz w:val="20"/>
          <w:szCs w:val="20"/>
          <w:color w:val="auto"/>
        </w:rPr>
      </w:pPr>
      <w:r>
        <w:rPr>
          <w:rFonts w:ascii="Times New Roman" w:cs="Times New Roman" w:eastAsia="Times New Roman" w:hAnsi="Times New Roman"/>
          <w:sz w:val="22"/>
          <w:szCs w:val="22"/>
          <w:color w:val="auto"/>
        </w:rPr>
        <w:t xml:space="preserve">a.2.a. A “bias” “stability” of less (better) than 4 degrees per hour, when measured in a 1 g environment over a period of three minutes, and with respect to a fixed calibration value;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ind w:left="9" w:firstLine="720"/>
        <w:spacing w:after="0" w:line="236" w:lineRule="auto"/>
        <w:rPr>
          <w:sz w:val="20"/>
          <w:szCs w:val="20"/>
          <w:color w:val="auto"/>
        </w:rPr>
      </w:pPr>
      <w:r>
        <w:rPr>
          <w:rFonts w:ascii="Times New Roman" w:cs="Times New Roman" w:eastAsia="Times New Roman" w:hAnsi="Times New Roman"/>
          <w:sz w:val="22"/>
          <w:szCs w:val="22"/>
          <w:color w:val="auto"/>
        </w:rPr>
        <w:t xml:space="preserve">a.2.b. An “angle random walk” of less (better) than or equal to 0.1 degree per square root hour;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left="9"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7A002.a.2.b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“spinning mass gyros”.</w:t>
      </w:r>
    </w:p>
    <w:p>
      <w:pPr>
        <w:spacing w:after="0" w:line="265" w:lineRule="exact"/>
        <w:rPr>
          <w:sz w:val="20"/>
          <w:szCs w:val="20"/>
          <w:color w:val="auto"/>
        </w:rPr>
      </w:pPr>
    </w:p>
    <w:p>
      <w:pPr>
        <w:jc w:val="both"/>
        <w:ind w:left="9"/>
        <w:spacing w:after="0" w:line="234" w:lineRule="auto"/>
        <w:rPr>
          <w:sz w:val="20"/>
          <w:szCs w:val="20"/>
          <w:color w:val="auto"/>
        </w:rPr>
      </w:pPr>
      <w:r>
        <w:rPr>
          <w:rFonts w:ascii="Times New Roman" w:cs="Times New Roman" w:eastAsia="Times New Roman" w:hAnsi="Times New Roman"/>
          <w:sz w:val="22"/>
          <w:szCs w:val="22"/>
          <w:color w:val="auto"/>
        </w:rPr>
        <w:t>b. Specified to function at linear acceleration levels exceeding 100 g.</w:t>
      </w:r>
    </w:p>
    <w:p>
      <w:pPr>
        <w:spacing w:after="0" w:line="200" w:lineRule="exact"/>
        <w:rPr>
          <w:sz w:val="20"/>
          <w:szCs w:val="20"/>
          <w:color w:val="auto"/>
        </w:rPr>
      </w:pPr>
    </w:p>
    <w:p>
      <w:pPr>
        <w:spacing w:after="0" w:line="319" w:lineRule="exact"/>
        <w:rPr>
          <w:sz w:val="20"/>
          <w:szCs w:val="20"/>
          <w:color w:val="auto"/>
        </w:rPr>
      </w:pPr>
    </w:p>
    <w:p>
      <w:pPr>
        <w:jc w:val="both"/>
        <w:ind w:left="9"/>
        <w:spacing w:after="0" w:line="236" w:lineRule="auto"/>
        <w:rPr>
          <w:sz w:val="20"/>
          <w:szCs w:val="20"/>
          <w:color w:val="auto"/>
        </w:rPr>
      </w:pPr>
      <w:r>
        <w:rPr>
          <w:rFonts w:ascii="Times New Roman" w:cs="Times New Roman" w:eastAsia="Times New Roman" w:hAnsi="Times New Roman"/>
          <w:sz w:val="22"/>
          <w:szCs w:val="22"/>
          <w:b w:val="1"/>
          <w:bCs w:val="1"/>
          <w:color w:val="auto"/>
        </w:rPr>
        <w:t>7A003 ‘Inertial measurement equipment or systems’, having any of the following (see List of Items Controlled).</w:t>
      </w:r>
    </w:p>
    <w:p>
      <w:pPr>
        <w:spacing w:after="0" w:line="248" w:lineRule="exact"/>
        <w:rPr>
          <w:sz w:val="20"/>
          <w:szCs w:val="20"/>
          <w:color w:val="auto"/>
        </w:rPr>
      </w:pPr>
    </w:p>
    <w:p>
      <w:pPr>
        <w:sectPr>
          <w:pgSz w:w="12240" w:h="15840" w:orient="portrait"/>
          <w:cols w:equalWidth="0" w:num="2">
            <w:col w:w="4411" w:space="720"/>
            <w:col w:w="4229"/>
          </w:cols>
          <w:pgMar w:left="1440" w:top="1437" w:right="1440" w:bottom="876" w:gutter="0" w:footer="0" w:header="0"/>
          <w:type w:val="continuous"/>
        </w:sectPr>
      </w:pPr>
    </w:p>
    <w:p>
      <w:pPr>
        <w:spacing w:after="0" w:line="13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2" w:name="page3"/>
    <w:bookmarkEnd w:id="2"/>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3</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32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3"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(See Supp. No.</w:t>
            </w:r>
          </w:p>
        </w:tc>
      </w:tr>
      <w:tr>
        <w:trPr>
          <w:trHeight w:val="253"/>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1 to part 738)</w:t>
            </w:r>
          </w:p>
        </w:tc>
      </w:tr>
      <w:tr>
        <w:trPr>
          <w:trHeight w:val="242"/>
        </w:trPr>
        <w:tc>
          <w:tcPr>
            <w:tcW w:w="272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4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2"/>
        </w:trPr>
        <w:tc>
          <w:tcPr>
            <w:tcW w:w="2720" w:type="dxa"/>
            <w:vAlign w:val="bottom"/>
            <w:tcBorders>
              <w:left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MT applies to commodities</w:t>
            </w:r>
          </w:p>
        </w:tc>
        <w:tc>
          <w:tcPr>
            <w:tcW w:w="1640" w:type="dxa"/>
            <w:vAlign w:val="bottom"/>
            <w:tcBorders>
              <w:right w:val="single" w:sz="8" w:color="auto"/>
            </w:tcBorders>
          </w:tcPr>
          <w:p>
            <w:pPr>
              <w:ind w:left="80"/>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2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in  7A003.d  that  meet  or</w:t>
            </w:r>
          </w:p>
        </w:tc>
        <w:tc>
          <w:tcPr>
            <w:tcW w:w="1640" w:type="dxa"/>
            <w:vAlign w:val="bottom"/>
            <w:tcBorders>
              <w:right w:val="single" w:sz="8" w:color="auto"/>
            </w:tcBorders>
          </w:tcPr>
          <w:p>
            <w:pPr>
              <w:spacing w:after="0"/>
              <w:rPr>
                <w:sz w:val="21"/>
                <w:szCs w:val="21"/>
                <w:color w:val="auto"/>
              </w:rPr>
            </w:pPr>
          </w:p>
        </w:tc>
      </w:tr>
      <w:tr>
        <w:trPr>
          <w:trHeight w:val="253"/>
        </w:trPr>
        <w:tc>
          <w:tcPr>
            <w:tcW w:w="2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exceed  the  parameters  of</w:t>
            </w:r>
          </w:p>
        </w:tc>
        <w:tc>
          <w:tcPr>
            <w:tcW w:w="1640" w:type="dxa"/>
            <w:vAlign w:val="bottom"/>
            <w:tcBorders>
              <w:right w:val="single" w:sz="8" w:color="auto"/>
            </w:tcBorders>
          </w:tcPr>
          <w:p>
            <w:pPr>
              <w:spacing w:after="0"/>
              <w:rPr>
                <w:sz w:val="22"/>
                <w:szCs w:val="22"/>
                <w:color w:val="auto"/>
              </w:rPr>
            </w:pPr>
          </w:p>
        </w:tc>
      </w:tr>
      <w:tr>
        <w:trPr>
          <w:trHeight w:val="255"/>
        </w:trPr>
        <w:tc>
          <w:tcPr>
            <w:tcW w:w="272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7A103</w:t>
            </w:r>
          </w:p>
        </w:tc>
        <w:tc>
          <w:tcPr>
            <w:tcW w:w="1640" w:type="dxa"/>
            <w:vAlign w:val="bottom"/>
            <w:tcBorders>
              <w:bottom w:val="single" w:sz="8" w:color="auto"/>
              <w:right w:val="single" w:sz="8" w:color="auto"/>
            </w:tcBorders>
          </w:tcPr>
          <w:p>
            <w:pPr>
              <w:spacing w:after="0"/>
              <w:rPr>
                <w:sz w:val="22"/>
                <w:szCs w:val="22"/>
                <w:color w:val="auto"/>
              </w:rPr>
            </w:pPr>
          </w:p>
        </w:tc>
      </w:tr>
      <w:tr>
        <w:trPr>
          <w:trHeight w:val="243"/>
        </w:trPr>
        <w:tc>
          <w:tcPr>
            <w:tcW w:w="272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4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pacing w:after="0" w:line="315" w:lineRule="exact"/>
        <w:rPr>
          <w:sz w:val="20"/>
          <w:szCs w:val="20"/>
          <w:color w:val="auto"/>
        </w:rPr>
      </w:pPr>
    </w:p>
    <w:p>
      <w:pPr>
        <w:ind w:right="191"/>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540" w:right="191" w:hanging="179"/>
        <w:spacing w:after="0" w:line="237" w:lineRule="auto"/>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 xml:space="preserve">Controls: </w:t>
      </w:r>
      <w:r>
        <w:rPr>
          <w:rFonts w:ascii="Times New Roman" w:cs="Times New Roman" w:eastAsia="Times New Roman" w:hAnsi="Times New Roman"/>
          <w:sz w:val="22"/>
          <w:szCs w:val="22"/>
          <w:color w:val="auto"/>
        </w:rPr>
        <w:t>(1) See also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7A103</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7A611</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7A994</w:t>
      </w:r>
      <w:r>
        <w:rPr>
          <w:rFonts w:ascii="Times New Roman" w:cs="Times New Roman" w:eastAsia="Times New Roman" w:hAnsi="Times New Roman"/>
          <w:sz w:val="22"/>
          <w:szCs w:val="22"/>
          <w:color w:val="000000"/>
        </w:rPr>
        <w:t>. (2) See</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USML Category XII(d) for guidance or navigation systems subject to the ITAR.</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right="171"/>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‘Inertial measurement equipment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systems’ incorporate accelerometers or gyroscopes to measure changes in velocity and orientation in order to determine or maintain heading or position without requiring an external reference once aligned. ‘Inertial measurement equipment or systems’ include:</w:t>
      </w:r>
    </w:p>
    <w:p>
      <w:pPr>
        <w:spacing w:after="0" w:line="268" w:lineRule="exact"/>
        <w:rPr>
          <w:sz w:val="20"/>
          <w:szCs w:val="20"/>
          <w:color w:val="auto"/>
        </w:rPr>
      </w:pPr>
    </w:p>
    <w:p>
      <w:pPr>
        <w:jc w:val="both"/>
        <w:ind w:right="191" w:firstLine="360"/>
        <w:spacing w:after="0" w:line="233" w:lineRule="auto"/>
        <w:rPr>
          <w:sz w:val="20"/>
          <w:szCs w:val="20"/>
          <w:color w:val="auto"/>
        </w:rPr>
      </w:pPr>
      <w:r>
        <w:rPr>
          <w:rFonts w:ascii="Times New Roman" w:cs="Times New Roman" w:eastAsia="Times New Roman" w:hAnsi="Times New Roman"/>
          <w:sz w:val="22"/>
          <w:szCs w:val="22"/>
          <w:i w:val="1"/>
          <w:iCs w:val="1"/>
          <w:color w:val="auto"/>
        </w:rPr>
        <w:t>- Attitude and Heading Reference Systems (AHRSs);</w:t>
      </w:r>
    </w:p>
    <w:p>
      <w:pPr>
        <w:spacing w:after="0" w:line="255" w:lineRule="exact"/>
        <w:rPr>
          <w:sz w:val="20"/>
          <w:szCs w:val="20"/>
          <w:color w:val="auto"/>
        </w:rPr>
      </w:pPr>
    </w:p>
    <w:p>
      <w:pPr>
        <w:ind w:left="720" w:hanging="360"/>
        <w:spacing w:after="0"/>
        <w:tabs>
          <w:tab w:leader="none" w:pos="72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Gyrocompasses;</w:t>
      </w:r>
    </w:p>
    <w:p>
      <w:pPr>
        <w:ind w:left="720" w:hanging="360"/>
        <w:spacing w:after="0"/>
        <w:tabs>
          <w:tab w:leader="none" w:pos="72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Inertial Measurement Units (IMUs);</w:t>
      </w:r>
    </w:p>
    <w:p>
      <w:pPr>
        <w:ind w:left="720" w:hanging="360"/>
        <w:spacing w:after="0"/>
        <w:tabs>
          <w:tab w:leader="none" w:pos="72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Inertial Navigation Systems (INSs);</w:t>
      </w:r>
    </w:p>
    <w:p>
      <w:pPr>
        <w:ind w:left="720" w:hanging="360"/>
        <w:spacing w:after="0"/>
        <w:tabs>
          <w:tab w:leader="none" w:pos="72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Inertial Reference Systems (IRSs);</w:t>
      </w:r>
    </w:p>
    <w:p>
      <w:pPr>
        <w:spacing w:after="0" w:line="20" w:lineRule="exact"/>
        <w:rPr>
          <w:sz w:val="20"/>
          <w:szCs w:val="20"/>
          <w:color w:val="auto"/>
        </w:rPr>
      </w:pPr>
      <w:r>
        <w:rPr>
          <w:sz w:val="20"/>
          <w:szCs w:val="20"/>
          <w:color w:val="auto"/>
        </w:rPr>
        <w:br w:type="column"/>
      </w:r>
    </w:p>
    <w:p>
      <w:pPr>
        <w:spacing w:after="0" w:line="256" w:lineRule="exact"/>
        <w:rPr>
          <w:sz w:val="20"/>
          <w:szCs w:val="20"/>
          <w:color w:val="auto"/>
        </w:rPr>
      </w:pPr>
    </w:p>
    <w:p>
      <w:pPr>
        <w:ind w:left="729" w:hanging="369"/>
        <w:spacing w:after="0"/>
        <w:tabs>
          <w:tab w:leader="none" w:pos="729" w:val="left"/>
        </w:tabs>
        <w:numPr>
          <w:ilvl w:val="0"/>
          <w:numId w:val="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Inertial Reference Units (IRUs).</w:t>
      </w:r>
    </w:p>
    <w:p>
      <w:pPr>
        <w:spacing w:after="0" w:line="266" w:lineRule="exact"/>
        <w:rPr>
          <w:sz w:val="20"/>
          <w:szCs w:val="20"/>
          <w:color w:val="auto"/>
        </w:rPr>
      </w:pPr>
    </w:p>
    <w:p>
      <w:pPr>
        <w:jc w:val="both"/>
        <w:ind w:left="9"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7A003 does not apply to ‘inertial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measurement equipment or systems’ which are certified for use on “civil aircraft” by civil aviation authorities of one or more Wassenaar</w:t>
      </w:r>
    </w:p>
    <w:p>
      <w:pPr>
        <w:spacing w:after="0" w:line="17" w:lineRule="exact"/>
        <w:rPr>
          <w:sz w:val="20"/>
          <w:szCs w:val="20"/>
          <w:color w:val="auto"/>
        </w:rPr>
      </w:pPr>
    </w:p>
    <w:p>
      <w:pPr>
        <w:jc w:val="both"/>
        <w:ind w:left="9"/>
        <w:spacing w:after="0" w:line="234" w:lineRule="auto"/>
        <w:rPr>
          <w:sz w:val="20"/>
          <w:szCs w:val="20"/>
          <w:color w:val="auto"/>
        </w:rPr>
      </w:pPr>
      <w:r>
        <w:rPr>
          <w:rFonts w:ascii="Times New Roman" w:cs="Times New Roman" w:eastAsia="Times New Roman" w:hAnsi="Times New Roman"/>
          <w:sz w:val="22"/>
          <w:szCs w:val="22"/>
          <w:i w:val="1"/>
          <w:iCs w:val="1"/>
          <w:color w:val="auto"/>
        </w:rPr>
        <w:t>Arrangement Participating States, see Supplement No. 1 to part 743 of the EAR..</w:t>
      </w:r>
    </w:p>
    <w:p>
      <w:pPr>
        <w:spacing w:after="0" w:line="266" w:lineRule="exact"/>
        <w:rPr>
          <w:sz w:val="20"/>
          <w:szCs w:val="20"/>
          <w:color w:val="auto"/>
        </w:rPr>
      </w:pPr>
    </w:p>
    <w:p>
      <w:pPr>
        <w:jc w:val="both"/>
        <w:ind w:left="9"/>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‘Positional aiding references’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independently provide position, and include:</w:t>
      </w:r>
    </w:p>
    <w:p>
      <w:pPr>
        <w:spacing w:after="0" w:line="267" w:lineRule="exact"/>
        <w:rPr>
          <w:sz w:val="20"/>
          <w:szCs w:val="20"/>
          <w:color w:val="auto"/>
        </w:rPr>
      </w:pPr>
    </w:p>
    <w:p>
      <w:pPr>
        <w:jc w:val="both"/>
        <w:ind w:left="9" w:firstLine="340"/>
        <w:spacing w:after="0" w:line="234" w:lineRule="auto"/>
        <w:rPr>
          <w:sz w:val="20"/>
          <w:szCs w:val="20"/>
          <w:color w:val="auto"/>
        </w:rPr>
      </w:pPr>
      <w:r>
        <w:rPr>
          <w:rFonts w:ascii="Times New Roman" w:cs="Times New Roman" w:eastAsia="Times New Roman" w:hAnsi="Times New Roman"/>
          <w:sz w:val="22"/>
          <w:szCs w:val="22"/>
          <w:i w:val="1"/>
          <w:iCs w:val="1"/>
          <w:color w:val="auto"/>
        </w:rPr>
        <w:t>a. Global Navigation Satellite Systems (GNSS);</w:t>
      </w:r>
    </w:p>
    <w:p>
      <w:pPr>
        <w:spacing w:after="0" w:line="266" w:lineRule="exact"/>
        <w:rPr>
          <w:sz w:val="20"/>
          <w:szCs w:val="20"/>
          <w:color w:val="auto"/>
        </w:rPr>
      </w:pPr>
    </w:p>
    <w:p>
      <w:pPr>
        <w:jc w:val="both"/>
        <w:ind w:left="9" w:firstLine="340"/>
        <w:spacing w:after="0" w:line="233" w:lineRule="auto"/>
        <w:rPr>
          <w:sz w:val="20"/>
          <w:szCs w:val="20"/>
          <w:color w:val="auto"/>
        </w:rPr>
      </w:pPr>
      <w:r>
        <w:rPr>
          <w:rFonts w:ascii="Times New Roman" w:cs="Times New Roman" w:eastAsia="Times New Roman" w:hAnsi="Times New Roman"/>
          <w:sz w:val="22"/>
          <w:szCs w:val="22"/>
          <w:i w:val="1"/>
          <w:iCs w:val="1"/>
          <w:color w:val="auto"/>
        </w:rPr>
        <w:t>b.”Data-Based Referenced Navigation” (“DBRN”).</w:t>
      </w:r>
    </w:p>
    <w:p>
      <w:pPr>
        <w:spacing w:after="0" w:line="266" w:lineRule="exact"/>
        <w:rPr>
          <w:sz w:val="20"/>
          <w:szCs w:val="20"/>
          <w:color w:val="auto"/>
        </w:rPr>
      </w:pPr>
    </w:p>
    <w:p>
      <w:pPr>
        <w:jc w:val="both"/>
        <w:ind w:left="9" w:hanging="9"/>
        <w:spacing w:after="0" w:line="234" w:lineRule="auto"/>
        <w:tabs>
          <w:tab w:leader="none" w:pos="397"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for “aircraft”, land vehicles or vessels, providing position without the use of</w:t>
      </w:r>
    </w:p>
    <w:p>
      <w:pPr>
        <w:spacing w:after="0" w:line="13" w:lineRule="exact"/>
        <w:rPr>
          <w:rFonts w:ascii="Times New Roman" w:cs="Times New Roman" w:eastAsia="Times New Roman" w:hAnsi="Times New Roman"/>
          <w:sz w:val="22"/>
          <w:szCs w:val="22"/>
          <w:color w:val="auto"/>
        </w:rPr>
      </w:pPr>
    </w:p>
    <w:p>
      <w:pPr>
        <w:jc w:val="both"/>
        <w:ind w:left="9"/>
        <w:spacing w:after="0" w:line="23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‘positional aiding references’, and having any of the following “accuracies” subsequent to normal alignment:</w:t>
      </w:r>
    </w:p>
    <w:p>
      <w:pPr>
        <w:spacing w:after="0" w:line="269" w:lineRule="exact"/>
        <w:rPr>
          <w:sz w:val="20"/>
          <w:szCs w:val="20"/>
          <w:color w:val="auto"/>
        </w:rPr>
      </w:pPr>
    </w:p>
    <w:p>
      <w:pPr>
        <w:jc w:val="both"/>
        <w:ind w:left="9" w:firstLine="360"/>
        <w:spacing w:after="0" w:line="235" w:lineRule="auto"/>
        <w:rPr>
          <w:sz w:val="20"/>
          <w:szCs w:val="20"/>
          <w:color w:val="auto"/>
        </w:rPr>
      </w:pPr>
      <w:r>
        <w:rPr>
          <w:rFonts w:ascii="Times New Roman" w:cs="Times New Roman" w:eastAsia="Times New Roman" w:hAnsi="Times New Roman"/>
          <w:sz w:val="22"/>
          <w:szCs w:val="22"/>
          <w:color w:val="auto"/>
        </w:rPr>
        <w:t>a.1. 0.8 nautical miles per hour (nm/hr) “Circular Error Probable” (“CEP”) rate or less (better);</w:t>
      </w:r>
    </w:p>
    <w:p>
      <w:pPr>
        <w:spacing w:after="0" w:line="268" w:lineRule="exact"/>
        <w:rPr>
          <w:sz w:val="20"/>
          <w:szCs w:val="20"/>
          <w:color w:val="auto"/>
        </w:rPr>
      </w:pPr>
    </w:p>
    <w:p>
      <w:pPr>
        <w:jc w:val="both"/>
        <w:ind w:left="9" w:firstLine="360"/>
        <w:spacing w:after="0" w:line="234" w:lineRule="auto"/>
        <w:rPr>
          <w:sz w:val="20"/>
          <w:szCs w:val="20"/>
          <w:color w:val="auto"/>
        </w:rPr>
      </w:pPr>
      <w:r>
        <w:rPr>
          <w:rFonts w:ascii="Times New Roman" w:cs="Times New Roman" w:eastAsia="Times New Roman" w:hAnsi="Times New Roman"/>
          <w:sz w:val="22"/>
          <w:szCs w:val="22"/>
          <w:color w:val="auto"/>
        </w:rPr>
        <w:t xml:space="preserve">a.2. 0.5% distanced travelled “CEP” or less (better); </w:t>
      </w:r>
      <w:r>
        <w:rPr>
          <w:rFonts w:ascii="Times New Roman" w:cs="Times New Roman" w:eastAsia="Times New Roman" w:hAnsi="Times New Roman"/>
          <w:sz w:val="22"/>
          <w:szCs w:val="22"/>
          <w:i w:val="1"/>
          <w:iCs w:val="1"/>
          <w:u w:val="single" w:color="auto"/>
          <w:color w:val="auto"/>
        </w:rPr>
        <w:t>or</w:t>
      </w:r>
    </w:p>
    <w:p>
      <w:pPr>
        <w:spacing w:after="0" w:line="266" w:lineRule="exact"/>
        <w:rPr>
          <w:sz w:val="20"/>
          <w:szCs w:val="20"/>
          <w:color w:val="auto"/>
        </w:rPr>
      </w:pPr>
    </w:p>
    <w:p>
      <w:pPr>
        <w:jc w:val="both"/>
        <w:ind w:left="9" w:firstLine="360"/>
        <w:spacing w:after="0" w:line="233" w:lineRule="auto"/>
        <w:rPr>
          <w:sz w:val="20"/>
          <w:szCs w:val="20"/>
          <w:color w:val="auto"/>
        </w:rPr>
      </w:pPr>
      <w:r>
        <w:rPr>
          <w:rFonts w:ascii="Times New Roman" w:cs="Times New Roman" w:eastAsia="Times New Roman" w:hAnsi="Times New Roman"/>
          <w:sz w:val="22"/>
          <w:szCs w:val="22"/>
          <w:color w:val="auto"/>
        </w:rPr>
        <w:t>a.3. Total drift of 1 nautical mile “CEP” or less (better) in a 24 hr period;</w:t>
      </w:r>
    </w:p>
    <w:p>
      <w:pPr>
        <w:spacing w:after="0" w:line="268" w:lineRule="exact"/>
        <w:rPr>
          <w:sz w:val="20"/>
          <w:szCs w:val="20"/>
          <w:color w:val="auto"/>
        </w:rPr>
      </w:pPr>
    </w:p>
    <w:p>
      <w:pPr>
        <w:jc w:val="both"/>
        <w:ind w:left="9"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The performance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parameters in 7A003.a.1, 7A003.a.2 and 7A003.a.3 typically apply to ‘inertia measurement equipment or systems’ designed for “aircraft”, vehicles and vessels, respectively. These parameters result from the utilization of specialized non-positional aiding references (e.g., altimeter, odometer, velocity</w:t>
      </w:r>
    </w:p>
    <w:p>
      <w:pPr>
        <w:spacing w:after="0" w:line="17" w:lineRule="exact"/>
        <w:rPr>
          <w:sz w:val="20"/>
          <w:szCs w:val="20"/>
          <w:color w:val="auto"/>
        </w:rPr>
      </w:pPr>
    </w:p>
    <w:p>
      <w:pPr>
        <w:jc w:val="both"/>
        <w:ind w:left="9"/>
        <w:spacing w:after="0" w:line="233" w:lineRule="auto"/>
        <w:rPr>
          <w:sz w:val="20"/>
          <w:szCs w:val="20"/>
          <w:color w:val="auto"/>
        </w:rPr>
      </w:pPr>
      <w:r>
        <w:rPr>
          <w:rFonts w:ascii="Times New Roman" w:cs="Times New Roman" w:eastAsia="Times New Roman" w:hAnsi="Times New Roman"/>
          <w:sz w:val="22"/>
          <w:szCs w:val="22"/>
          <w:i w:val="1"/>
          <w:iCs w:val="1"/>
          <w:color w:val="auto"/>
        </w:rPr>
        <w:t>log). As a consequence, the specified performance values cannot be readily</w:t>
      </w:r>
    </w:p>
    <w:p>
      <w:pPr>
        <w:spacing w:after="0" w:line="14" w:lineRule="exact"/>
        <w:rPr>
          <w:sz w:val="20"/>
          <w:szCs w:val="20"/>
          <w:color w:val="auto"/>
        </w:rPr>
      </w:pPr>
    </w:p>
    <w:p>
      <w:pPr>
        <w:jc w:val="both"/>
        <w:ind w:left="9"/>
        <w:spacing w:after="0" w:line="236" w:lineRule="auto"/>
        <w:rPr>
          <w:sz w:val="20"/>
          <w:szCs w:val="20"/>
          <w:color w:val="auto"/>
        </w:rPr>
      </w:pPr>
      <w:r>
        <w:rPr>
          <w:rFonts w:ascii="Times New Roman" w:cs="Times New Roman" w:eastAsia="Times New Roman" w:hAnsi="Times New Roman"/>
          <w:sz w:val="22"/>
          <w:szCs w:val="22"/>
          <w:i w:val="1"/>
          <w:iCs w:val="1"/>
          <w:color w:val="auto"/>
        </w:rPr>
        <w:t>converted between these parameters. Equipment designed for multiple platforms are evaluated against each applicable entry</w:t>
      </w:r>
    </w:p>
    <w:p>
      <w:pPr>
        <w:spacing w:after="0" w:line="250" w:lineRule="exact"/>
        <w:rPr>
          <w:sz w:val="20"/>
          <w:szCs w:val="20"/>
          <w:color w:val="auto"/>
        </w:rPr>
      </w:pPr>
    </w:p>
    <w:p>
      <w:pPr>
        <w:sectPr>
          <w:pgSz w:w="12240" w:h="15840" w:orient="portrait"/>
          <w:cols w:equalWidth="0" w:num="2">
            <w:col w:w="4411" w:space="720"/>
            <w:col w:w="4229"/>
          </w:cols>
          <w:pgMar w:left="1440" w:top="1437" w:right="1440" w:bottom="876" w:gutter="0" w:footer="0" w:header="0"/>
          <w:type w:val="continuous"/>
        </w:sectPr>
      </w:pPr>
    </w:p>
    <w:p>
      <w:pPr>
        <w:spacing w:after="0" w:line="130"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3" w:name="page4"/>
    <w:bookmarkEnd w:id="3"/>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4</w:t>
      </w:r>
    </w:p>
    <w:p>
      <w:pPr>
        <w:sectPr>
          <w:pgSz w:w="12240" w:h="15840" w:orient="portrait"/>
          <w:cols w:equalWidth="0" w:num="1">
            <w:col w:w="9480"/>
          </w:cols>
          <w:pgMar w:left="1440" w:top="1437" w:right="1320" w:bottom="876" w:gutter="0" w:footer="0" w:header="0"/>
        </w:sectPr>
      </w:pPr>
    </w:p>
    <w:p>
      <w:pPr>
        <w:spacing w:after="0" w:line="27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7A003.a.1, 7A003.a.2, or 7A003.a.3.</w:t>
      </w:r>
    </w:p>
    <w:p>
      <w:pPr>
        <w:spacing w:after="0" w:line="265" w:lineRule="exact"/>
        <w:rPr>
          <w:sz w:val="20"/>
          <w:szCs w:val="20"/>
          <w:color w:val="auto"/>
        </w:rPr>
      </w:pPr>
    </w:p>
    <w:p>
      <w:pPr>
        <w:jc w:val="both"/>
        <w:ind w:right="160"/>
        <w:spacing w:after="0" w:line="238" w:lineRule="auto"/>
        <w:tabs>
          <w:tab w:leader="none" w:pos="360" w:val="left"/>
        </w:tabs>
        <w:numPr>
          <w:ilvl w:val="0"/>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for “aircraft”, land vehicles or vessels, with an embedded ‘positional aiding reference’ and providing position after loss of all ‘positional aiding references’ for a period of up to 4 minutes, having an “accuracy” of less (better) than 10 meters “CEP”;</w:t>
      </w:r>
    </w:p>
    <w:p>
      <w:pPr>
        <w:spacing w:after="0" w:line="267" w:lineRule="exact"/>
        <w:rPr>
          <w:sz w:val="20"/>
          <w:szCs w:val="20"/>
          <w:color w:val="auto"/>
        </w:rPr>
      </w:pPr>
    </w:p>
    <w:p>
      <w:pPr>
        <w:jc w:val="both"/>
        <w:ind w:right="18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7A003.b refers to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 which ‘inertial measurement equipment or systems’ and other independent ‘positional aiding references’ are built into a single unit (i.e., embedded) in order to achieve improved performance.</w:t>
      </w:r>
    </w:p>
    <w:p>
      <w:pPr>
        <w:spacing w:after="0" w:line="264" w:lineRule="exact"/>
        <w:rPr>
          <w:sz w:val="20"/>
          <w:szCs w:val="20"/>
          <w:color w:val="auto"/>
        </w:rPr>
      </w:pPr>
    </w:p>
    <w:p>
      <w:pPr>
        <w:jc w:val="both"/>
        <w:ind w:right="180"/>
        <w:spacing w:after="0" w:line="236" w:lineRule="auto"/>
        <w:tabs>
          <w:tab w:leader="none" w:pos="360" w:val="left"/>
        </w:tabs>
        <w:numPr>
          <w:ilvl w:val="0"/>
          <w:numId w:val="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for “aircraft”, land vehicles or vessels, providing heading or True North determination and having any of the following:</w:t>
      </w:r>
    </w:p>
    <w:p>
      <w:pPr>
        <w:spacing w:after="0" w:line="267" w:lineRule="exact"/>
        <w:rPr>
          <w:sz w:val="20"/>
          <w:szCs w:val="20"/>
          <w:color w:val="auto"/>
        </w:rPr>
      </w:pPr>
    </w:p>
    <w:p>
      <w:pPr>
        <w:jc w:val="both"/>
        <w:ind w:right="180" w:firstLine="360"/>
        <w:spacing w:after="0" w:line="238" w:lineRule="auto"/>
        <w:rPr>
          <w:sz w:val="20"/>
          <w:szCs w:val="20"/>
          <w:color w:val="auto"/>
        </w:rPr>
      </w:pPr>
      <w:r>
        <w:rPr>
          <w:rFonts w:ascii="Times New Roman" w:cs="Times New Roman" w:eastAsia="Times New Roman" w:hAnsi="Times New Roman"/>
          <w:sz w:val="22"/>
          <w:szCs w:val="22"/>
          <w:color w:val="auto"/>
        </w:rPr>
        <w:t xml:space="preserve">c.1. A maximum operating angular rate less (lower) than 500 deg/s and a heading “accuracy” without the use of ‘positional aiding references’ equal to or less (better) than 0.07 deg sec (Lat) (equivalent to 6 arc minutes rms at 45 degrees latitude);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right="180" w:firstLine="360"/>
        <w:spacing w:after="0" w:line="238" w:lineRule="auto"/>
        <w:rPr>
          <w:sz w:val="20"/>
          <w:szCs w:val="20"/>
          <w:color w:val="auto"/>
        </w:rPr>
      </w:pPr>
      <w:r>
        <w:rPr>
          <w:rFonts w:ascii="Times New Roman" w:cs="Times New Roman" w:eastAsia="Times New Roman" w:hAnsi="Times New Roman"/>
          <w:sz w:val="22"/>
          <w:szCs w:val="22"/>
          <w:color w:val="auto"/>
        </w:rPr>
        <w:t>c.2. A maximum operating angular rate equal to or greater (higher) than 500 deg/s and a heading “accuracy” without the use of ‘positional aiding references’ equal to or less (better) than 0.2 deg sec (Lat) (equivalent to 17 arc minutes rms at 45 degrees latitude);</w:t>
      </w:r>
    </w:p>
    <w:p>
      <w:pPr>
        <w:spacing w:after="0" w:line="266" w:lineRule="exact"/>
        <w:rPr>
          <w:sz w:val="20"/>
          <w:szCs w:val="20"/>
          <w:color w:val="auto"/>
        </w:rPr>
      </w:pPr>
    </w:p>
    <w:p>
      <w:pPr>
        <w:jc w:val="both"/>
        <w:ind w:right="160"/>
        <w:spacing w:after="0" w:line="236" w:lineRule="auto"/>
        <w:rPr>
          <w:sz w:val="20"/>
          <w:szCs w:val="20"/>
          <w:color w:val="auto"/>
        </w:rPr>
      </w:pPr>
      <w:r>
        <w:rPr>
          <w:rFonts w:ascii="Times New Roman" w:cs="Times New Roman" w:eastAsia="Times New Roman" w:hAnsi="Times New Roman"/>
          <w:sz w:val="22"/>
          <w:szCs w:val="22"/>
          <w:color w:val="auto"/>
        </w:rPr>
        <w:t>d. Providing acceleration measurements or angular rate measurements, in more than one dimension, and having any of the following:</w:t>
      </w:r>
    </w:p>
    <w:p>
      <w:pPr>
        <w:spacing w:after="0" w:line="265" w:lineRule="exact"/>
        <w:rPr>
          <w:sz w:val="20"/>
          <w:szCs w:val="20"/>
          <w:color w:val="auto"/>
        </w:rPr>
      </w:pPr>
    </w:p>
    <w:p>
      <w:pPr>
        <w:jc w:val="both"/>
        <w:ind w:right="180" w:firstLine="360"/>
        <w:spacing w:after="0" w:line="236" w:lineRule="auto"/>
        <w:rPr>
          <w:sz w:val="20"/>
          <w:szCs w:val="20"/>
          <w:color w:val="auto"/>
        </w:rPr>
      </w:pPr>
      <w:r>
        <w:rPr>
          <w:rFonts w:ascii="Times New Roman" w:cs="Times New Roman" w:eastAsia="Times New Roman" w:hAnsi="Times New Roman"/>
          <w:sz w:val="22"/>
          <w:szCs w:val="22"/>
          <w:color w:val="auto"/>
        </w:rPr>
        <w:t xml:space="preserve">d.1. Performance specified by 7A001 or 7A002 along any axis, without the use of any aiding references;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right="180" w:firstLine="360"/>
        <w:spacing w:after="0" w:line="237" w:lineRule="auto"/>
        <w:rPr>
          <w:sz w:val="20"/>
          <w:szCs w:val="20"/>
          <w:color w:val="auto"/>
        </w:rPr>
      </w:pPr>
      <w:r>
        <w:rPr>
          <w:rFonts w:ascii="Times New Roman" w:cs="Times New Roman" w:eastAsia="Times New Roman" w:hAnsi="Times New Roman"/>
          <w:sz w:val="22"/>
          <w:szCs w:val="22"/>
          <w:color w:val="auto"/>
        </w:rPr>
        <w:t>d.2. Being “space-qualified” and providing angular rate measurements having an “angle random walk” along any axis of less (better) than or equal to 0.1 degree per square root hour.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2" w:lineRule="exact"/>
        <w:rPr>
          <w:sz w:val="20"/>
          <w:szCs w:val="20"/>
          <w:color w:val="auto"/>
        </w:rPr>
      </w:pPr>
    </w:p>
    <w:p>
      <w:pPr>
        <w:jc w:val="both"/>
        <w:ind w:left="20" w:right="12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7A003.d.2 does not apply to ‘inertial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measurement equipment or systems’ that contain “spinning mass gyros” as the only type of gyro.</w:t>
      </w:r>
    </w:p>
    <w:p>
      <w:pPr>
        <w:spacing w:after="0" w:line="200" w:lineRule="exact"/>
        <w:rPr>
          <w:sz w:val="20"/>
          <w:szCs w:val="20"/>
          <w:color w:val="auto"/>
        </w:rPr>
      </w:pPr>
    </w:p>
    <w:p>
      <w:pPr>
        <w:spacing w:after="0" w:line="319" w:lineRule="exact"/>
        <w:rPr>
          <w:sz w:val="20"/>
          <w:szCs w:val="20"/>
          <w:color w:val="auto"/>
        </w:rPr>
      </w:pPr>
    </w:p>
    <w:p>
      <w:pPr>
        <w:jc w:val="both"/>
        <w:ind w:left="20" w:right="120"/>
        <w:spacing w:after="0" w:line="236" w:lineRule="auto"/>
        <w:rPr>
          <w:sz w:val="20"/>
          <w:szCs w:val="20"/>
          <w:color w:val="auto"/>
        </w:rPr>
      </w:pPr>
      <w:r>
        <w:rPr>
          <w:rFonts w:ascii="Times New Roman" w:cs="Times New Roman" w:eastAsia="Times New Roman" w:hAnsi="Times New Roman"/>
          <w:sz w:val="22"/>
          <w:szCs w:val="22"/>
          <w:b w:val="1"/>
          <w:bCs w:val="1"/>
          <w:color w:val="auto"/>
        </w:rPr>
        <w:t>7A004 ‘Star trackers’ and “components” therefor, as follows (see List of Items Controlled).</w:t>
      </w:r>
    </w:p>
    <w:p>
      <w:pPr>
        <w:spacing w:after="0" w:line="25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8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2"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20" w:type="dxa"/>
            <w:vAlign w:val="bottom"/>
            <w:tcBorders>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ind w:left="20"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560" w:right="120" w:hanging="179"/>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XV for certain ‘star trackers’ that are “subject to the ITAR” (see 22 CFR parts 120 through 130). (2) See also 7A104 and 7A994.</w:t>
      </w:r>
    </w:p>
    <w:p>
      <w:pPr>
        <w:spacing w:after="0" w:line="3"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left="20" w:right="120" w:hanging="9"/>
        <w:spacing w:after="0" w:line="236" w:lineRule="auto"/>
        <w:tabs>
          <w:tab w:leader="none" w:pos="360"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‘Star trackers’ with a specified azimuth “accuracy” of equal to or less (better) than 20 seconds of arc throughout the specified lifetime of the equipment;</w:t>
      </w:r>
    </w:p>
    <w:p>
      <w:pPr>
        <w:spacing w:after="0" w:line="269" w:lineRule="exact"/>
        <w:rPr>
          <w:rFonts w:ascii="Times New Roman" w:cs="Times New Roman" w:eastAsia="Times New Roman" w:hAnsi="Times New Roman"/>
          <w:sz w:val="22"/>
          <w:szCs w:val="22"/>
          <w:color w:val="auto"/>
        </w:rPr>
      </w:pPr>
    </w:p>
    <w:p>
      <w:pPr>
        <w:ind w:left="20" w:right="120" w:hanging="9"/>
        <w:spacing w:after="0" w:line="234" w:lineRule="auto"/>
        <w:tabs>
          <w:tab w:leader="none" w:pos="360"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“Components” “specially designed” for equipment specified in 7A004.a as follows:</w:t>
      </w:r>
    </w:p>
    <w:p>
      <w:pPr>
        <w:spacing w:after="0" w:line="400" w:lineRule="exact"/>
        <w:rPr>
          <w:sz w:val="20"/>
          <w:szCs w:val="20"/>
          <w:color w:val="auto"/>
        </w:rPr>
      </w:pPr>
    </w:p>
    <w:p>
      <w:pPr>
        <w:sectPr>
          <w:pgSz w:w="12240" w:h="15840" w:orient="portrait"/>
          <w:cols w:equalWidth="0" w:num="2">
            <w:col w:w="4400" w:space="720"/>
            <w:col w:w="4360"/>
          </w:cols>
          <w:pgMar w:left="1440" w:top="1437" w:right="1320" w:bottom="876" w:gutter="0" w:footer="0" w:header="0"/>
          <w:type w:val="continuous"/>
        </w:sectPr>
      </w:pPr>
    </w:p>
    <w:p>
      <w:pPr>
        <w:spacing w:after="0" w:line="185"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480"/>
          </w:cols>
          <w:pgMar w:left="1440" w:top="1437" w:right="1320" w:bottom="876" w:gutter="0" w:footer="0" w:header="0"/>
          <w:type w:val="continuous"/>
        </w:sectPr>
      </w:pPr>
    </w:p>
    <w:bookmarkStart w:id="4" w:name="page5"/>
    <w:bookmarkEnd w:id="4"/>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5</w:t>
      </w:r>
    </w:p>
    <w:p>
      <w:pPr>
        <w:sectPr>
          <w:pgSz w:w="12240" w:h="15840" w:orient="portrait"/>
          <w:cols w:equalWidth="0" w:num="1">
            <w:col w:w="9360"/>
          </w:cols>
          <w:pgMar w:left="1440" w:top="1437" w:right="1440" w:bottom="876" w:gutter="0" w:footer="0" w:header="0"/>
        </w:sectPr>
      </w:pPr>
    </w:p>
    <w:p>
      <w:pPr>
        <w:spacing w:after="0" w:line="275" w:lineRule="exact"/>
        <w:rPr>
          <w:sz w:val="20"/>
          <w:szCs w:val="20"/>
          <w:color w:val="auto"/>
        </w:rPr>
      </w:pPr>
    </w:p>
    <w:p>
      <w:pPr>
        <w:ind w:left="340"/>
        <w:spacing w:after="0"/>
        <w:rPr>
          <w:sz w:val="20"/>
          <w:szCs w:val="20"/>
          <w:color w:val="auto"/>
        </w:rPr>
      </w:pPr>
      <w:r>
        <w:rPr>
          <w:rFonts w:ascii="Times New Roman" w:cs="Times New Roman" w:eastAsia="Times New Roman" w:hAnsi="Times New Roman"/>
          <w:sz w:val="22"/>
          <w:szCs w:val="22"/>
          <w:color w:val="auto"/>
        </w:rPr>
        <w:t>b.1. Optical heads or baffles;</w:t>
      </w:r>
    </w:p>
    <w:p>
      <w:pPr>
        <w:spacing w:after="0" w:line="254" w:lineRule="exact"/>
        <w:rPr>
          <w:sz w:val="20"/>
          <w:szCs w:val="20"/>
          <w:color w:val="auto"/>
        </w:rPr>
      </w:pPr>
    </w:p>
    <w:p>
      <w:pPr>
        <w:ind w:left="340"/>
        <w:spacing w:after="0"/>
        <w:rPr>
          <w:sz w:val="20"/>
          <w:szCs w:val="20"/>
          <w:color w:val="auto"/>
        </w:rPr>
      </w:pPr>
      <w:r>
        <w:rPr>
          <w:rFonts w:ascii="Times New Roman" w:cs="Times New Roman" w:eastAsia="Times New Roman" w:hAnsi="Times New Roman"/>
          <w:sz w:val="22"/>
          <w:szCs w:val="22"/>
          <w:color w:val="auto"/>
        </w:rPr>
        <w:t>b.2. Data processing units.</w:t>
      </w:r>
    </w:p>
    <w:p>
      <w:pPr>
        <w:spacing w:after="0" w:line="266" w:lineRule="exact"/>
        <w:rPr>
          <w:sz w:val="20"/>
          <w:szCs w:val="20"/>
          <w:color w:val="auto"/>
        </w:rPr>
      </w:pPr>
    </w:p>
    <w:p>
      <w:pPr>
        <w:jc w:val="both"/>
        <w:ind w:right="160" w:firstLine="34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Star trackers’ 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also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referred to as stellar attitude sensors or gyro-astro compasses.</w:t>
      </w:r>
    </w:p>
    <w:p>
      <w:pPr>
        <w:spacing w:after="0" w:line="200" w:lineRule="exact"/>
        <w:rPr>
          <w:sz w:val="20"/>
          <w:szCs w:val="20"/>
          <w:color w:val="auto"/>
        </w:rPr>
      </w:pPr>
    </w:p>
    <w:p>
      <w:pPr>
        <w:spacing w:after="0" w:line="320" w:lineRule="exact"/>
        <w:rPr>
          <w:sz w:val="20"/>
          <w:szCs w:val="20"/>
          <w:color w:val="auto"/>
        </w:rPr>
      </w:pPr>
    </w:p>
    <w:p>
      <w:pPr>
        <w:jc w:val="both"/>
        <w:ind w:right="180"/>
        <w:spacing w:after="0" w:line="237" w:lineRule="auto"/>
        <w:rPr>
          <w:sz w:val="20"/>
          <w:szCs w:val="20"/>
          <w:color w:val="auto"/>
        </w:rPr>
      </w:pPr>
      <w:r>
        <w:rPr>
          <w:rFonts w:ascii="Times New Roman" w:cs="Times New Roman" w:eastAsia="Times New Roman" w:hAnsi="Times New Roman"/>
          <w:sz w:val="22"/>
          <w:szCs w:val="22"/>
          <w:b w:val="1"/>
          <w:bCs w:val="1"/>
          <w:color w:val="auto"/>
        </w:rPr>
        <w:t>7A005 Global Navigation Satellite Systems (GNSS) receiving equipment having any of the following (see List of Items Controlled) and “specially designed” “components” therefor.</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Reason for Control</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NS, MT and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900" w:type="dxa"/>
            <w:vAlign w:val="bottom"/>
            <w:tcBorders>
              <w:top w:val="single" w:sz="8" w:color="auto"/>
              <w:left w:val="single" w:sz="8" w:color="auto"/>
            </w:tcBorders>
          </w:tcPr>
          <w:p>
            <w:pPr>
              <w:spacing w:after="0"/>
              <w:rPr>
                <w:sz w:val="22"/>
                <w:szCs w:val="22"/>
                <w:color w:val="auto"/>
              </w:rPr>
            </w:pPr>
          </w:p>
        </w:tc>
        <w:tc>
          <w:tcPr>
            <w:tcW w:w="1080" w:type="dxa"/>
            <w:vAlign w:val="bottom"/>
            <w:tcBorders>
              <w:top w:val="single" w:sz="8" w:color="auto"/>
            </w:tcBorders>
          </w:tcPr>
          <w:p>
            <w:pPr>
              <w:spacing w:after="0"/>
              <w:rPr>
                <w:sz w:val="22"/>
                <w:szCs w:val="22"/>
                <w:color w:val="auto"/>
              </w:rPr>
            </w:pPr>
          </w:p>
        </w:tc>
        <w:tc>
          <w:tcPr>
            <w:tcW w:w="380" w:type="dxa"/>
            <w:vAlign w:val="bottom"/>
            <w:tcBorders>
              <w:top w:val="single" w:sz="8" w:color="auto"/>
              <w:right w:val="single" w:sz="8" w:color="auto"/>
            </w:tcBorders>
          </w:tcPr>
          <w:p>
            <w:pPr>
              <w:spacing w:after="0"/>
              <w:rPr>
                <w:sz w:val="22"/>
                <w:szCs w:val="22"/>
                <w:color w:val="auto"/>
              </w:rPr>
            </w:pPr>
          </w:p>
        </w:tc>
        <w:tc>
          <w:tcPr>
            <w:tcW w:w="2000" w:type="dxa"/>
            <w:vAlign w:val="bottom"/>
            <w:tcBorders>
              <w:top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b w:val="1"/>
                <w:bCs w:val="1"/>
                <w:i w:val="1"/>
                <w:iCs w:val="1"/>
                <w:color w:val="auto"/>
              </w:rPr>
              <w:t>Country Chart (See</w:t>
            </w:r>
          </w:p>
        </w:tc>
      </w:tr>
      <w:tr>
        <w:trPr>
          <w:trHeight w:val="253"/>
        </w:trPr>
        <w:tc>
          <w:tcPr>
            <w:tcW w:w="1980" w:type="dxa"/>
            <w:vAlign w:val="bottom"/>
            <w:tcBorders>
              <w:lef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b w:val="1"/>
                <w:bCs w:val="1"/>
                <w:i w:val="1"/>
                <w:iCs w:val="1"/>
                <w:color w:val="auto"/>
              </w:rPr>
              <w:t>Control(s)</w:t>
            </w:r>
          </w:p>
        </w:tc>
        <w:tc>
          <w:tcPr>
            <w:tcW w:w="380" w:type="dxa"/>
            <w:vAlign w:val="bottom"/>
            <w:tcBorders>
              <w:right w:val="single" w:sz="8" w:color="auto"/>
            </w:tcBorders>
          </w:tcPr>
          <w:p>
            <w:pPr>
              <w:spacing w:after="0"/>
              <w:rPr>
                <w:sz w:val="22"/>
                <w:szCs w:val="22"/>
                <w:color w:val="auto"/>
              </w:rPr>
            </w:pPr>
          </w:p>
        </w:tc>
        <w:tc>
          <w:tcPr>
            <w:tcW w:w="2000" w:type="dxa"/>
            <w:vAlign w:val="bottom"/>
            <w:tcBorders>
              <w:right w:val="single" w:sz="8" w:color="auto"/>
            </w:tcBorders>
          </w:tcPr>
          <w:p>
            <w:pPr>
              <w:ind w:left="80"/>
              <w:spacing w:after="0"/>
              <w:rPr>
                <w:sz w:val="20"/>
                <w:szCs w:val="20"/>
                <w:color w:val="auto"/>
              </w:rPr>
            </w:pPr>
            <w:r>
              <w:rPr>
                <w:rFonts w:ascii="Times New Roman" w:cs="Times New Roman" w:eastAsia="Times New Roman" w:hAnsi="Times New Roman"/>
                <w:sz w:val="22"/>
                <w:szCs w:val="22"/>
                <w:b w:val="1"/>
                <w:bCs w:val="1"/>
                <w:i w:val="1"/>
                <w:iCs w:val="1"/>
                <w:color w:val="auto"/>
              </w:rPr>
              <w:t>Supp. No. 1 to part</w:t>
            </w:r>
          </w:p>
        </w:tc>
      </w:tr>
      <w:tr>
        <w:trPr>
          <w:trHeight w:val="254"/>
        </w:trPr>
        <w:tc>
          <w:tcPr>
            <w:tcW w:w="900" w:type="dxa"/>
            <w:vAlign w:val="bottom"/>
            <w:tcBorders>
              <w:left w:val="single" w:sz="8" w:color="auto"/>
              <w:bottom w:val="single" w:sz="8" w:color="auto"/>
            </w:tcBorders>
          </w:tcPr>
          <w:p>
            <w:pPr>
              <w:spacing w:after="0"/>
              <w:rPr>
                <w:sz w:val="22"/>
                <w:szCs w:val="22"/>
                <w:color w:val="auto"/>
              </w:rPr>
            </w:pPr>
          </w:p>
        </w:tc>
        <w:tc>
          <w:tcPr>
            <w:tcW w:w="1080" w:type="dxa"/>
            <w:vAlign w:val="bottom"/>
            <w:tcBorders>
              <w:bottom w:val="single" w:sz="8" w:color="auto"/>
            </w:tcBorders>
          </w:tcPr>
          <w:p>
            <w:pPr>
              <w:spacing w:after="0"/>
              <w:rPr>
                <w:sz w:val="22"/>
                <w:szCs w:val="22"/>
                <w:color w:val="auto"/>
              </w:rPr>
            </w:pPr>
          </w:p>
        </w:tc>
        <w:tc>
          <w:tcPr>
            <w:tcW w:w="380" w:type="dxa"/>
            <w:vAlign w:val="bottom"/>
            <w:tcBorders>
              <w:bottom w:val="single" w:sz="8" w:color="auto"/>
              <w:right w:val="single" w:sz="8" w:color="auto"/>
            </w:tcBorders>
          </w:tcPr>
          <w:p>
            <w:pPr>
              <w:spacing w:after="0"/>
              <w:rPr>
                <w:sz w:val="22"/>
                <w:szCs w:val="22"/>
                <w:color w:val="auto"/>
              </w:rPr>
            </w:pPr>
          </w:p>
        </w:tc>
        <w:tc>
          <w:tcPr>
            <w:tcW w:w="200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b w:val="1"/>
                <w:bCs w:val="1"/>
                <w:i w:val="1"/>
                <w:iCs w:val="1"/>
                <w:color w:val="auto"/>
              </w:rPr>
              <w:t>738)</w:t>
            </w:r>
          </w:p>
        </w:tc>
      </w:tr>
      <w:tr>
        <w:trPr>
          <w:trHeight w:val="242"/>
        </w:trPr>
        <w:tc>
          <w:tcPr>
            <w:tcW w:w="2360" w:type="dxa"/>
            <w:vAlign w:val="bottom"/>
            <w:tcBorders>
              <w:left w:val="single" w:sz="8" w:color="auto"/>
              <w:bottom w:val="single" w:sz="8" w:color="auto"/>
              <w:right w:val="single" w:sz="8" w:color="auto"/>
            </w:tcBorders>
            <w:gridSpan w:val="3"/>
          </w:tcPr>
          <w:p>
            <w:pPr>
              <w:ind w:left="100"/>
              <w:spacing w:after="0" w:line="241" w:lineRule="exact"/>
              <w:rPr>
                <w:sz w:val="20"/>
                <w:szCs w:val="20"/>
                <w:color w:val="auto"/>
              </w:rPr>
            </w:pPr>
            <w:r>
              <w:rPr>
                <w:rFonts w:ascii="Times New Roman" w:cs="Times New Roman" w:eastAsia="Times New Roman" w:hAnsi="Times New Roman"/>
                <w:sz w:val="22"/>
                <w:szCs w:val="22"/>
                <w:color w:val="auto"/>
              </w:rPr>
              <w:t>NS applies to 7A005.b</w:t>
            </w:r>
          </w:p>
        </w:tc>
        <w:tc>
          <w:tcPr>
            <w:tcW w:w="20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1"/>
        </w:trPr>
        <w:tc>
          <w:tcPr>
            <w:tcW w:w="900" w:type="dxa"/>
            <w:vAlign w:val="bottom"/>
            <w:tcBorders>
              <w:lef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w:t>
            </w:r>
          </w:p>
        </w:tc>
        <w:tc>
          <w:tcPr>
            <w:tcW w:w="1080" w:type="dxa"/>
            <w:vAlign w:val="bottom"/>
          </w:tcPr>
          <w:p>
            <w:pPr>
              <w:ind w:left="40"/>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380" w:type="dxa"/>
            <w:vAlign w:val="bottom"/>
            <w:tcBorders>
              <w:right w:val="single" w:sz="8" w:color="auto"/>
            </w:tcBorders>
          </w:tcPr>
          <w:p>
            <w:pPr>
              <w:jc w:val="right"/>
              <w:ind w:right="10"/>
              <w:spacing w:after="0" w:line="241" w:lineRule="exact"/>
              <w:rPr>
                <w:sz w:val="20"/>
                <w:szCs w:val="20"/>
                <w:color w:val="auto"/>
              </w:rPr>
            </w:pPr>
            <w:r>
              <w:rPr>
                <w:rFonts w:ascii="Times New Roman" w:cs="Times New Roman" w:eastAsia="Times New Roman" w:hAnsi="Times New Roman"/>
                <w:sz w:val="22"/>
                <w:szCs w:val="22"/>
                <w:color w:val="auto"/>
              </w:rPr>
              <w:t>to</w:t>
            </w:r>
          </w:p>
        </w:tc>
        <w:tc>
          <w:tcPr>
            <w:tcW w:w="200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4"/>
        </w:trPr>
        <w:tc>
          <w:tcPr>
            <w:tcW w:w="1980" w:type="dxa"/>
            <w:vAlign w:val="bottom"/>
            <w:tcBorders>
              <w:lef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commodities</w:t>
            </w:r>
          </w:p>
        </w:tc>
        <w:tc>
          <w:tcPr>
            <w:tcW w:w="38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in</w:t>
            </w:r>
          </w:p>
        </w:tc>
        <w:tc>
          <w:tcPr>
            <w:tcW w:w="2000" w:type="dxa"/>
            <w:vAlign w:val="bottom"/>
            <w:tcBorders>
              <w:right w:val="single" w:sz="8" w:color="auto"/>
            </w:tcBorders>
          </w:tcPr>
          <w:p>
            <w:pPr>
              <w:spacing w:after="0"/>
              <w:rPr>
                <w:sz w:val="22"/>
                <w:szCs w:val="22"/>
                <w:color w:val="auto"/>
              </w:rPr>
            </w:pPr>
          </w:p>
        </w:tc>
      </w:tr>
      <w:tr>
        <w:trPr>
          <w:trHeight w:val="253"/>
        </w:trPr>
        <w:tc>
          <w:tcPr>
            <w:tcW w:w="90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7A005.b</w:t>
            </w:r>
          </w:p>
        </w:tc>
        <w:tc>
          <w:tcPr>
            <w:tcW w:w="1080" w:type="dxa"/>
            <w:vAlign w:val="bottom"/>
          </w:tcPr>
          <w:p>
            <w:pPr>
              <w:ind w:left="120"/>
              <w:spacing w:after="0"/>
              <w:rPr>
                <w:sz w:val="20"/>
                <w:szCs w:val="20"/>
                <w:color w:val="auto"/>
              </w:rPr>
            </w:pPr>
            <w:r>
              <w:rPr>
                <w:rFonts w:ascii="Times New Roman" w:cs="Times New Roman" w:eastAsia="Times New Roman" w:hAnsi="Times New Roman"/>
                <w:sz w:val="22"/>
                <w:szCs w:val="22"/>
                <w:color w:val="auto"/>
              </w:rPr>
              <w:t>that  meet</w:t>
            </w:r>
          </w:p>
        </w:tc>
        <w:tc>
          <w:tcPr>
            <w:tcW w:w="38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or</w:t>
            </w:r>
          </w:p>
        </w:tc>
        <w:tc>
          <w:tcPr>
            <w:tcW w:w="2000" w:type="dxa"/>
            <w:vAlign w:val="bottom"/>
            <w:tcBorders>
              <w:right w:val="single" w:sz="8" w:color="auto"/>
            </w:tcBorders>
          </w:tcPr>
          <w:p>
            <w:pPr>
              <w:spacing w:after="0"/>
              <w:rPr>
                <w:sz w:val="22"/>
                <w:szCs w:val="22"/>
                <w:color w:val="auto"/>
              </w:rPr>
            </w:pPr>
          </w:p>
        </w:tc>
      </w:tr>
      <w:tr>
        <w:trPr>
          <w:trHeight w:val="252"/>
        </w:trPr>
        <w:tc>
          <w:tcPr>
            <w:tcW w:w="2360" w:type="dxa"/>
            <w:vAlign w:val="bottom"/>
            <w:tcBorders>
              <w:left w:val="single" w:sz="8" w:color="auto"/>
              <w:right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exceed  the  parameters</w:t>
            </w:r>
          </w:p>
        </w:tc>
        <w:tc>
          <w:tcPr>
            <w:tcW w:w="2000" w:type="dxa"/>
            <w:vAlign w:val="bottom"/>
            <w:tcBorders>
              <w:right w:val="single" w:sz="8" w:color="auto"/>
            </w:tcBorders>
          </w:tcPr>
          <w:p>
            <w:pPr>
              <w:spacing w:after="0"/>
              <w:rPr>
                <w:sz w:val="21"/>
                <w:szCs w:val="21"/>
                <w:color w:val="auto"/>
              </w:rPr>
            </w:pPr>
          </w:p>
        </w:tc>
      </w:tr>
      <w:tr>
        <w:trPr>
          <w:trHeight w:val="255"/>
        </w:trPr>
        <w:tc>
          <w:tcPr>
            <w:tcW w:w="1980" w:type="dxa"/>
            <w:vAlign w:val="bottom"/>
            <w:tcBorders>
              <w:left w:val="single" w:sz="8" w:color="auto"/>
              <w:bottom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of 7A105.</w:t>
            </w:r>
          </w:p>
        </w:tc>
        <w:tc>
          <w:tcPr>
            <w:tcW w:w="380" w:type="dxa"/>
            <w:vAlign w:val="bottom"/>
            <w:tcBorders>
              <w:bottom w:val="single" w:sz="8" w:color="auto"/>
              <w:right w:val="single" w:sz="8" w:color="auto"/>
            </w:tcBorders>
          </w:tcPr>
          <w:p>
            <w:pPr>
              <w:spacing w:after="0"/>
              <w:rPr>
                <w:sz w:val="22"/>
                <w:szCs w:val="22"/>
                <w:color w:val="auto"/>
              </w:rPr>
            </w:pPr>
          </w:p>
        </w:tc>
        <w:tc>
          <w:tcPr>
            <w:tcW w:w="2000" w:type="dxa"/>
            <w:vAlign w:val="bottom"/>
            <w:tcBorders>
              <w:bottom w:val="single" w:sz="8" w:color="auto"/>
              <w:right w:val="single" w:sz="8" w:color="auto"/>
            </w:tcBorders>
          </w:tcPr>
          <w:p>
            <w:pPr>
              <w:spacing w:after="0"/>
              <w:rPr>
                <w:sz w:val="22"/>
                <w:szCs w:val="22"/>
                <w:color w:val="auto"/>
              </w:rPr>
            </w:pPr>
          </w:p>
        </w:tc>
      </w:tr>
      <w:tr>
        <w:trPr>
          <w:trHeight w:val="243"/>
        </w:trPr>
        <w:tc>
          <w:tcPr>
            <w:tcW w:w="2360" w:type="dxa"/>
            <w:vAlign w:val="bottom"/>
            <w:tcBorders>
              <w:left w:val="single" w:sz="8" w:color="auto"/>
              <w:bottom w:val="single" w:sz="8" w:color="auto"/>
              <w:right w:val="single" w:sz="8" w:color="auto"/>
            </w:tcBorders>
            <w:gridSpan w:val="3"/>
          </w:tcPr>
          <w:p>
            <w:pPr>
              <w:ind w:left="100"/>
              <w:spacing w:after="0" w:line="241" w:lineRule="exact"/>
              <w:rPr>
                <w:sz w:val="20"/>
                <w:szCs w:val="20"/>
                <w:color w:val="auto"/>
              </w:rPr>
            </w:pPr>
            <w:r>
              <w:rPr>
                <w:rFonts w:ascii="Times New Roman" w:cs="Times New Roman" w:eastAsia="Times New Roman" w:hAnsi="Times New Roman"/>
                <w:sz w:val="22"/>
                <w:szCs w:val="22"/>
                <w:color w:val="auto"/>
              </w:rPr>
              <w:t>AT applies to 7A005.b</w:t>
            </w:r>
          </w:p>
        </w:tc>
        <w:tc>
          <w:tcPr>
            <w:tcW w:w="20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18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12" w:lineRule="exact"/>
        <w:rPr>
          <w:sz w:val="20"/>
          <w:szCs w:val="20"/>
          <w:color w:val="auto"/>
        </w:rPr>
      </w:pPr>
    </w:p>
    <w:p>
      <w:pPr>
        <w:jc w:val="both"/>
        <w:ind w:left="460" w:right="180"/>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also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7A105, 7A611 and 7A994. Commercially available GNSS receivers do not typically employ decryption or adaptive antennae and are classified as 7A994. (2) See USML Category XII(d) for GNSS receiving equipment subject to the ITAR and USML Category XI(c)(10) for antennae that are subject to the ITAR. (3)</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460"/>
        <w:spacing w:after="0" w:line="236" w:lineRule="auto"/>
        <w:rPr>
          <w:sz w:val="20"/>
          <w:szCs w:val="20"/>
          <w:color w:val="auto"/>
        </w:rPr>
      </w:pPr>
      <w:r>
        <w:rPr>
          <w:rFonts w:ascii="Times New Roman" w:cs="Times New Roman" w:eastAsia="Times New Roman" w:hAnsi="Times New Roman"/>
          <w:sz w:val="22"/>
          <w:szCs w:val="22"/>
          <w:color w:val="auto"/>
        </w:rPr>
        <w:t>Items that otherwise would be covered by ECCN 7A005.a are “subject to the ITAR” (see 22 CFR parts 120 through 130).</w:t>
      </w:r>
    </w:p>
    <w:p>
      <w:pPr>
        <w:spacing w:after="0" w:line="1"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4" w:lineRule="exact"/>
        <w:rPr>
          <w:sz w:val="20"/>
          <w:szCs w:val="20"/>
          <w:color w:val="auto"/>
        </w:rPr>
      </w:pPr>
    </w:p>
    <w:p>
      <w:pPr>
        <w:jc w:val="both"/>
        <w:ind w:left="20"/>
        <w:spacing w:after="0" w:line="237" w:lineRule="auto"/>
        <w:rPr>
          <w:sz w:val="20"/>
          <w:szCs w:val="20"/>
          <w:color w:val="auto"/>
        </w:rPr>
      </w:pPr>
      <w:r>
        <w:rPr>
          <w:rFonts w:ascii="Times New Roman" w:cs="Times New Roman" w:eastAsia="Times New Roman" w:hAnsi="Times New Roman"/>
          <w:sz w:val="22"/>
          <w:szCs w:val="22"/>
          <w:color w:val="auto"/>
        </w:rPr>
        <w:t xml:space="preserve">a. Employing a decryption algorithm “specially designed” or modified for government use to access the ranging code for position and time;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color w:val="auto"/>
        </w:rPr>
        <w:t>b.  Employing ‘adaptive antenna systems’.</w:t>
      </w:r>
    </w:p>
    <w:p>
      <w:pPr>
        <w:spacing w:after="0" w:line="255"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7A005.b  does  not  apply  to  GNSS</w:t>
      </w:r>
    </w:p>
    <w:p>
      <w:pPr>
        <w:spacing w:after="0" w:line="13" w:lineRule="exact"/>
        <w:rPr>
          <w:sz w:val="20"/>
          <w:szCs w:val="20"/>
          <w:color w:val="auto"/>
        </w:rPr>
      </w:pPr>
    </w:p>
    <w:p>
      <w:pPr>
        <w:jc w:val="both"/>
        <w:ind w:left="20"/>
        <w:spacing w:after="0" w:line="237" w:lineRule="auto"/>
        <w:rPr>
          <w:sz w:val="20"/>
          <w:szCs w:val="20"/>
          <w:color w:val="auto"/>
        </w:rPr>
      </w:pPr>
      <w:r>
        <w:rPr>
          <w:rFonts w:ascii="Times New Roman" w:cs="Times New Roman" w:eastAsia="Times New Roman" w:hAnsi="Times New Roman"/>
          <w:sz w:val="22"/>
          <w:szCs w:val="22"/>
          <w:i w:val="1"/>
          <w:iCs w:val="1"/>
          <w:color w:val="auto"/>
        </w:rPr>
        <w:t>receiving equipment that only uses “components” designed to filter, switch, or combine signals from multiple omni-directional antennas that do not implement adaptive antenna techniques.</w:t>
      </w:r>
    </w:p>
    <w:p>
      <w:pPr>
        <w:spacing w:after="0" w:line="256" w:lineRule="exact"/>
        <w:rPr>
          <w:sz w:val="20"/>
          <w:szCs w:val="20"/>
          <w:color w:val="auto"/>
        </w:rPr>
      </w:pPr>
    </w:p>
    <w:p>
      <w:pPr>
        <w:ind w:left="380"/>
        <w:spacing w:after="0"/>
        <w:tabs>
          <w:tab w:leader="none" w:pos="1440" w:val="left"/>
          <w:tab w:leader="none" w:pos="2120" w:val="left"/>
          <w:tab w:leader="none" w:pos="2620" w:val="left"/>
          <w:tab w:leader="none" w:pos="3080" w:val="left"/>
          <w:tab w:leader="none" w:pos="4040" w:val="left"/>
        </w:tabs>
        <w:rPr>
          <w:sz w:val="20"/>
          <w:szCs w:val="20"/>
          <w:color w:val="auto"/>
        </w:rPr>
      </w:pPr>
      <w:r>
        <w:rPr>
          <w:rFonts w:ascii="Times New Roman" w:cs="Times New Roman" w:eastAsia="Times New Roman" w:hAnsi="Times New Roman"/>
          <w:sz w:val="22"/>
          <w:szCs w:val="22"/>
          <w:b w:val="1"/>
          <w:bCs w:val="1"/>
          <w:i w:val="1"/>
          <w:iCs w:val="1"/>
          <w:color w:val="auto"/>
        </w:rPr>
        <w:t>Technical</w:t>
        <w:tab/>
        <w:t>Note:</w:t>
      </w:r>
      <w:r>
        <w:rPr>
          <w:sz w:val="20"/>
          <w:szCs w:val="20"/>
          <w:color w:val="auto"/>
        </w:rPr>
        <w:tab/>
      </w:r>
      <w:r>
        <w:rPr>
          <w:rFonts w:ascii="Times New Roman" w:cs="Times New Roman" w:eastAsia="Times New Roman" w:hAnsi="Times New Roman"/>
          <w:sz w:val="22"/>
          <w:szCs w:val="22"/>
          <w:i w:val="1"/>
          <w:iCs w:val="1"/>
          <w:color w:val="auto"/>
        </w:rPr>
        <w:t>For</w:t>
        <w:tab/>
        <w:t>the</w:t>
        <w:tab/>
        <w:t>purposes</w:t>
        <w:tab/>
        <w:t>of</w:t>
      </w:r>
    </w:p>
    <w:p>
      <w:pPr>
        <w:spacing w:after="0" w:line="12" w:lineRule="exact"/>
        <w:rPr>
          <w:sz w:val="20"/>
          <w:szCs w:val="20"/>
          <w:color w:val="auto"/>
        </w:rPr>
      </w:pPr>
    </w:p>
    <w:p>
      <w:pPr>
        <w:jc w:val="both"/>
        <w:ind w:left="20"/>
        <w:spacing w:after="0" w:line="237" w:lineRule="auto"/>
        <w:rPr>
          <w:sz w:val="20"/>
          <w:szCs w:val="20"/>
          <w:color w:val="auto"/>
        </w:rPr>
      </w:pPr>
      <w:r>
        <w:rPr>
          <w:rFonts w:ascii="Times New Roman" w:cs="Times New Roman" w:eastAsia="Times New Roman" w:hAnsi="Times New Roman"/>
          <w:sz w:val="22"/>
          <w:szCs w:val="22"/>
          <w:i w:val="1"/>
          <w:iCs w:val="1"/>
          <w:color w:val="auto"/>
        </w:rPr>
        <w:t>7A005.b ‘adaptive antenna systems’ dynamically generate one or more spatial nulls in an antenna array pattern by signal processing in the time domain or frequency domain.</w:t>
      </w:r>
    </w:p>
    <w:p>
      <w:pPr>
        <w:spacing w:after="0" w:line="200" w:lineRule="exact"/>
        <w:rPr>
          <w:sz w:val="20"/>
          <w:szCs w:val="20"/>
          <w:color w:val="auto"/>
        </w:rPr>
      </w:pPr>
    </w:p>
    <w:p>
      <w:pPr>
        <w:spacing w:after="0" w:line="323" w:lineRule="exact"/>
        <w:rPr>
          <w:sz w:val="20"/>
          <w:szCs w:val="20"/>
          <w:color w:val="auto"/>
        </w:rPr>
      </w:pPr>
    </w:p>
    <w:p>
      <w:pPr>
        <w:jc w:val="both"/>
        <w:ind w:left="20"/>
        <w:spacing w:after="0" w:line="237" w:lineRule="auto"/>
        <w:rPr>
          <w:sz w:val="20"/>
          <w:szCs w:val="20"/>
          <w:color w:val="auto"/>
        </w:rPr>
      </w:pPr>
      <w:r>
        <w:rPr>
          <w:rFonts w:ascii="Times New Roman" w:cs="Times New Roman" w:eastAsia="Times New Roman" w:hAnsi="Times New Roman"/>
          <w:sz w:val="22"/>
          <w:szCs w:val="22"/>
          <w:b w:val="1"/>
          <w:bCs w:val="1"/>
          <w:color w:val="auto"/>
        </w:rPr>
        <w:t>7A006 Airborne altimeters operating at frequencies other than 4.2 to 4.4 GHz inclusive and having any of the following (see List of Items Controlled).</w:t>
      </w:r>
    </w:p>
    <w:p>
      <w:pPr>
        <w:spacing w:after="0" w:line="25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8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54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4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3"/>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540" w:type="dxa"/>
            <w:vAlign w:val="bottom"/>
            <w:tcBorders>
              <w:bottom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720" w:type="dxa"/>
            <w:vAlign w:val="bottom"/>
            <w:tcBorders>
              <w:left w:val="single" w:sz="8" w:color="auto"/>
              <w:bottom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NS applies to entire entry</w:t>
            </w:r>
          </w:p>
        </w:tc>
        <w:tc>
          <w:tcPr>
            <w:tcW w:w="1540" w:type="dxa"/>
            <w:vAlign w:val="bottom"/>
            <w:tcBorders>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NS Column 1</w:t>
            </w:r>
          </w:p>
        </w:tc>
      </w:tr>
      <w:tr>
        <w:trPr>
          <w:trHeight w:val="241"/>
        </w:trPr>
        <w:tc>
          <w:tcPr>
            <w:tcW w:w="27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commodities</w:t>
            </w:r>
          </w:p>
        </w:tc>
        <w:tc>
          <w:tcPr>
            <w:tcW w:w="15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7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  this  entry  that  meet  or</w:t>
            </w:r>
          </w:p>
        </w:tc>
        <w:tc>
          <w:tcPr>
            <w:tcW w:w="1540" w:type="dxa"/>
            <w:vAlign w:val="bottom"/>
            <w:tcBorders>
              <w:right w:val="single" w:sz="8" w:color="auto"/>
            </w:tcBorders>
          </w:tcPr>
          <w:p>
            <w:pPr>
              <w:spacing w:after="0"/>
              <w:rPr>
                <w:sz w:val="22"/>
                <w:szCs w:val="22"/>
                <w:color w:val="auto"/>
              </w:rPr>
            </w:pPr>
          </w:p>
        </w:tc>
      </w:tr>
      <w:tr>
        <w:trPr>
          <w:trHeight w:val="252"/>
        </w:trPr>
        <w:tc>
          <w:tcPr>
            <w:tcW w:w="27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exceed  the  parameters  of</w:t>
            </w:r>
          </w:p>
        </w:tc>
        <w:tc>
          <w:tcPr>
            <w:tcW w:w="1540" w:type="dxa"/>
            <w:vAlign w:val="bottom"/>
            <w:tcBorders>
              <w:right w:val="single" w:sz="8" w:color="auto"/>
            </w:tcBorders>
          </w:tcPr>
          <w:p>
            <w:pPr>
              <w:spacing w:after="0"/>
              <w:rPr>
                <w:sz w:val="21"/>
                <w:szCs w:val="21"/>
                <w:color w:val="auto"/>
              </w:rPr>
            </w:pPr>
          </w:p>
        </w:tc>
      </w:tr>
      <w:tr>
        <w:trPr>
          <w:trHeight w:val="255"/>
        </w:trPr>
        <w:tc>
          <w:tcPr>
            <w:tcW w:w="27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7A106</w:t>
            </w:r>
          </w:p>
        </w:tc>
        <w:tc>
          <w:tcPr>
            <w:tcW w:w="1540" w:type="dxa"/>
            <w:vAlign w:val="bottom"/>
            <w:tcBorders>
              <w:bottom w:val="single" w:sz="8" w:color="auto"/>
              <w:right w:val="single" w:sz="8" w:color="auto"/>
            </w:tcBorders>
          </w:tcPr>
          <w:p>
            <w:pPr>
              <w:spacing w:after="0"/>
              <w:rPr>
                <w:sz w:val="22"/>
                <w:szCs w:val="22"/>
                <w:color w:val="auto"/>
              </w:rPr>
            </w:pPr>
          </w:p>
        </w:tc>
      </w:tr>
      <w:tr>
        <w:trPr>
          <w:trHeight w:val="243"/>
        </w:trPr>
        <w:tc>
          <w:tcPr>
            <w:tcW w:w="272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5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442" w:lineRule="exact"/>
        <w:rPr>
          <w:sz w:val="20"/>
          <w:szCs w:val="20"/>
          <w:color w:val="auto"/>
        </w:rPr>
      </w:pPr>
    </w:p>
    <w:p>
      <w:pPr>
        <w:sectPr>
          <w:pgSz w:w="12240" w:h="15840" w:orient="portrait"/>
          <w:cols w:equalWidth="0" w:num="2">
            <w:col w:w="4400" w:space="720"/>
            <w:col w:w="4240"/>
          </w:cols>
          <w:pgMar w:left="1440" w:top="1437" w:right="1440" w:bottom="876" w:gutter="0" w:footer="0" w:header="0"/>
          <w:type w:val="continuous"/>
        </w:sectPr>
      </w:pPr>
    </w:p>
    <w:p>
      <w:pPr>
        <w:spacing w:after="0" w:line="138"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5" w:name="page6"/>
    <w:bookmarkEnd w:id="5"/>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6</w:t>
      </w:r>
    </w:p>
    <w:p>
      <w:pPr>
        <w:sectPr>
          <w:pgSz w:w="12240" w:h="15840" w:orient="portrait"/>
          <w:cols w:equalWidth="0" w:num="1">
            <w:col w:w="9360"/>
          </w:cols>
          <w:pgMar w:left="1440" w:top="1437" w:right="1440" w:bottom="876" w:gutter="0" w:footer="0" w:header="0"/>
        </w:sectPr>
      </w:pPr>
    </w:p>
    <w:p>
      <w:pPr>
        <w:spacing w:after="0" w:line="287" w:lineRule="exact"/>
        <w:rPr>
          <w:sz w:val="20"/>
          <w:szCs w:val="20"/>
          <w:color w:val="auto"/>
        </w:rPr>
      </w:pPr>
    </w:p>
    <w:p>
      <w:pPr>
        <w:jc w:val="both"/>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540" w:right="100" w:hanging="179"/>
        <w:spacing w:after="0" w:line="23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See also </w:t>
      </w:r>
      <w:r>
        <w:rPr>
          <w:rFonts w:ascii="Times New Roman" w:cs="Times New Roman" w:eastAsia="Times New Roman" w:hAnsi="Times New Roman"/>
          <w:sz w:val="22"/>
          <w:szCs w:val="22"/>
          <w:u w:val="single" w:color="auto"/>
          <w:color w:val="0000FF"/>
        </w:rPr>
        <w:t>7A106</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7A994</w:t>
      </w:r>
      <w:r>
        <w:rPr>
          <w:rFonts w:ascii="Times New Roman" w:cs="Times New Roman" w:eastAsia="Times New Roman" w:hAnsi="Times New Roman"/>
          <w:sz w:val="22"/>
          <w:szCs w:val="22"/>
          <w:color w:val="auto"/>
        </w:rPr>
        <w:t xml:space="preserve"> and Category 6 for controls on radar.</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a. ‘Power management’;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right="12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‘Power management’ is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changing the transmitted power of the altimeter signal so that received power at the “aircraft” altitude is always at the minimum necessary to determine the altitude.</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Using phase shift key modulation.</w:t>
      </w:r>
    </w:p>
    <w:p>
      <w:pPr>
        <w:spacing w:after="0" w:line="200" w:lineRule="exact"/>
        <w:rPr>
          <w:sz w:val="20"/>
          <w:szCs w:val="20"/>
          <w:color w:val="auto"/>
        </w:rPr>
      </w:pPr>
    </w:p>
    <w:p>
      <w:pPr>
        <w:spacing w:after="0" w:line="321" w:lineRule="exact"/>
        <w:rPr>
          <w:sz w:val="20"/>
          <w:szCs w:val="20"/>
          <w:color w:val="auto"/>
        </w:rPr>
      </w:pPr>
    </w:p>
    <w:p>
      <w:pPr>
        <w:jc w:val="both"/>
        <w:ind w:right="120"/>
        <w:spacing w:after="0" w:line="238" w:lineRule="auto"/>
        <w:rPr>
          <w:sz w:val="20"/>
          <w:szCs w:val="20"/>
          <w:color w:val="auto"/>
        </w:rPr>
      </w:pPr>
      <w:r>
        <w:rPr>
          <w:rFonts w:ascii="Times New Roman" w:cs="Times New Roman" w:eastAsia="Times New Roman" w:hAnsi="Times New Roman"/>
          <w:sz w:val="22"/>
          <w:szCs w:val="22"/>
          <w:b w:val="1"/>
          <w:bCs w:val="1"/>
          <w:color w:val="auto"/>
        </w:rPr>
        <w:t>7A008 Underwater sonar navigation systems using Doppler velocity or correlation velocity logs integrated with a heading source and having a positioning “accuracy” of equal to or less (better) than 3% of distance traveled “Circular Error Probable”</w:t>
      </w:r>
    </w:p>
    <w:p>
      <w:pPr>
        <w:spacing w:after="0" w:line="13" w:lineRule="exact"/>
        <w:rPr>
          <w:sz w:val="20"/>
          <w:szCs w:val="20"/>
          <w:color w:val="auto"/>
        </w:rPr>
      </w:pPr>
    </w:p>
    <w:p>
      <w:pPr>
        <w:jc w:val="both"/>
        <w:ind w:right="100"/>
        <w:spacing w:after="0" w:line="233" w:lineRule="auto"/>
        <w:rPr>
          <w:sz w:val="20"/>
          <w:szCs w:val="20"/>
          <w:color w:val="auto"/>
        </w:rPr>
      </w:pPr>
      <w:r>
        <w:rPr>
          <w:rFonts w:ascii="Times New Roman" w:cs="Times New Roman" w:eastAsia="Times New Roman" w:hAnsi="Times New Roman"/>
          <w:sz w:val="22"/>
          <w:szCs w:val="22"/>
          <w:b w:val="1"/>
          <w:bCs w:val="1"/>
          <w:color w:val="auto"/>
        </w:rPr>
        <w:t>(“CEP”) and “specially designed” “components” therefor.</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2"/>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7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4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7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62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74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620" w:type="dxa"/>
            <w:vAlign w:val="bottom"/>
            <w:tcBorders>
              <w:left w:val="single" w:sz="8" w:color="auto"/>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40" w:type="dxa"/>
            <w:vAlign w:val="bottom"/>
            <w:tcBorders>
              <w:bottom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ind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0" w:lineRule="exact"/>
        <w:rPr>
          <w:sz w:val="20"/>
          <w:szCs w:val="20"/>
          <w:color w:val="auto"/>
        </w:rPr>
      </w:pPr>
      <w:r>
        <w:rPr>
          <w:sz w:val="20"/>
          <w:szCs w:val="20"/>
          <w:color w:val="auto"/>
        </w:rPr>
        <w:br w:type="column"/>
      </w:r>
    </w:p>
    <w:p>
      <w:pPr>
        <w:spacing w:after="0" w:line="255"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640" w:hanging="179"/>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7A008</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systems “specially designed” for installation on surface vessels or systems requiring acoustic beacons or buoys to provide positioning data. See 6A001.a for acoustic systems, and 6A001.b for</w:t>
      </w:r>
    </w:p>
    <w:p>
      <w:pPr>
        <w:jc w:val="right"/>
        <w:spacing w:after="0"/>
        <w:tabs>
          <w:tab w:leader="none" w:pos="1520" w:val="left"/>
          <w:tab w:leader="none" w:pos="780" w:val="left"/>
        </w:tabs>
        <w:rPr>
          <w:sz w:val="20"/>
          <w:szCs w:val="20"/>
          <w:color w:val="auto"/>
        </w:rPr>
      </w:pPr>
      <w:r>
        <w:rPr>
          <w:rFonts w:ascii="Times New Roman" w:cs="Times New Roman" w:eastAsia="Times New Roman" w:hAnsi="Times New Roman"/>
          <w:sz w:val="22"/>
          <w:szCs w:val="22"/>
          <w:color w:val="auto"/>
        </w:rPr>
        <w:t>correlation-velocity</w:t>
      </w:r>
      <w:r>
        <w:rPr>
          <w:sz w:val="20"/>
          <w:szCs w:val="20"/>
          <w:color w:val="auto"/>
        </w:rPr>
        <w:tab/>
      </w:r>
      <w:r>
        <w:rPr>
          <w:rFonts w:ascii="Times New Roman" w:cs="Times New Roman" w:eastAsia="Times New Roman" w:hAnsi="Times New Roman"/>
          <w:sz w:val="22"/>
          <w:szCs w:val="22"/>
          <w:color w:val="auto"/>
        </w:rPr>
        <w:t>and</w:t>
      </w:r>
      <w:r>
        <w:rPr>
          <w:sz w:val="20"/>
          <w:szCs w:val="20"/>
          <w:color w:val="auto"/>
        </w:rPr>
        <w:tab/>
      </w:r>
      <w:r>
        <w:rPr>
          <w:rFonts w:ascii="Times New Roman" w:cs="Times New Roman" w:eastAsia="Times New Roman" w:hAnsi="Times New Roman"/>
          <w:sz w:val="22"/>
          <w:szCs w:val="22"/>
          <w:color w:val="auto"/>
        </w:rPr>
        <w:t>Doppler-</w:t>
      </w:r>
    </w:p>
    <w:p>
      <w:pPr>
        <w:spacing w:after="0" w:line="13" w:lineRule="exact"/>
        <w:rPr>
          <w:sz w:val="20"/>
          <w:szCs w:val="20"/>
          <w:color w:val="auto"/>
        </w:rPr>
      </w:pPr>
    </w:p>
    <w:p>
      <w:pPr>
        <w:ind w:left="640"/>
        <w:spacing w:after="0" w:line="234" w:lineRule="auto"/>
        <w:rPr>
          <w:sz w:val="20"/>
          <w:szCs w:val="20"/>
          <w:color w:val="auto"/>
        </w:rPr>
      </w:pPr>
      <w:r>
        <w:rPr>
          <w:rFonts w:ascii="Times New Roman" w:cs="Times New Roman" w:eastAsia="Times New Roman" w:hAnsi="Times New Roman"/>
          <w:sz w:val="22"/>
          <w:szCs w:val="22"/>
          <w:color w:val="auto"/>
        </w:rPr>
        <w:t>velocity sonar log equipment. See 8A002 for other marine systems.</w:t>
      </w:r>
    </w:p>
    <w:p>
      <w:pPr>
        <w:spacing w:after="0" w:line="1"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4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left="10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ind w:left="100"/>
        <w:spacing w:after="0" w:line="237" w:lineRule="auto"/>
        <w:rPr>
          <w:sz w:val="20"/>
          <w:szCs w:val="20"/>
          <w:color w:val="auto"/>
        </w:rPr>
      </w:pPr>
      <w:r>
        <w:rPr>
          <w:rFonts w:ascii="Times New Roman" w:cs="Times New Roman" w:eastAsia="Times New Roman" w:hAnsi="Times New Roman"/>
          <w:sz w:val="22"/>
          <w:szCs w:val="22"/>
          <w:b w:val="1"/>
          <w:bCs w:val="1"/>
          <w:color w:val="auto"/>
        </w:rPr>
        <w:t>7A101 Accelerometers, other than those controlled by 7A001 (see List of Items Controlled), and “specially designed” “parts” and “components” therefor.</w:t>
      </w:r>
    </w:p>
    <w:p>
      <w:pPr>
        <w:spacing w:after="0" w:line="253"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jc w:val="center"/>
        <w:ind w:right="760"/>
        <w:spacing w:after="0"/>
        <w:tabs>
          <w:tab w:leader="none" w:pos="1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2"/>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left="10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3"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USML Category</w:t>
      </w:r>
    </w:p>
    <w:p>
      <w:pPr>
        <w:spacing w:after="0" w:line="200"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4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6" w:name="page7"/>
    <w:bookmarkEnd w:id="6"/>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7</w:t>
      </w:r>
    </w:p>
    <w:p>
      <w:pPr>
        <w:sectPr>
          <w:pgSz w:w="12240" w:h="15840" w:orient="portrait"/>
          <w:cols w:equalWidth="0" w:num="1">
            <w:col w:w="9360"/>
          </w:cols>
          <w:pgMar w:left="1440" w:top="1437" w:right="1440" w:bottom="876" w:gutter="0" w:footer="0" w:header="0"/>
        </w:sectPr>
      </w:pPr>
    </w:p>
    <w:p>
      <w:pPr>
        <w:spacing w:after="0" w:line="287" w:lineRule="exact"/>
        <w:rPr>
          <w:sz w:val="20"/>
          <w:szCs w:val="20"/>
          <w:color w:val="auto"/>
        </w:rPr>
      </w:pPr>
    </w:p>
    <w:p>
      <w:pPr>
        <w:jc w:val="both"/>
        <w:ind w:left="540" w:right="180"/>
        <w:spacing w:after="0" w:line="238" w:lineRule="auto"/>
        <w:rPr>
          <w:sz w:val="20"/>
          <w:szCs w:val="20"/>
          <w:color w:val="auto"/>
        </w:rPr>
      </w:pPr>
      <w:r>
        <w:rPr>
          <w:rFonts w:ascii="Times New Roman" w:cs="Times New Roman" w:eastAsia="Times New Roman" w:hAnsi="Times New Roman"/>
          <w:sz w:val="22"/>
          <w:szCs w:val="22"/>
          <w:color w:val="auto"/>
        </w:rPr>
        <w:t xml:space="preserve">XII(e) for accelerometers subject to the ITAR. (2) See also ECCNs </w:t>
      </w:r>
      <w:r>
        <w:rPr>
          <w:rFonts w:ascii="Times New Roman" w:cs="Times New Roman" w:eastAsia="Times New Roman" w:hAnsi="Times New Roman"/>
          <w:sz w:val="22"/>
          <w:szCs w:val="22"/>
          <w:u w:val="single" w:color="auto"/>
          <w:color w:val="0000FF"/>
        </w:rPr>
        <w:t>7A101</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7A611</w:t>
      </w:r>
      <w:r>
        <w:rPr>
          <w:rFonts w:ascii="Times New Roman" w:cs="Times New Roman" w:eastAsia="Times New Roman" w:hAnsi="Times New Roman"/>
          <w:sz w:val="22"/>
          <w:szCs w:val="22"/>
          <w:color w:val="000000"/>
        </w:rPr>
        <w:t>. (3) This entry does not control</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accelerometers that are “specially designed” and developed as MWD (Measurement While Drilling) sensors for use in downhole well service operations.</w:t>
      </w:r>
    </w:p>
    <w:p>
      <w:pPr>
        <w:spacing w:after="0" w:line="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160"/>
        <w:spacing w:after="0" w:line="238" w:lineRule="auto"/>
        <w:rPr>
          <w:sz w:val="20"/>
          <w:szCs w:val="20"/>
          <w:color w:val="auto"/>
        </w:rPr>
      </w:pPr>
      <w:r>
        <w:rPr>
          <w:rFonts w:ascii="Times New Roman" w:cs="Times New Roman" w:eastAsia="Times New Roman" w:hAnsi="Times New Roman"/>
          <w:sz w:val="22"/>
          <w:szCs w:val="22"/>
          <w:color w:val="auto"/>
        </w:rPr>
        <w:t xml:space="preserve">a. Linear accelerometers designed for use in inertial navigation systems or in guidance systems of all types, usable in “missiles” having </w:t>
      </w:r>
      <w:r>
        <w:rPr>
          <w:rFonts w:ascii="Times New Roman" w:cs="Times New Roman" w:eastAsia="Times New Roman" w:hAnsi="Times New Roman"/>
          <w:sz w:val="22"/>
          <w:szCs w:val="22"/>
          <w:i w:val="1"/>
          <w:iCs w:val="1"/>
          <w:color w:val="auto"/>
        </w:rPr>
        <w:t>all</w:t>
      </w:r>
      <w:r>
        <w:rPr>
          <w:rFonts w:ascii="Times New Roman" w:cs="Times New Roman" w:eastAsia="Times New Roman" w:hAnsi="Times New Roman"/>
          <w:sz w:val="22"/>
          <w:szCs w:val="22"/>
          <w:color w:val="auto"/>
        </w:rPr>
        <w:t xml:space="preserve"> of the following characteristics, and “specially designed” “parts” and “components” therefor:</w:t>
      </w:r>
    </w:p>
    <w:p>
      <w:pPr>
        <w:spacing w:after="0" w:line="266" w:lineRule="exact"/>
        <w:rPr>
          <w:sz w:val="20"/>
          <w:szCs w:val="20"/>
          <w:color w:val="auto"/>
        </w:rPr>
      </w:pPr>
    </w:p>
    <w:p>
      <w:pPr>
        <w:jc w:val="both"/>
        <w:ind w:right="180" w:firstLine="360"/>
        <w:spacing w:after="0" w:line="234" w:lineRule="auto"/>
        <w:rPr>
          <w:sz w:val="20"/>
          <w:szCs w:val="20"/>
          <w:color w:val="auto"/>
        </w:rPr>
      </w:pPr>
      <w:r>
        <w:rPr>
          <w:rFonts w:ascii="Times New Roman" w:cs="Times New Roman" w:eastAsia="Times New Roman" w:hAnsi="Times New Roman"/>
          <w:sz w:val="22"/>
          <w:szCs w:val="22"/>
          <w:color w:val="auto"/>
        </w:rPr>
        <w:t>a.1. ‘Scale factor’ “repeatability” less (better) than 1250 ppm; and</w:t>
      </w:r>
    </w:p>
    <w:p>
      <w:pPr>
        <w:spacing w:after="0" w:line="265" w:lineRule="exact"/>
        <w:rPr>
          <w:sz w:val="20"/>
          <w:szCs w:val="20"/>
          <w:color w:val="auto"/>
        </w:rPr>
      </w:pPr>
    </w:p>
    <w:p>
      <w:pPr>
        <w:jc w:val="both"/>
        <w:ind w:right="180" w:firstLine="360"/>
        <w:spacing w:after="0" w:line="234" w:lineRule="auto"/>
        <w:rPr>
          <w:sz w:val="20"/>
          <w:szCs w:val="20"/>
          <w:color w:val="auto"/>
        </w:rPr>
      </w:pPr>
      <w:r>
        <w:rPr>
          <w:rFonts w:ascii="Times New Roman" w:cs="Times New Roman" w:eastAsia="Times New Roman" w:hAnsi="Times New Roman"/>
          <w:sz w:val="22"/>
          <w:szCs w:val="22"/>
          <w:color w:val="auto"/>
        </w:rPr>
        <w:t>a.2. ‘Bias’ “repeatability” less (better) than 1250 micro g.</w:t>
      </w:r>
    </w:p>
    <w:p>
      <w:pPr>
        <w:spacing w:after="0" w:line="268" w:lineRule="exact"/>
        <w:rPr>
          <w:sz w:val="20"/>
          <w:szCs w:val="20"/>
          <w:color w:val="auto"/>
        </w:rPr>
      </w:pPr>
    </w:p>
    <w:p>
      <w:pPr>
        <w:jc w:val="both"/>
        <w:ind w:right="180" w:firstLine="331"/>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measurement of ‘bias’ and ‘scale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factor’ refers to one sigma standard deviation with respect to a fixed calibration over a period of one year.</w:t>
      </w:r>
    </w:p>
    <w:p>
      <w:pPr>
        <w:spacing w:after="0" w:line="200" w:lineRule="exact"/>
        <w:rPr>
          <w:sz w:val="20"/>
          <w:szCs w:val="20"/>
          <w:color w:val="auto"/>
        </w:rPr>
      </w:pPr>
    </w:p>
    <w:p>
      <w:pPr>
        <w:spacing w:after="0" w:line="322" w:lineRule="exact"/>
        <w:rPr>
          <w:sz w:val="20"/>
          <w:szCs w:val="20"/>
          <w:color w:val="auto"/>
        </w:rPr>
      </w:pPr>
    </w:p>
    <w:p>
      <w:pPr>
        <w:jc w:val="both"/>
        <w:ind w:right="180"/>
        <w:spacing w:after="0" w:line="237" w:lineRule="auto"/>
        <w:tabs>
          <w:tab w:leader="none" w:pos="369"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Accelerometers of any type, designed for use in inertial navigation systems or in guidance systems of all types, specified to function at acceleration levels greater than 100 g.</w:t>
      </w:r>
    </w:p>
    <w:p>
      <w:pPr>
        <w:spacing w:after="0" w:line="269" w:lineRule="exact"/>
        <w:rPr>
          <w:sz w:val="20"/>
          <w:szCs w:val="20"/>
          <w:color w:val="auto"/>
        </w:rPr>
      </w:pPr>
    </w:p>
    <w:p>
      <w:pPr>
        <w:jc w:val="both"/>
        <w:ind w:right="18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 to paragraph (b)</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This paragraph (b)</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does not include accelerometers that are designed to measure vibration or shock.</w:t>
      </w:r>
    </w:p>
    <w:p>
      <w:pPr>
        <w:spacing w:after="0" w:line="200" w:lineRule="exact"/>
        <w:rPr>
          <w:sz w:val="20"/>
          <w:szCs w:val="20"/>
          <w:color w:val="auto"/>
        </w:rPr>
      </w:pPr>
    </w:p>
    <w:p>
      <w:pPr>
        <w:spacing w:after="0" w:line="3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7A102 Gyros, other than those controlled by</w:t>
      </w:r>
    </w:p>
    <w:p>
      <w:pPr>
        <w:spacing w:after="0"/>
        <w:rPr>
          <w:sz w:val="20"/>
          <w:szCs w:val="20"/>
          <w:color w:val="auto"/>
        </w:rPr>
      </w:pPr>
      <w:r>
        <w:rPr>
          <w:rFonts w:ascii="Times New Roman" w:cs="Times New Roman" w:eastAsia="Times New Roman" w:hAnsi="Times New Roman"/>
          <w:sz w:val="22"/>
          <w:szCs w:val="22"/>
          <w:b w:val="1"/>
          <w:bCs w:val="1"/>
          <w:color w:val="auto"/>
        </w:rPr>
        <w:t>7A002  (see List  of  Items Controlled),  and</w:t>
      </w:r>
    </w:p>
    <w:p>
      <w:pPr>
        <w:spacing w:after="0" w:line="12" w:lineRule="exact"/>
        <w:rPr>
          <w:sz w:val="20"/>
          <w:szCs w:val="20"/>
          <w:color w:val="auto"/>
        </w:rPr>
      </w:pPr>
    </w:p>
    <w:p>
      <w:pPr>
        <w:jc w:val="both"/>
        <w:ind w:right="180"/>
        <w:spacing w:after="0" w:line="234" w:lineRule="auto"/>
        <w:rPr>
          <w:sz w:val="20"/>
          <w:szCs w:val="20"/>
          <w:color w:val="auto"/>
        </w:rPr>
      </w:pPr>
      <w:r>
        <w:rPr>
          <w:rFonts w:ascii="Times New Roman" w:cs="Times New Roman" w:eastAsia="Times New Roman" w:hAnsi="Times New Roman"/>
          <w:sz w:val="22"/>
          <w:szCs w:val="22"/>
          <w:b w:val="1"/>
          <w:bCs w:val="1"/>
          <w:color w:val="auto"/>
        </w:rPr>
        <w:t>“specially designed” “parts” and “components” therefor.</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8" w:lineRule="exact"/>
        <w:rPr>
          <w:sz w:val="20"/>
          <w:szCs w:val="20"/>
          <w:color w:val="auto"/>
        </w:rPr>
      </w:pPr>
    </w:p>
    <w:p>
      <w:pPr>
        <w:jc w:val="center"/>
        <w:ind w:right="840"/>
        <w:spacing w:after="0"/>
        <w:tabs>
          <w:tab w:leader="none" w:pos="1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AT</w:t>
      </w:r>
    </w:p>
    <w:p>
      <w:pPr>
        <w:spacing w:after="0" w:line="237"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7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72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7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lef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560" w:hanging="179"/>
        <w:spacing w:after="0" w:line="237"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USML Category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XII(e) for gyros or angular rate sensors subject to the ITAR. (2) See also ECCNs </w:t>
      </w:r>
      <w:r>
        <w:rPr>
          <w:rFonts w:ascii="Times New Roman" w:cs="Times New Roman" w:eastAsia="Times New Roman" w:hAnsi="Times New Roman"/>
          <w:sz w:val="22"/>
          <w:szCs w:val="22"/>
          <w:u w:val="single" w:color="auto"/>
          <w:color w:val="0000FF"/>
        </w:rPr>
        <w:t>7A002</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7A611</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7A994</w:t>
      </w:r>
      <w:r>
        <w:rPr>
          <w:rFonts w:ascii="Times New Roman" w:cs="Times New Roman" w:eastAsia="Times New Roman" w:hAnsi="Times New Roman"/>
          <w:sz w:val="22"/>
          <w:szCs w:val="22"/>
          <w:i w:val="1"/>
          <w:iCs w:val="1"/>
          <w:color w:val="000000"/>
        </w:rPr>
        <w:t>.</w:t>
      </w:r>
    </w:p>
    <w:p>
      <w:pPr>
        <w:spacing w:after="0" w:line="14" w:lineRule="exact"/>
        <w:rPr>
          <w:sz w:val="20"/>
          <w:szCs w:val="20"/>
          <w:color w:val="auto"/>
        </w:rPr>
      </w:pPr>
    </w:p>
    <w:p>
      <w:pPr>
        <w:jc w:val="both"/>
        <w:ind w:left="560" w:hanging="179"/>
        <w:spacing w:after="0"/>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Definitions</w:t>
      </w:r>
      <w:r>
        <w:rPr>
          <w:rFonts w:ascii="Times New Roman" w:cs="Times New Roman" w:eastAsia="Times New Roman" w:hAnsi="Times New Roman"/>
          <w:sz w:val="22"/>
          <w:szCs w:val="22"/>
          <w:color w:val="auto"/>
        </w:rPr>
        <w:t>: 1.) Drift rate 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defined as the time rate of output deviation from the desired output. It consists of random and systematic components and is expressed as an equivalent angular displacement per unit time with respect to inertial space. 2.) Stability is defined as standard deviation (1 sigma) of the variation of a particular parameter from its calibrated value measured under stable temperature conditions. This can be expressed as a function of time.</w:t>
      </w:r>
    </w:p>
    <w:p>
      <w:pPr>
        <w:spacing w:after="0" w:line="240"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left="20" w:hanging="9"/>
        <w:spacing w:after="0" w:line="238" w:lineRule="auto"/>
        <w:tabs>
          <w:tab w:leader="none" w:pos="380"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All types of gyros, usable in rockets, missiles, or unmanned aerial vehicles capable of achieving a “range” equal to or greater than 300 km, with a rated “drift rate” ‘stability’ of less than 0.5 degrees (1 sigma or rms) per hour in a 1 g environment.</w:t>
      </w:r>
    </w:p>
    <w:p>
      <w:pPr>
        <w:spacing w:after="0" w:line="264" w:lineRule="exact"/>
        <w:rPr>
          <w:rFonts w:ascii="Times New Roman" w:cs="Times New Roman" w:eastAsia="Times New Roman" w:hAnsi="Times New Roman"/>
          <w:sz w:val="22"/>
          <w:szCs w:val="22"/>
          <w:color w:val="auto"/>
        </w:rPr>
      </w:pPr>
    </w:p>
    <w:p>
      <w:pPr>
        <w:jc w:val="both"/>
        <w:ind w:left="20" w:hanging="9"/>
        <w:spacing w:after="0" w:line="236" w:lineRule="auto"/>
        <w:tabs>
          <w:tab w:leader="none" w:pos="427"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Gyros of any type, designed for use in inertial navigation systems or in guidance systems of all types, specified to function at</w:t>
      </w:r>
    </w:p>
    <w:p>
      <w:pPr>
        <w:spacing w:after="0" w:line="200" w:lineRule="exact"/>
        <w:rPr>
          <w:sz w:val="20"/>
          <w:szCs w:val="20"/>
          <w:color w:val="auto"/>
        </w:rPr>
      </w:pPr>
    </w:p>
    <w:p>
      <w:pPr>
        <w:sectPr>
          <w:pgSz w:w="12240" w:h="15840" w:orient="portrait"/>
          <w:cols w:equalWidth="0" w:num="2">
            <w:col w:w="4400" w:space="720"/>
            <w:col w:w="4240"/>
          </w:cols>
          <w:pgMar w:left="1440" w:top="1437" w:right="1440" w:bottom="876" w:gutter="0" w:footer="0" w:header="0"/>
          <w:type w:val="continuous"/>
        </w:sectPr>
      </w:pPr>
    </w:p>
    <w:p>
      <w:pPr>
        <w:spacing w:after="0" w:line="14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7" w:name="page8"/>
    <w:bookmarkEnd w:id="7"/>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8</w:t>
      </w:r>
    </w:p>
    <w:p>
      <w:pPr>
        <w:sectPr>
          <w:pgSz w:w="12240" w:h="15840" w:orient="portrait"/>
          <w:cols w:equalWidth="0" w:num="1">
            <w:col w:w="9360"/>
          </w:cols>
          <w:pgMar w:left="1440" w:top="1437" w:right="1440" w:bottom="876" w:gutter="0" w:footer="0" w:header="0"/>
        </w:sectPr>
      </w:pPr>
    </w:p>
    <w:p>
      <w:pPr>
        <w:spacing w:after="0" w:line="27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acceleration levels greater than 100 g.</w:t>
      </w:r>
    </w:p>
    <w:p>
      <w:pPr>
        <w:spacing w:after="0" w:line="268" w:lineRule="exact"/>
        <w:rPr>
          <w:sz w:val="20"/>
          <w:szCs w:val="20"/>
          <w:color w:val="auto"/>
        </w:rPr>
      </w:pPr>
    </w:p>
    <w:p>
      <w:pPr>
        <w:jc w:val="both"/>
        <w:ind w:right="171"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In this entry, the term</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‘stability’ is defined as a measure of the ability of a specific mechanism or performance coefficient to remain invariant when continuously exposed to a fixed operating condition. (This definition does not refer to dynamic or servo stability.) (IEEE STD 528-2001 paragraph 2.247)</w:t>
      </w:r>
    </w:p>
    <w:p>
      <w:pPr>
        <w:spacing w:after="0" w:line="200" w:lineRule="exact"/>
        <w:rPr>
          <w:sz w:val="20"/>
          <w:szCs w:val="20"/>
          <w:color w:val="auto"/>
        </w:rPr>
      </w:pPr>
    </w:p>
    <w:p>
      <w:pPr>
        <w:spacing w:after="0" w:line="323" w:lineRule="exact"/>
        <w:rPr>
          <w:sz w:val="20"/>
          <w:szCs w:val="20"/>
          <w:color w:val="auto"/>
        </w:rPr>
      </w:pPr>
    </w:p>
    <w:p>
      <w:pPr>
        <w:jc w:val="both"/>
        <w:ind w:right="191"/>
        <w:spacing w:after="0" w:line="238" w:lineRule="auto"/>
        <w:rPr>
          <w:sz w:val="20"/>
          <w:szCs w:val="20"/>
          <w:color w:val="auto"/>
        </w:rPr>
      </w:pPr>
      <w:r>
        <w:rPr>
          <w:rFonts w:ascii="Times New Roman" w:cs="Times New Roman" w:eastAsia="Times New Roman" w:hAnsi="Times New Roman"/>
          <w:sz w:val="22"/>
          <w:szCs w:val="22"/>
          <w:b w:val="1"/>
          <w:bCs w:val="1"/>
          <w:color w:val="auto"/>
        </w:rPr>
        <w:t>7A103 Instrumentation, navigation equipment and systems, other than those controlled by 7A003, and “specially designed” “parts” and “components” therefor,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7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4"/>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7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7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191"/>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tabs>
          <w:tab w:leader="none" w:pos="2160" w:val="left"/>
        </w:tabs>
        <w:rPr>
          <w:sz w:val="20"/>
          <w:szCs w:val="20"/>
          <w:color w:val="auto"/>
        </w:rPr>
      </w:pPr>
      <w:r>
        <w:rPr>
          <w:rFonts w:ascii="Times New Roman" w:cs="Times New Roman" w:eastAsia="Times New Roman" w:hAnsi="Times New Roman"/>
          <w:sz w:val="22"/>
          <w:szCs w:val="22"/>
          <w:i w:val="1"/>
          <w:iCs w:val="1"/>
          <w:color w:val="auto"/>
        </w:rPr>
        <w:t>Related Controls:</w:t>
      </w:r>
      <w:r>
        <w:rPr>
          <w:sz w:val="20"/>
          <w:szCs w:val="20"/>
          <w:color w:val="auto"/>
        </w:rPr>
        <w:tab/>
      </w:r>
      <w:r>
        <w:rPr>
          <w:rFonts w:ascii="Times New Roman" w:cs="Times New Roman" w:eastAsia="Times New Roman" w:hAnsi="Times New Roman"/>
          <w:sz w:val="22"/>
          <w:szCs w:val="22"/>
          <w:color w:val="auto"/>
        </w:rPr>
        <w:t>(1) See ECCN 7A003</w:t>
      </w:r>
    </w:p>
    <w:p>
      <w:pPr>
        <w:spacing w:after="0" w:line="12" w:lineRule="exact"/>
        <w:rPr>
          <w:sz w:val="20"/>
          <w:szCs w:val="20"/>
          <w:color w:val="auto"/>
        </w:rPr>
      </w:pPr>
    </w:p>
    <w:p>
      <w:pPr>
        <w:jc w:val="both"/>
        <w:ind w:left="540" w:right="191"/>
        <w:spacing w:after="0" w:line="236" w:lineRule="auto"/>
        <w:rPr>
          <w:sz w:val="20"/>
          <w:szCs w:val="20"/>
          <w:color w:val="auto"/>
        </w:rPr>
      </w:pPr>
      <w:r>
        <w:rPr>
          <w:rFonts w:ascii="Times New Roman" w:cs="Times New Roman" w:eastAsia="Times New Roman" w:hAnsi="Times New Roman"/>
          <w:sz w:val="22"/>
          <w:szCs w:val="22"/>
          <w:color w:val="auto"/>
        </w:rPr>
        <w:t>and 7A994. (2) Inertial navigation systems and inertial equipment, and “specially designed” “parts” and</w:t>
      </w:r>
    </w:p>
    <w:p>
      <w:pPr>
        <w:spacing w:after="0" w:line="13" w:lineRule="exact"/>
        <w:rPr>
          <w:sz w:val="20"/>
          <w:szCs w:val="20"/>
          <w:color w:val="auto"/>
        </w:rPr>
      </w:pPr>
    </w:p>
    <w:p>
      <w:pPr>
        <w:jc w:val="both"/>
        <w:ind w:left="540" w:right="171"/>
        <w:spacing w:after="0" w:line="236" w:lineRule="auto"/>
        <w:rPr>
          <w:sz w:val="20"/>
          <w:szCs w:val="20"/>
          <w:color w:val="auto"/>
        </w:rPr>
      </w:pPr>
      <w:r>
        <w:rPr>
          <w:rFonts w:ascii="Times New Roman" w:cs="Times New Roman" w:eastAsia="Times New Roman" w:hAnsi="Times New Roman"/>
          <w:sz w:val="22"/>
          <w:szCs w:val="22"/>
          <w:color w:val="auto"/>
        </w:rPr>
        <w:t>“components” therefor specifically designed, modified or configured for military use are “subject to the ITAR” (see 22 CFR parts 120 through 130).</w:t>
      </w:r>
    </w:p>
    <w:p>
      <w:pPr>
        <w:spacing w:after="0" w:line="4"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‘Inertial measurement</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549"/>
        <w:spacing w:after="0" w:line="238" w:lineRule="auto"/>
        <w:rPr>
          <w:sz w:val="20"/>
          <w:szCs w:val="20"/>
          <w:color w:val="auto"/>
        </w:rPr>
      </w:pPr>
      <w:r>
        <w:rPr>
          <w:rFonts w:ascii="Times New Roman" w:cs="Times New Roman" w:eastAsia="Times New Roman" w:hAnsi="Times New Roman"/>
          <w:sz w:val="22"/>
          <w:szCs w:val="22"/>
          <w:color w:val="auto"/>
        </w:rPr>
        <w:t>equipment or systems’ specified in 7A103.a. incorporate accelerometers or gyros to measure changes in velocity and orientation in order to determine or maintain heading or position without requiring an external reference once aligned.</w:t>
      </w:r>
    </w:p>
    <w:p>
      <w:pPr>
        <w:spacing w:after="0" w:line="3" w:lineRule="exact"/>
        <w:rPr>
          <w:sz w:val="20"/>
          <w:szCs w:val="20"/>
          <w:color w:val="auto"/>
        </w:rPr>
      </w:pPr>
    </w:p>
    <w:p>
      <w:pPr>
        <w:ind w:left="369"/>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left="9" w:hanging="9"/>
        <w:spacing w:after="0" w:line="237" w:lineRule="auto"/>
        <w:tabs>
          <w:tab w:leader="none" w:pos="596"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‘Inertial measurement equipment or systems’ using accelerometers or gyros controlled by 7A001, 7A002, 7A101 or 7A102, and “specially designed” “parts” and “components” therefor;</w:t>
      </w:r>
    </w:p>
    <w:p>
      <w:pPr>
        <w:spacing w:after="0" w:line="258" w:lineRule="exact"/>
        <w:rPr>
          <w:sz w:val="20"/>
          <w:szCs w:val="20"/>
          <w:color w:val="auto"/>
        </w:rPr>
      </w:pPr>
    </w:p>
    <w:p>
      <w:pPr>
        <w:ind w:left="369"/>
        <w:spacing w:after="0"/>
        <w:tabs>
          <w:tab w:leader="none" w:pos="1009" w:val="left"/>
          <w:tab w:leader="none" w:pos="1429" w:val="left"/>
          <w:tab w:leader="none" w:pos="2409" w:val="left"/>
          <w:tab w:leader="none" w:pos="3049" w:val="left"/>
          <w:tab w:leader="none" w:pos="3569" w:val="left"/>
        </w:tabs>
        <w:rPr>
          <w:sz w:val="20"/>
          <w:szCs w:val="20"/>
          <w:color w:val="auto"/>
        </w:rPr>
      </w:pPr>
      <w:r>
        <w:rPr>
          <w:rFonts w:ascii="Times New Roman" w:cs="Times New Roman" w:eastAsia="Times New Roman" w:hAnsi="Times New Roman"/>
          <w:sz w:val="22"/>
          <w:szCs w:val="22"/>
          <w:b w:val="1"/>
          <w:bCs w:val="1"/>
          <w:i w:val="1"/>
          <w:iCs w:val="1"/>
          <w:color w:val="auto"/>
        </w:rPr>
        <w:t>Note</w:t>
        <w:tab/>
        <w:t>1:</w:t>
      </w:r>
      <w:r>
        <w:rPr>
          <w:sz w:val="20"/>
          <w:szCs w:val="20"/>
          <w:color w:val="auto"/>
        </w:rPr>
        <w:tab/>
      </w:r>
      <w:r>
        <w:rPr>
          <w:rFonts w:ascii="Times New Roman" w:cs="Times New Roman" w:eastAsia="Times New Roman" w:hAnsi="Times New Roman"/>
          <w:sz w:val="22"/>
          <w:szCs w:val="22"/>
          <w:i w:val="1"/>
          <w:iCs w:val="1"/>
          <w:color w:val="auto"/>
        </w:rPr>
        <w:t>7A103.a</w:t>
        <w:tab/>
        <w:t>does</w:t>
        <w:tab/>
        <w:t>not</w:t>
        <w:tab/>
        <w:t>control</w:t>
      </w:r>
    </w:p>
    <w:p>
      <w:pPr>
        <w:spacing w:after="0" w:line="12" w:lineRule="exact"/>
        <w:rPr>
          <w:sz w:val="20"/>
          <w:szCs w:val="20"/>
          <w:color w:val="auto"/>
        </w:rPr>
      </w:pPr>
    </w:p>
    <w:p>
      <w:pPr>
        <w:jc w:val="both"/>
        <w:ind w:left="9"/>
        <w:spacing w:after="0" w:line="237" w:lineRule="auto"/>
        <w:rPr>
          <w:sz w:val="20"/>
          <w:szCs w:val="20"/>
          <w:color w:val="auto"/>
        </w:rPr>
      </w:pPr>
      <w:r>
        <w:rPr>
          <w:rFonts w:ascii="Times New Roman" w:cs="Times New Roman" w:eastAsia="Times New Roman" w:hAnsi="Times New Roman"/>
          <w:sz w:val="22"/>
          <w:szCs w:val="22"/>
          <w:i w:val="1"/>
          <w:iCs w:val="1"/>
          <w:color w:val="auto"/>
        </w:rPr>
        <w:t>equipment containing accelerometers “specially designed” and developed as MWD (Measurement While Drilling) sensors for use in down-hole well services operations.</w:t>
      </w:r>
    </w:p>
    <w:p>
      <w:pPr>
        <w:spacing w:after="0" w:line="266" w:lineRule="exact"/>
        <w:rPr>
          <w:sz w:val="20"/>
          <w:szCs w:val="20"/>
          <w:color w:val="auto"/>
        </w:rPr>
      </w:pPr>
    </w:p>
    <w:p>
      <w:pPr>
        <w:jc w:val="both"/>
        <w:ind w:left="9"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7A103.a does not control inertial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or other equipment using accelerometers or gyros controlled by 7A001 or 7A002 that are only NS controlled.</w:t>
      </w:r>
    </w:p>
    <w:p>
      <w:pPr>
        <w:spacing w:after="0" w:line="265" w:lineRule="exact"/>
        <w:rPr>
          <w:sz w:val="20"/>
          <w:szCs w:val="20"/>
          <w:color w:val="auto"/>
        </w:rPr>
      </w:pPr>
    </w:p>
    <w:p>
      <w:pPr>
        <w:jc w:val="both"/>
        <w:ind w:left="9"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Note 3</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7A103.a. includes Attitude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Heading Reference Systems (AHRSs), gyrocompasses, Inertial Measurement Units (IMUs), Inertial Navigations Systems (INSs), Inertial Reference Systems (IRSs), and Inertial Reference Units (IRUs).</w:t>
      </w:r>
    </w:p>
    <w:p>
      <w:pPr>
        <w:spacing w:after="0" w:line="266" w:lineRule="exact"/>
        <w:rPr>
          <w:sz w:val="20"/>
          <w:szCs w:val="20"/>
          <w:color w:val="auto"/>
        </w:rPr>
      </w:pPr>
    </w:p>
    <w:p>
      <w:pPr>
        <w:jc w:val="both"/>
        <w:ind w:left="9" w:hanging="9"/>
        <w:spacing w:after="0" w:line="238" w:lineRule="auto"/>
        <w:tabs>
          <w:tab w:leader="none" w:pos="33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Integrated flight instrument systems, which include gyrostabilizers or automatic pilots, designed or modified for use in rockets, missiles, or unmanned aerial vehicles capable of achieving a “range” equal to or greater than 300 km, and “specially designed” “parts” and “components” therefor.</w:t>
      </w:r>
    </w:p>
    <w:p>
      <w:pPr>
        <w:spacing w:after="0" w:line="268" w:lineRule="exact"/>
        <w:rPr>
          <w:rFonts w:ascii="Times New Roman" w:cs="Times New Roman" w:eastAsia="Times New Roman" w:hAnsi="Times New Roman"/>
          <w:sz w:val="22"/>
          <w:szCs w:val="22"/>
          <w:color w:val="auto"/>
        </w:rPr>
      </w:pPr>
    </w:p>
    <w:p>
      <w:pPr>
        <w:jc w:val="both"/>
        <w:ind w:left="9" w:hanging="9"/>
        <w:spacing w:after="0" w:line="235" w:lineRule="auto"/>
        <w:tabs>
          <w:tab w:leader="none" w:pos="312"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Integrated Navigation Systems, designed or modified for use in rockets, missiles, or unmanned aerial vehicles capable of achieving</w:t>
      </w:r>
    </w:p>
    <w:p>
      <w:pPr>
        <w:spacing w:after="0" w:line="15" w:lineRule="exact"/>
        <w:rPr>
          <w:rFonts w:ascii="Times New Roman" w:cs="Times New Roman" w:eastAsia="Times New Roman" w:hAnsi="Times New Roman"/>
          <w:sz w:val="22"/>
          <w:szCs w:val="22"/>
          <w:color w:val="auto"/>
        </w:rPr>
      </w:pPr>
    </w:p>
    <w:p>
      <w:pPr>
        <w:jc w:val="both"/>
        <w:ind w:left="9" w:hanging="9"/>
        <w:spacing w:after="0" w:line="236" w:lineRule="auto"/>
        <w:tabs>
          <w:tab w:leader="none" w:pos="184" w:val="left"/>
        </w:tabs>
        <w:numPr>
          <w:ilvl w:val="0"/>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“range” equal to or greater than 300 km and capable of providing a navigational accuracy of 200m Circular Error Probable (CEP) or less.</w:t>
      </w:r>
    </w:p>
    <w:p>
      <w:pPr>
        <w:spacing w:after="0" w:line="240" w:lineRule="exact"/>
        <w:rPr>
          <w:sz w:val="20"/>
          <w:szCs w:val="20"/>
          <w:color w:val="auto"/>
        </w:rPr>
      </w:pPr>
    </w:p>
    <w:p>
      <w:pPr>
        <w:sectPr>
          <w:pgSz w:w="12240" w:h="15840" w:orient="portrait"/>
          <w:cols w:equalWidth="0" w:num="2">
            <w:col w:w="4411" w:space="720"/>
            <w:col w:w="4229"/>
          </w:cols>
          <w:pgMar w:left="1440" w:top="1437" w:right="1440" w:bottom="876" w:gutter="0" w:footer="0" w:header="0"/>
          <w:type w:val="continuous"/>
        </w:sectPr>
      </w:pPr>
    </w:p>
    <w:p>
      <w:pPr>
        <w:spacing w:after="0" w:line="14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8" w:name="page9"/>
    <w:bookmarkEnd w:id="8"/>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9</w:t>
      </w:r>
    </w:p>
    <w:p>
      <w:pPr>
        <w:sectPr>
          <w:pgSz w:w="12240" w:h="15840" w:orient="portrait"/>
          <w:cols w:equalWidth="0" w:num="1">
            <w:col w:w="9480"/>
          </w:cols>
          <w:pgMar w:left="1440" w:top="1437" w:right="1320" w:bottom="876" w:gutter="0" w:footer="0" w:header="0"/>
        </w:sectPr>
      </w:pPr>
    </w:p>
    <w:p>
      <w:pPr>
        <w:spacing w:after="0" w:line="200" w:lineRule="exact"/>
        <w:rPr>
          <w:sz w:val="20"/>
          <w:szCs w:val="20"/>
          <w:color w:val="auto"/>
        </w:rPr>
      </w:pPr>
    </w:p>
    <w:p>
      <w:pPr>
        <w:spacing w:after="0" w:line="342" w:lineRule="exact"/>
        <w:rPr>
          <w:sz w:val="20"/>
          <w:szCs w:val="20"/>
          <w:color w:val="auto"/>
        </w:rPr>
      </w:pPr>
    </w:p>
    <w:p>
      <w:pPr>
        <w:jc w:val="both"/>
        <w:ind w:right="18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An ‘integrated navigation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system’ typically incorporates the following “parts” and “components”:</w:t>
      </w:r>
    </w:p>
    <w:p>
      <w:pPr>
        <w:spacing w:after="0" w:line="266" w:lineRule="exact"/>
        <w:rPr>
          <w:sz w:val="20"/>
          <w:szCs w:val="20"/>
          <w:color w:val="auto"/>
        </w:rPr>
      </w:pPr>
    </w:p>
    <w:p>
      <w:pPr>
        <w:jc w:val="both"/>
        <w:ind w:right="180" w:firstLine="360"/>
        <w:spacing w:after="0" w:line="237" w:lineRule="auto"/>
        <w:tabs>
          <w:tab w:leader="none" w:pos="795"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An inertial measurement device (e.g., an attitude and heading reference system, inertial reference unit, or inertial navigation system);</w:t>
      </w:r>
    </w:p>
    <w:p>
      <w:pPr>
        <w:spacing w:after="0" w:line="265" w:lineRule="exact"/>
        <w:rPr>
          <w:rFonts w:ascii="Times New Roman" w:cs="Times New Roman" w:eastAsia="Times New Roman" w:hAnsi="Times New Roman"/>
          <w:sz w:val="22"/>
          <w:szCs w:val="22"/>
          <w:i w:val="1"/>
          <w:iCs w:val="1"/>
          <w:color w:val="auto"/>
        </w:rPr>
      </w:pPr>
    </w:p>
    <w:p>
      <w:pPr>
        <w:jc w:val="both"/>
        <w:ind w:right="180" w:firstLine="360"/>
        <w:spacing w:after="0" w:line="237" w:lineRule="auto"/>
        <w:tabs>
          <w:tab w:leader="none" w:pos="710"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One or more external sensors used to update the position and/or velocity, either periodically or continuously throughout the flight (e.g., satellite navigation receiver, radar altimeter, and/or Doppler radar); and</w:t>
      </w:r>
    </w:p>
    <w:p>
      <w:pPr>
        <w:spacing w:after="0" w:line="256" w:lineRule="exact"/>
        <w:rPr>
          <w:rFonts w:ascii="Times New Roman" w:cs="Times New Roman" w:eastAsia="Times New Roman" w:hAnsi="Times New Roman"/>
          <w:sz w:val="22"/>
          <w:szCs w:val="22"/>
          <w:i w:val="1"/>
          <w:iCs w:val="1"/>
          <w:color w:val="auto"/>
        </w:rPr>
      </w:pPr>
    </w:p>
    <w:p>
      <w:pPr>
        <w:ind w:left="640" w:hanging="280"/>
        <w:spacing w:after="0"/>
        <w:tabs>
          <w:tab w:leader="none" w:pos="640" w:val="left"/>
        </w:tabs>
        <w:numPr>
          <w:ilvl w:val="0"/>
          <w:numId w:val="1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Integration hardware and software.</w:t>
      </w:r>
    </w:p>
    <w:p>
      <w:pPr>
        <w:spacing w:after="0" w:line="200" w:lineRule="exact"/>
        <w:rPr>
          <w:sz w:val="20"/>
          <w:szCs w:val="20"/>
          <w:color w:val="auto"/>
        </w:rPr>
      </w:pPr>
    </w:p>
    <w:p>
      <w:pPr>
        <w:spacing w:after="0" w:line="319" w:lineRule="exact"/>
        <w:rPr>
          <w:sz w:val="20"/>
          <w:szCs w:val="20"/>
          <w:color w:val="auto"/>
        </w:rPr>
      </w:pPr>
    </w:p>
    <w:p>
      <w:pPr>
        <w:jc w:val="both"/>
        <w:ind w:right="180"/>
        <w:spacing w:after="0" w:line="238" w:lineRule="auto"/>
        <w:rPr>
          <w:sz w:val="20"/>
          <w:szCs w:val="20"/>
          <w:color w:val="auto"/>
        </w:rPr>
      </w:pPr>
      <w:r>
        <w:rPr>
          <w:rFonts w:ascii="Times New Roman" w:cs="Times New Roman" w:eastAsia="Times New Roman" w:hAnsi="Times New Roman"/>
          <w:sz w:val="22"/>
          <w:szCs w:val="22"/>
          <w:b w:val="1"/>
          <w:bCs w:val="1"/>
          <w:color w:val="auto"/>
        </w:rPr>
        <w:t>7A104 Gyro-astro compasses and other devices, other than those controlled by 7A004, which derive position or orientation by means of automatically tracking celestial bodies or satellites and “specially designed” “parts” and “components” therefor.</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(See Supp. No.</w:t>
            </w:r>
          </w:p>
        </w:tc>
      </w:tr>
      <w:tr>
        <w:trPr>
          <w:trHeight w:val="254"/>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1 to part 738)</w:t>
            </w:r>
          </w:p>
        </w:tc>
      </w:tr>
      <w:tr>
        <w:trPr>
          <w:trHeight w:val="242"/>
        </w:trPr>
        <w:tc>
          <w:tcPr>
            <w:tcW w:w="262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620" w:type="dxa"/>
            <w:vAlign w:val="bottom"/>
            <w:tcBorders>
              <w:left w:val="single" w:sz="8" w:color="auto"/>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18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right"/>
        <w:ind w:left="360" w:right="18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USML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Categories IV and XV for certain ‘star</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560" w:right="120"/>
        <w:spacing w:after="0" w:line="238" w:lineRule="auto"/>
        <w:rPr>
          <w:sz w:val="20"/>
          <w:szCs w:val="20"/>
          <w:color w:val="auto"/>
        </w:rPr>
      </w:pPr>
      <w:r>
        <w:rPr>
          <w:rFonts w:ascii="Times New Roman" w:cs="Times New Roman" w:eastAsia="Times New Roman" w:hAnsi="Times New Roman"/>
          <w:sz w:val="22"/>
          <w:szCs w:val="22"/>
          <w:color w:val="auto"/>
        </w:rPr>
        <w:t>trackers’ that are “subject to the ITAR” (see 22 CFR parts 120 through 130). (2) This entry controls “specially designed” “parts” and “components” for gyro-astro compasses and other devices controlled by 7A004.</w:t>
      </w:r>
    </w:p>
    <w:p>
      <w:pPr>
        <w:spacing w:after="0" w:line="1"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left="20" w:right="120"/>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ind w:left="20" w:right="120"/>
        <w:spacing w:after="0" w:line="237" w:lineRule="auto"/>
        <w:rPr>
          <w:sz w:val="20"/>
          <w:szCs w:val="20"/>
          <w:color w:val="auto"/>
        </w:rPr>
      </w:pPr>
      <w:r>
        <w:rPr>
          <w:rFonts w:ascii="Times New Roman" w:cs="Times New Roman" w:eastAsia="Times New Roman" w:hAnsi="Times New Roman"/>
          <w:sz w:val="22"/>
          <w:szCs w:val="22"/>
          <w:b w:val="1"/>
          <w:bCs w:val="1"/>
          <w:color w:val="auto"/>
        </w:rPr>
        <w:t>7A105 Receiving equipment for ‘navigation satellite systems’, having any of the following characteristics (see List of Items Controlled), and “specially designed” “parts” and “components” therefor.</w:t>
      </w:r>
    </w:p>
    <w:p>
      <w:pPr>
        <w:spacing w:after="0" w:line="256"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1500" w:type="dxa"/>
            <w:vAlign w:val="bottom"/>
            <w:tcBorders>
              <w:top w:val="single" w:sz="8" w:color="auto"/>
              <w:left w:val="single" w:sz="8" w:color="auto"/>
            </w:tcBorders>
            <w:gridSpan w:val="2"/>
            <w:vMerge w:val="restart"/>
          </w:tcPr>
          <w:p>
            <w:pPr>
              <w:ind w:left="1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40" w:type="dxa"/>
            <w:vAlign w:val="bottom"/>
            <w:tcBorders>
              <w:top w:val="single" w:sz="8" w:color="auto"/>
              <w:right w:val="single" w:sz="8" w:color="auto"/>
            </w:tcBorders>
          </w:tcPr>
          <w:p>
            <w:pPr>
              <w:spacing w:after="0"/>
              <w:rPr>
                <w:sz w:val="22"/>
                <w:szCs w:val="22"/>
                <w:color w:val="auto"/>
              </w:rPr>
            </w:pPr>
          </w:p>
        </w:tc>
        <w:tc>
          <w:tcPr>
            <w:tcW w:w="2420" w:type="dxa"/>
            <w:vAlign w:val="bottom"/>
            <w:tcBorders>
              <w:top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i w:val="1"/>
                <w:iCs w:val="1"/>
                <w:color w:val="auto"/>
              </w:rPr>
              <w:t>Country    Chart    (See</w:t>
            </w:r>
          </w:p>
        </w:tc>
        <w:tc>
          <w:tcPr>
            <w:tcW w:w="0" w:type="dxa"/>
            <w:vAlign w:val="bottom"/>
          </w:tcPr>
          <w:p>
            <w:pPr>
              <w:spacing w:after="0"/>
              <w:rPr>
                <w:sz w:val="1"/>
                <w:szCs w:val="1"/>
                <w:color w:val="auto"/>
              </w:rPr>
            </w:pPr>
          </w:p>
        </w:tc>
      </w:tr>
      <w:tr>
        <w:trPr>
          <w:trHeight w:val="127"/>
        </w:trPr>
        <w:tc>
          <w:tcPr>
            <w:tcW w:w="1500" w:type="dxa"/>
            <w:vAlign w:val="bottom"/>
            <w:tcBorders>
              <w:left w:val="single" w:sz="8" w:color="auto"/>
            </w:tcBorders>
            <w:gridSpan w:val="2"/>
            <w:vMerge w:val="continue"/>
          </w:tcPr>
          <w:p>
            <w:pPr>
              <w:spacing w:after="0"/>
              <w:rPr>
                <w:sz w:val="11"/>
                <w:szCs w:val="11"/>
                <w:color w:val="auto"/>
              </w:rPr>
            </w:pPr>
          </w:p>
        </w:tc>
        <w:tc>
          <w:tcPr>
            <w:tcW w:w="440" w:type="dxa"/>
            <w:vAlign w:val="bottom"/>
            <w:tcBorders>
              <w:right w:val="single" w:sz="8" w:color="auto"/>
            </w:tcBorders>
          </w:tcPr>
          <w:p>
            <w:pPr>
              <w:spacing w:after="0"/>
              <w:rPr>
                <w:sz w:val="11"/>
                <w:szCs w:val="11"/>
                <w:color w:val="auto"/>
              </w:rPr>
            </w:pPr>
          </w:p>
        </w:tc>
        <w:tc>
          <w:tcPr>
            <w:tcW w:w="2420" w:type="dxa"/>
            <w:vAlign w:val="bottom"/>
            <w:tcBorders>
              <w:right w:val="single" w:sz="8" w:color="auto"/>
            </w:tcBorders>
            <w:vMerge w:val="restart"/>
          </w:tcPr>
          <w:p>
            <w:pPr>
              <w:ind w:left="80"/>
              <w:spacing w:after="0"/>
              <w:rPr>
                <w:sz w:val="20"/>
                <w:szCs w:val="20"/>
                <w:color w:val="auto"/>
              </w:rPr>
            </w:pPr>
            <w:r>
              <w:rPr>
                <w:rFonts w:ascii="Times New Roman" w:cs="Times New Roman" w:eastAsia="Times New Roman" w:hAnsi="Times New Roman"/>
                <w:sz w:val="22"/>
                <w:szCs w:val="22"/>
                <w:i w:val="1"/>
                <w:iCs w:val="1"/>
                <w:color w:val="auto"/>
              </w:rPr>
              <w:t>Supp. No. 1 to part 738)</w:t>
            </w:r>
          </w:p>
        </w:tc>
        <w:tc>
          <w:tcPr>
            <w:tcW w:w="0" w:type="dxa"/>
            <w:vAlign w:val="bottom"/>
          </w:tcPr>
          <w:p>
            <w:pPr>
              <w:spacing w:after="0"/>
              <w:rPr>
                <w:sz w:val="1"/>
                <w:szCs w:val="1"/>
                <w:color w:val="auto"/>
              </w:rPr>
            </w:pPr>
          </w:p>
        </w:tc>
      </w:tr>
      <w:tr>
        <w:trPr>
          <w:trHeight w:val="127"/>
        </w:trPr>
        <w:tc>
          <w:tcPr>
            <w:tcW w:w="580" w:type="dxa"/>
            <w:vAlign w:val="bottom"/>
            <w:tcBorders>
              <w:left w:val="single" w:sz="8" w:color="auto"/>
              <w:bottom w:val="single" w:sz="8" w:color="auto"/>
            </w:tcBorders>
          </w:tcPr>
          <w:p>
            <w:pPr>
              <w:spacing w:after="0"/>
              <w:rPr>
                <w:sz w:val="11"/>
                <w:szCs w:val="11"/>
                <w:color w:val="auto"/>
              </w:rPr>
            </w:pPr>
          </w:p>
        </w:tc>
        <w:tc>
          <w:tcPr>
            <w:tcW w:w="920" w:type="dxa"/>
            <w:vAlign w:val="bottom"/>
            <w:tcBorders>
              <w:bottom w:val="single" w:sz="8" w:color="auto"/>
            </w:tcBorders>
          </w:tcPr>
          <w:p>
            <w:pPr>
              <w:spacing w:after="0"/>
              <w:rPr>
                <w:sz w:val="11"/>
                <w:szCs w:val="11"/>
                <w:color w:val="auto"/>
              </w:rPr>
            </w:pPr>
          </w:p>
        </w:tc>
        <w:tc>
          <w:tcPr>
            <w:tcW w:w="440" w:type="dxa"/>
            <w:vAlign w:val="bottom"/>
            <w:tcBorders>
              <w:bottom w:val="single" w:sz="8" w:color="auto"/>
              <w:right w:val="single" w:sz="8" w:color="auto"/>
            </w:tcBorders>
          </w:tcPr>
          <w:p>
            <w:pPr>
              <w:spacing w:after="0"/>
              <w:rPr>
                <w:sz w:val="11"/>
                <w:szCs w:val="11"/>
                <w:color w:val="auto"/>
              </w:rPr>
            </w:pPr>
          </w:p>
        </w:tc>
        <w:tc>
          <w:tcPr>
            <w:tcW w:w="2420" w:type="dxa"/>
            <w:vAlign w:val="bottom"/>
            <w:tcBorders>
              <w:bottom w:val="single" w:sz="8" w:color="auto"/>
              <w:right w:val="single" w:sz="8" w:color="auto"/>
            </w:tcBorders>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41"/>
        </w:trPr>
        <w:tc>
          <w:tcPr>
            <w:tcW w:w="58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w:t>
            </w:r>
          </w:p>
        </w:tc>
        <w:tc>
          <w:tcPr>
            <w:tcW w:w="920" w:type="dxa"/>
            <w:vAlign w:val="bottom"/>
          </w:tcPr>
          <w:p>
            <w:pPr>
              <w:ind w:left="160"/>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440" w:type="dxa"/>
            <w:vAlign w:val="bottom"/>
            <w:tcBorders>
              <w:right w:val="single" w:sz="8" w:color="auto"/>
            </w:tcBorders>
          </w:tcPr>
          <w:p>
            <w:pPr>
              <w:ind w:left="140"/>
              <w:spacing w:after="0" w:line="241" w:lineRule="exact"/>
              <w:rPr>
                <w:sz w:val="20"/>
                <w:szCs w:val="20"/>
                <w:color w:val="auto"/>
              </w:rPr>
            </w:pPr>
            <w:r>
              <w:rPr>
                <w:rFonts w:ascii="Times New Roman" w:cs="Times New Roman" w:eastAsia="Times New Roman" w:hAnsi="Times New Roman"/>
                <w:sz w:val="22"/>
                <w:szCs w:val="22"/>
                <w:color w:val="auto"/>
              </w:rPr>
              <w:t>to</w:t>
            </w:r>
          </w:p>
        </w:tc>
        <w:tc>
          <w:tcPr>
            <w:tcW w:w="24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c>
          <w:tcPr>
            <w:tcW w:w="0" w:type="dxa"/>
            <w:vAlign w:val="bottom"/>
          </w:tcPr>
          <w:p>
            <w:pPr>
              <w:spacing w:after="0"/>
              <w:rPr>
                <w:sz w:val="1"/>
                <w:szCs w:val="1"/>
                <w:color w:val="auto"/>
              </w:rPr>
            </w:pPr>
          </w:p>
        </w:tc>
      </w:tr>
      <w:tr>
        <w:trPr>
          <w:trHeight w:val="255"/>
        </w:trPr>
        <w:tc>
          <w:tcPr>
            <w:tcW w:w="150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440" w:type="dxa"/>
            <w:vAlign w:val="bottom"/>
            <w:tcBorders>
              <w:bottom w:val="single" w:sz="8" w:color="auto"/>
              <w:right w:val="single" w:sz="8" w:color="auto"/>
            </w:tcBorders>
          </w:tcPr>
          <w:p>
            <w:pPr>
              <w:spacing w:after="0"/>
              <w:rPr>
                <w:sz w:val="22"/>
                <w:szCs w:val="22"/>
                <w:color w:val="auto"/>
              </w:rPr>
            </w:pPr>
          </w:p>
        </w:tc>
        <w:tc>
          <w:tcPr>
            <w:tcW w:w="242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1"/>
        </w:trPr>
        <w:tc>
          <w:tcPr>
            <w:tcW w:w="580" w:type="dxa"/>
            <w:vAlign w:val="bottom"/>
            <w:tcBorders>
              <w:lef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w:t>
            </w:r>
          </w:p>
        </w:tc>
        <w:tc>
          <w:tcPr>
            <w:tcW w:w="920" w:type="dxa"/>
            <w:vAlign w:val="bottom"/>
          </w:tcPr>
          <w:p>
            <w:pPr>
              <w:ind w:left="140"/>
              <w:spacing w:after="0" w:line="241" w:lineRule="exact"/>
              <w:rPr>
                <w:sz w:val="20"/>
                <w:szCs w:val="20"/>
                <w:color w:val="auto"/>
              </w:rPr>
            </w:pPr>
            <w:r>
              <w:rPr>
                <w:rFonts w:ascii="Times New Roman" w:cs="Times New Roman" w:eastAsia="Times New Roman" w:hAnsi="Times New Roman"/>
                <w:sz w:val="22"/>
                <w:szCs w:val="22"/>
                <w:color w:val="auto"/>
              </w:rPr>
              <w:t>applies</w:t>
            </w:r>
          </w:p>
        </w:tc>
        <w:tc>
          <w:tcPr>
            <w:tcW w:w="440" w:type="dxa"/>
            <w:vAlign w:val="bottom"/>
            <w:tcBorders>
              <w:right w:val="single" w:sz="8" w:color="auto"/>
            </w:tcBorders>
          </w:tcPr>
          <w:p>
            <w:pPr>
              <w:ind w:left="140"/>
              <w:spacing w:after="0" w:line="241" w:lineRule="exact"/>
              <w:rPr>
                <w:sz w:val="20"/>
                <w:szCs w:val="20"/>
                <w:color w:val="auto"/>
              </w:rPr>
            </w:pPr>
            <w:r>
              <w:rPr>
                <w:rFonts w:ascii="Times New Roman" w:cs="Times New Roman" w:eastAsia="Times New Roman" w:hAnsi="Times New Roman"/>
                <w:sz w:val="22"/>
                <w:szCs w:val="22"/>
                <w:color w:val="auto"/>
              </w:rPr>
              <w:t>to</w:t>
            </w:r>
          </w:p>
        </w:tc>
        <w:tc>
          <w:tcPr>
            <w:tcW w:w="242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c>
          <w:tcPr>
            <w:tcW w:w="0" w:type="dxa"/>
            <w:vAlign w:val="bottom"/>
          </w:tcPr>
          <w:p>
            <w:pPr>
              <w:spacing w:after="0"/>
              <w:rPr>
                <w:sz w:val="1"/>
                <w:szCs w:val="1"/>
                <w:color w:val="auto"/>
              </w:rPr>
            </w:pPr>
          </w:p>
        </w:tc>
      </w:tr>
      <w:tr>
        <w:trPr>
          <w:trHeight w:val="255"/>
        </w:trPr>
        <w:tc>
          <w:tcPr>
            <w:tcW w:w="1500" w:type="dxa"/>
            <w:vAlign w:val="bottom"/>
            <w:tcBorders>
              <w:left w:val="single" w:sz="8" w:color="auto"/>
              <w:bottom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entire entry</w:t>
            </w:r>
          </w:p>
        </w:tc>
        <w:tc>
          <w:tcPr>
            <w:tcW w:w="440" w:type="dxa"/>
            <w:vAlign w:val="bottom"/>
            <w:tcBorders>
              <w:bottom w:val="single" w:sz="8" w:color="auto"/>
              <w:right w:val="single" w:sz="8" w:color="auto"/>
            </w:tcBorders>
          </w:tcPr>
          <w:p>
            <w:pPr>
              <w:spacing w:after="0"/>
              <w:rPr>
                <w:sz w:val="22"/>
                <w:szCs w:val="22"/>
                <w:color w:val="auto"/>
              </w:rPr>
            </w:pPr>
          </w:p>
        </w:tc>
        <w:tc>
          <w:tcPr>
            <w:tcW w:w="242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bl>
    <w:p>
      <w:pPr>
        <w:spacing w:after="0" w:line="263" w:lineRule="exact"/>
        <w:rPr>
          <w:sz w:val="20"/>
          <w:szCs w:val="20"/>
          <w:color w:val="auto"/>
        </w:rPr>
      </w:pPr>
    </w:p>
    <w:p>
      <w:pPr>
        <w:jc w:val="both"/>
        <w:ind w:left="20" w:right="1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0"/>
          <w:szCs w:val="20"/>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0"/>
          <w:szCs w:val="20"/>
          <w:color w:val="auto"/>
        </w:rPr>
        <w:t>N/A</w:t>
      </w: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0"/>
          <w:szCs w:val="20"/>
          <w:color w:val="auto"/>
        </w:rPr>
        <w:t>N/A</w:t>
      </w:r>
    </w:p>
    <w:p>
      <w:pPr>
        <w:spacing w:after="0" w:line="254"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560" w:right="120" w:hanging="179"/>
        <w:spacing w:after="0" w:line="238" w:lineRule="auto"/>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Controls</w:t>
      </w:r>
      <w:r>
        <w:rPr>
          <w:rFonts w:ascii="Times New Roman" w:cs="Times New Roman" w:eastAsia="Times New Roman" w:hAnsi="Times New Roman"/>
          <w:sz w:val="22"/>
          <w:szCs w:val="22"/>
          <w:color w:val="auto"/>
        </w:rPr>
        <w:t>: (1) See also 7A005,</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7A611 and 7A994. (2) See USML Category XII(d) for GNSS receiving equipment subject to the ITAR and USML Category XI(c)(10) for antennae that are subject to the ITAR. (3) Items that otherwise would be covered by ECCN 7A105.b.2 are “subject to the</w:t>
      </w:r>
    </w:p>
    <w:p>
      <w:pPr>
        <w:spacing w:after="0" w:line="204" w:lineRule="exact"/>
        <w:rPr>
          <w:sz w:val="20"/>
          <w:szCs w:val="20"/>
          <w:color w:val="auto"/>
        </w:rPr>
      </w:pPr>
    </w:p>
    <w:p>
      <w:pPr>
        <w:sectPr>
          <w:pgSz w:w="12240" w:h="15840" w:orient="portrait"/>
          <w:cols w:equalWidth="0" w:num="2">
            <w:col w:w="4400" w:space="720"/>
            <w:col w:w="4360"/>
          </w:cols>
          <w:pgMar w:left="1440" w:top="1437" w:right="1320" w:bottom="876" w:gutter="0" w:footer="0" w:header="0"/>
          <w:type w:val="continuous"/>
        </w:sectPr>
      </w:pPr>
    </w:p>
    <w:p>
      <w:pPr>
        <w:spacing w:after="0" w:line="143"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480"/>
          </w:cols>
          <w:pgMar w:left="1440" w:top="1437" w:right="1320" w:bottom="876" w:gutter="0" w:footer="0" w:header="0"/>
          <w:type w:val="continuous"/>
        </w:sectPr>
      </w:pPr>
    </w:p>
    <w:bookmarkStart w:id="9" w:name="page10"/>
    <w:bookmarkEnd w:id="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10</w:t>
      </w:r>
    </w:p>
    <w:p>
      <w:pPr>
        <w:sectPr>
          <w:pgSz w:w="12240" w:h="15840" w:orient="portrait"/>
          <w:cols w:equalWidth="0" w:num="1">
            <w:col w:w="9360"/>
          </w:cols>
          <w:pgMar w:left="1440" w:top="1437" w:right="1440" w:bottom="876" w:gutter="0" w:footer="0" w:header="0"/>
        </w:sectPr>
      </w:pPr>
    </w:p>
    <w:p>
      <w:pPr>
        <w:spacing w:after="0" w:line="287" w:lineRule="exact"/>
        <w:rPr>
          <w:sz w:val="20"/>
          <w:szCs w:val="20"/>
          <w:color w:val="auto"/>
        </w:rPr>
      </w:pPr>
    </w:p>
    <w:p>
      <w:pPr>
        <w:jc w:val="both"/>
        <w:ind w:left="540" w:right="100"/>
        <w:spacing w:after="0" w:line="237" w:lineRule="auto"/>
        <w:rPr>
          <w:sz w:val="20"/>
          <w:szCs w:val="20"/>
          <w:color w:val="auto"/>
        </w:rPr>
      </w:pPr>
      <w:r>
        <w:rPr>
          <w:rFonts w:ascii="Times New Roman" w:cs="Times New Roman" w:eastAsia="Times New Roman" w:hAnsi="Times New Roman"/>
          <w:sz w:val="22"/>
          <w:szCs w:val="22"/>
          <w:color w:val="auto"/>
        </w:rPr>
        <w:t>ITAR” (see 22 CFR parts 120 through 130). (4) See USML Category XII(d) for GPS receiving equipment in 7A105.a, b.1 and b.3 that are subject to the ITAR.</w:t>
      </w:r>
    </w:p>
    <w:p>
      <w:pPr>
        <w:spacing w:after="0" w:line="14" w:lineRule="exact"/>
        <w:rPr>
          <w:sz w:val="20"/>
          <w:szCs w:val="20"/>
          <w:color w:val="auto"/>
        </w:rPr>
      </w:pPr>
    </w:p>
    <w:p>
      <w:pPr>
        <w:jc w:val="both"/>
        <w:ind w:left="540" w:right="100" w:hanging="179"/>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‘Navigation satellite systems’ include Global Navigation Satellite Systems (GNSS; e.g. GPS, GLONASS, Galileo or BeiDou) and Regional Navigation Satellite Systems (RNSS; e.g. NavIC, QZSS).</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ind w:right="100"/>
        <w:spacing w:after="0" w:line="234" w:lineRule="auto"/>
        <w:rPr>
          <w:sz w:val="20"/>
          <w:szCs w:val="20"/>
          <w:color w:val="auto"/>
        </w:rPr>
      </w:pPr>
      <w:r>
        <w:rPr>
          <w:rFonts w:ascii="Times New Roman" w:cs="Times New Roman" w:eastAsia="Times New Roman" w:hAnsi="Times New Roman"/>
          <w:sz w:val="22"/>
          <w:szCs w:val="22"/>
          <w:color w:val="auto"/>
        </w:rPr>
        <w:t xml:space="preserve">a. Designed or modified for use in “missiles”;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right="100"/>
        <w:spacing w:after="0" w:line="233" w:lineRule="auto"/>
        <w:rPr>
          <w:sz w:val="20"/>
          <w:szCs w:val="20"/>
          <w:color w:val="auto"/>
        </w:rPr>
      </w:pPr>
      <w:r>
        <w:rPr>
          <w:rFonts w:ascii="Times New Roman" w:cs="Times New Roman" w:eastAsia="Times New Roman" w:hAnsi="Times New Roman"/>
          <w:sz w:val="22"/>
          <w:szCs w:val="22"/>
          <w:color w:val="auto"/>
        </w:rPr>
        <w:t>b. Designed or modified for airborne applications and having any of the following:</w:t>
      </w:r>
    </w:p>
    <w:p>
      <w:pPr>
        <w:spacing w:after="0" w:line="267" w:lineRule="exact"/>
        <w:rPr>
          <w:sz w:val="20"/>
          <w:szCs w:val="20"/>
          <w:color w:val="auto"/>
        </w:rPr>
      </w:pPr>
    </w:p>
    <w:p>
      <w:pPr>
        <w:ind w:right="100" w:firstLine="180"/>
        <w:spacing w:after="0"/>
        <w:rPr>
          <w:sz w:val="20"/>
          <w:szCs w:val="20"/>
          <w:color w:val="auto"/>
        </w:rPr>
      </w:pPr>
      <w:r>
        <w:rPr>
          <w:rFonts w:ascii="Times New Roman" w:cs="Times New Roman" w:eastAsia="Times New Roman" w:hAnsi="Times New Roman"/>
          <w:sz w:val="22"/>
          <w:szCs w:val="22"/>
          <w:color w:val="auto"/>
        </w:rPr>
        <w:t>b.1. Capable of providing navigation information at speeds in excess of 600 m/s;</w:t>
      </w:r>
    </w:p>
    <w:p>
      <w:pPr>
        <w:spacing w:after="0" w:line="200" w:lineRule="exact"/>
        <w:rPr>
          <w:sz w:val="20"/>
          <w:szCs w:val="20"/>
          <w:color w:val="auto"/>
        </w:rPr>
      </w:pPr>
    </w:p>
    <w:p>
      <w:pPr>
        <w:spacing w:after="0" w:line="306" w:lineRule="exact"/>
        <w:rPr>
          <w:sz w:val="20"/>
          <w:szCs w:val="20"/>
          <w:color w:val="auto"/>
        </w:rPr>
      </w:pPr>
    </w:p>
    <w:p>
      <w:pPr>
        <w:jc w:val="both"/>
        <w:ind w:right="100" w:firstLine="180"/>
        <w:spacing w:after="0" w:line="237" w:lineRule="auto"/>
        <w:rPr>
          <w:sz w:val="20"/>
          <w:szCs w:val="20"/>
          <w:color w:val="auto"/>
        </w:rPr>
      </w:pPr>
      <w:r>
        <w:rPr>
          <w:rFonts w:ascii="Times New Roman" w:cs="Times New Roman" w:eastAsia="Times New Roman" w:hAnsi="Times New Roman"/>
          <w:sz w:val="22"/>
          <w:szCs w:val="22"/>
          <w:color w:val="auto"/>
        </w:rPr>
        <w:t xml:space="preserve">b.2. Employing decryption, designed or modified for military or governmental services, to gain access to a ‘navigation satellite system’ secure signal/data;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right="80" w:firstLine="180"/>
        <w:spacing w:after="0" w:line="237" w:lineRule="auto"/>
        <w:rPr>
          <w:sz w:val="20"/>
          <w:szCs w:val="20"/>
          <w:color w:val="auto"/>
        </w:rPr>
      </w:pPr>
      <w:r>
        <w:rPr>
          <w:rFonts w:ascii="Times New Roman" w:cs="Times New Roman" w:eastAsia="Times New Roman" w:hAnsi="Times New Roman"/>
          <w:sz w:val="22"/>
          <w:szCs w:val="22"/>
          <w:color w:val="auto"/>
        </w:rPr>
        <w:t>b.3. Being “specially designed” to employ anti-jam features (</w:t>
      </w:r>
      <w:r>
        <w:rPr>
          <w:rFonts w:ascii="Times New Roman" w:cs="Times New Roman" w:eastAsia="Times New Roman" w:hAnsi="Times New Roman"/>
          <w:sz w:val="22"/>
          <w:szCs w:val="22"/>
          <w:i w:val="1"/>
          <w:iCs w:val="1"/>
          <w:color w:val="auto"/>
        </w:rPr>
        <w:t>e.g</w:t>
      </w:r>
      <w:r>
        <w:rPr>
          <w:rFonts w:ascii="Times New Roman" w:cs="Times New Roman" w:eastAsia="Times New Roman" w:hAnsi="Times New Roman"/>
          <w:sz w:val="22"/>
          <w:szCs w:val="22"/>
          <w:color w:val="auto"/>
        </w:rPr>
        <w:t>., null steering antenna or electronically steerable antenna) to function in an environment of active or passive countermeasures.</w:t>
      </w:r>
    </w:p>
    <w:p>
      <w:pPr>
        <w:spacing w:after="0" w:line="270" w:lineRule="exact"/>
        <w:rPr>
          <w:sz w:val="20"/>
          <w:szCs w:val="20"/>
          <w:color w:val="auto"/>
        </w:rPr>
      </w:pPr>
    </w:p>
    <w:p>
      <w:pPr>
        <w:jc w:val="both"/>
        <w:ind w:right="100" w:firstLine="18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7A105.b.2 and 7A105.b.3 do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 equipment designed for commercial, civil or Safety of Life (e.g., data integrity, flight safety) 'navigation satellite system' services.</w:t>
      </w:r>
    </w:p>
    <w:p>
      <w:pPr>
        <w:spacing w:after="0" w:line="200" w:lineRule="exact"/>
        <w:rPr>
          <w:sz w:val="20"/>
          <w:szCs w:val="20"/>
          <w:color w:val="auto"/>
        </w:rPr>
      </w:pPr>
    </w:p>
    <w:p>
      <w:pPr>
        <w:spacing w:after="0" w:line="319" w:lineRule="exact"/>
        <w:rPr>
          <w:sz w:val="20"/>
          <w:szCs w:val="20"/>
          <w:color w:val="auto"/>
        </w:rPr>
      </w:pPr>
    </w:p>
    <w:p>
      <w:pPr>
        <w:jc w:val="both"/>
        <w:ind w:right="80"/>
        <w:spacing w:after="0" w:line="237" w:lineRule="auto"/>
        <w:rPr>
          <w:sz w:val="20"/>
          <w:szCs w:val="20"/>
          <w:color w:val="auto"/>
        </w:rPr>
      </w:pPr>
      <w:r>
        <w:rPr>
          <w:rFonts w:ascii="Times New Roman" w:cs="Times New Roman" w:eastAsia="Times New Roman" w:hAnsi="Times New Roman"/>
          <w:sz w:val="22"/>
          <w:szCs w:val="22"/>
          <w:b w:val="1"/>
          <w:bCs w:val="1"/>
          <w:color w:val="auto"/>
        </w:rPr>
        <w:t>7A106 Altimeters, other than those controlled by 7A006, of radar or laser radar type, designed or modified for use in “missiles”. (These items are “subject to the ITAR”. See 22 CFR parts 120 through 130.)</w:t>
      </w:r>
    </w:p>
    <w:p>
      <w:pPr>
        <w:spacing w:after="0" w:line="200" w:lineRule="exact"/>
        <w:rPr>
          <w:sz w:val="20"/>
          <w:szCs w:val="20"/>
          <w:color w:val="auto"/>
        </w:rPr>
      </w:pPr>
    </w:p>
    <w:p>
      <w:pPr>
        <w:spacing w:after="0" w:line="31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7A107 Three axis magnetic heading sensors</w:t>
      </w:r>
    </w:p>
    <w:p>
      <w:pPr>
        <w:spacing w:after="0" w:line="20" w:lineRule="exact"/>
        <w:rPr>
          <w:sz w:val="20"/>
          <w:szCs w:val="20"/>
          <w:color w:val="auto"/>
        </w:rPr>
      </w:pPr>
      <w:r>
        <w:rPr>
          <w:sz w:val="20"/>
          <w:szCs w:val="20"/>
          <w:color w:val="auto"/>
        </w:rPr>
        <w:br w:type="column"/>
      </w:r>
    </w:p>
    <w:p>
      <w:pPr>
        <w:spacing w:after="0" w:line="268" w:lineRule="exact"/>
        <w:rPr>
          <w:sz w:val="20"/>
          <w:szCs w:val="20"/>
          <w:color w:val="auto"/>
        </w:rPr>
      </w:pPr>
    </w:p>
    <w:p>
      <w:pPr>
        <w:jc w:val="both"/>
        <w:ind w:left="100"/>
        <w:spacing w:after="0" w:line="237" w:lineRule="auto"/>
        <w:rPr>
          <w:sz w:val="20"/>
          <w:szCs w:val="20"/>
          <w:color w:val="auto"/>
        </w:rPr>
      </w:pPr>
      <w:r>
        <w:rPr>
          <w:rFonts w:ascii="Times New Roman" w:cs="Times New Roman" w:eastAsia="Times New Roman" w:hAnsi="Times New Roman"/>
          <w:sz w:val="22"/>
          <w:szCs w:val="22"/>
          <w:b w:val="1"/>
          <w:bCs w:val="1"/>
          <w:color w:val="auto"/>
        </w:rPr>
        <w:t>having all of the following characteristics (see List of Items Controlled), and “specially designed” “parts” and “components” therefor.</w:t>
      </w:r>
    </w:p>
    <w:p>
      <w:pPr>
        <w:spacing w:after="0" w:line="253"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jc w:val="center"/>
        <w:ind w:right="740"/>
        <w:spacing w:after="0"/>
        <w:tabs>
          <w:tab w:leader="none" w:pos="16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1"/>
          <w:szCs w:val="21"/>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2"/>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00" w:type="dxa"/>
            <w:vAlign w:val="bottom"/>
            <w:tcBorders>
              <w:bottom w:val="single" w:sz="8" w:color="auto"/>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left="10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N/A</w:t>
      </w:r>
    </w:p>
    <w:p>
      <w:pPr>
        <w:ind w:left="4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4" w:lineRule="exact"/>
        <w:rPr>
          <w:sz w:val="20"/>
          <w:szCs w:val="20"/>
          <w:color w:val="auto"/>
        </w:rPr>
      </w:pPr>
    </w:p>
    <w:p>
      <w:pPr>
        <w:ind w:left="100" w:hanging="9"/>
        <w:spacing w:after="0" w:line="234" w:lineRule="auto"/>
        <w:tabs>
          <w:tab w:leader="none" w:pos="470" w:val="left"/>
        </w:tabs>
        <w:numPr>
          <w:ilvl w:val="0"/>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Internal tilt compensation in pitch (+/-90 degrees) and roll (+/-180 degrees) axes;</w:t>
      </w:r>
    </w:p>
    <w:p>
      <w:pPr>
        <w:spacing w:after="0" w:line="266" w:lineRule="exact"/>
        <w:rPr>
          <w:rFonts w:ascii="Times New Roman" w:cs="Times New Roman" w:eastAsia="Times New Roman" w:hAnsi="Times New Roman"/>
          <w:sz w:val="22"/>
          <w:szCs w:val="22"/>
          <w:color w:val="auto"/>
        </w:rPr>
      </w:pPr>
    </w:p>
    <w:p>
      <w:pPr>
        <w:jc w:val="both"/>
        <w:ind w:left="100" w:hanging="9"/>
        <w:spacing w:after="0" w:line="236" w:lineRule="auto"/>
        <w:tabs>
          <w:tab w:leader="none" w:pos="471" w:val="left"/>
        </w:tabs>
        <w:numPr>
          <w:ilvl w:val="0"/>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Azimuthal accuracy better (less) than 0.5 degrees rms at latitudes of +/-80 degrees, referenced to local magnetic field; </w:t>
      </w:r>
      <w:r>
        <w:rPr>
          <w:rFonts w:ascii="Times New Roman" w:cs="Times New Roman" w:eastAsia="Times New Roman" w:hAnsi="Times New Roman"/>
          <w:sz w:val="22"/>
          <w:szCs w:val="22"/>
          <w:i w:val="1"/>
          <w:iCs w:val="1"/>
          <w:color w:val="auto"/>
        </w:rPr>
        <w:t>and</w:t>
      </w:r>
    </w:p>
    <w:p>
      <w:pPr>
        <w:spacing w:after="0" w:line="265" w:lineRule="exact"/>
        <w:rPr>
          <w:rFonts w:ascii="Times New Roman" w:cs="Times New Roman" w:eastAsia="Times New Roman" w:hAnsi="Times New Roman"/>
          <w:sz w:val="22"/>
          <w:szCs w:val="22"/>
          <w:color w:val="auto"/>
        </w:rPr>
      </w:pPr>
    </w:p>
    <w:p>
      <w:pPr>
        <w:ind w:left="100" w:hanging="9"/>
        <w:spacing w:after="0" w:line="234" w:lineRule="auto"/>
        <w:tabs>
          <w:tab w:leader="none" w:pos="408" w:val="left"/>
        </w:tabs>
        <w:numPr>
          <w:ilvl w:val="0"/>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or modified to be integrated with flight control and navigation systems.</w:t>
      </w:r>
    </w:p>
    <w:p>
      <w:pPr>
        <w:spacing w:after="0" w:line="267" w:lineRule="exact"/>
        <w:rPr>
          <w:sz w:val="20"/>
          <w:szCs w:val="20"/>
          <w:color w:val="auto"/>
        </w:rPr>
      </w:pPr>
    </w:p>
    <w:p>
      <w:pPr>
        <w:jc w:val="both"/>
        <w:ind w:left="10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Flight control and navigation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systems in 7A107 include gyrostabilizers, automatic pilots and inertial navigation systems.</w:t>
      </w:r>
    </w:p>
    <w:p>
      <w:pPr>
        <w:spacing w:after="0" w:line="200" w:lineRule="exact"/>
        <w:rPr>
          <w:sz w:val="20"/>
          <w:szCs w:val="20"/>
          <w:color w:val="auto"/>
        </w:rPr>
      </w:pPr>
    </w:p>
    <w:p>
      <w:pPr>
        <w:spacing w:after="0" w:line="322" w:lineRule="exact"/>
        <w:rPr>
          <w:sz w:val="20"/>
          <w:szCs w:val="20"/>
          <w:color w:val="auto"/>
        </w:rPr>
      </w:pPr>
    </w:p>
    <w:p>
      <w:pPr>
        <w:jc w:val="both"/>
        <w:ind w:left="100"/>
        <w:spacing w:after="0" w:line="236" w:lineRule="auto"/>
        <w:rPr>
          <w:sz w:val="20"/>
          <w:szCs w:val="20"/>
          <w:color w:val="auto"/>
        </w:rPr>
      </w:pPr>
      <w:r>
        <w:rPr>
          <w:rFonts w:ascii="Times New Roman" w:cs="Times New Roman" w:eastAsia="Times New Roman" w:hAnsi="Times New Roman"/>
          <w:sz w:val="22"/>
          <w:szCs w:val="22"/>
          <w:b w:val="1"/>
          <w:bCs w:val="1"/>
          <w:color w:val="auto"/>
        </w:rPr>
        <w:t>7A115 Passive sensors for determining bearing to specific electromagnetic sources (direction finding equipment) or terrain</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142" w:lineRule="exact"/>
        <w:rPr>
          <w:sz w:val="20"/>
          <w:szCs w:val="20"/>
          <w:color w:val="auto"/>
        </w:rPr>
      </w:pPr>
    </w:p>
    <w:p>
      <w:pPr>
        <w:spacing w:after="0"/>
        <w:tabs>
          <w:tab w:leader="none" w:pos="342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0" w:name="page11"/>
    <w:bookmarkEnd w:id="10"/>
    <w:p>
      <w:pPr>
        <w:ind w:left="100"/>
        <w:spacing w:after="0"/>
        <w:tabs>
          <w:tab w:leader="none" w:pos="3640" w:val="left"/>
          <w:tab w:leader="none" w:pos="78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11</w:t>
      </w:r>
    </w:p>
    <w:p>
      <w:pPr>
        <w:sectPr>
          <w:pgSz w:w="12240" w:h="15840" w:orient="portrait"/>
          <w:cols w:equalWidth="0" w:num="1">
            <w:col w:w="9580"/>
          </w:cols>
          <w:pgMar w:left="1340" w:top="1437" w:right="1320" w:bottom="876" w:gutter="0" w:footer="0" w:header="0"/>
        </w:sectPr>
      </w:pPr>
    </w:p>
    <w:p>
      <w:pPr>
        <w:spacing w:after="0" w:line="288" w:lineRule="exact"/>
        <w:rPr>
          <w:sz w:val="20"/>
          <w:szCs w:val="20"/>
          <w:color w:val="auto"/>
        </w:rPr>
      </w:pPr>
    </w:p>
    <w:p>
      <w:pPr>
        <w:jc w:val="both"/>
        <w:ind w:left="100" w:right="80"/>
        <w:spacing w:after="0" w:line="237" w:lineRule="auto"/>
        <w:rPr>
          <w:sz w:val="20"/>
          <w:szCs w:val="20"/>
          <w:color w:val="auto"/>
        </w:rPr>
      </w:pPr>
      <w:r>
        <w:rPr>
          <w:rFonts w:ascii="Times New Roman" w:cs="Times New Roman" w:eastAsia="Times New Roman" w:hAnsi="Times New Roman"/>
          <w:sz w:val="22"/>
          <w:szCs w:val="22"/>
          <w:b w:val="1"/>
          <w:bCs w:val="1"/>
          <w:color w:val="auto"/>
        </w:rPr>
        <w:t>characteristics, designed or modified for use in “missiles”. (These items are “subject to the ITAR”. See 22 CFR parts 120 through 130.)</w:t>
      </w:r>
    </w:p>
    <w:p>
      <w:pPr>
        <w:spacing w:after="0" w:line="200" w:lineRule="exact"/>
        <w:rPr>
          <w:sz w:val="20"/>
          <w:szCs w:val="20"/>
          <w:color w:val="auto"/>
        </w:rPr>
      </w:pPr>
    </w:p>
    <w:p>
      <w:pPr>
        <w:spacing w:after="0" w:line="319" w:lineRule="exact"/>
        <w:rPr>
          <w:sz w:val="20"/>
          <w:szCs w:val="20"/>
          <w:color w:val="auto"/>
        </w:rPr>
      </w:pPr>
    </w:p>
    <w:p>
      <w:pPr>
        <w:jc w:val="both"/>
        <w:ind w:left="100" w:right="80"/>
        <w:spacing w:after="0" w:line="236" w:lineRule="auto"/>
        <w:rPr>
          <w:sz w:val="20"/>
          <w:szCs w:val="20"/>
          <w:color w:val="auto"/>
        </w:rPr>
      </w:pPr>
      <w:r>
        <w:rPr>
          <w:rFonts w:ascii="Times New Roman" w:cs="Times New Roman" w:eastAsia="Times New Roman" w:hAnsi="Times New Roman"/>
          <w:sz w:val="22"/>
          <w:szCs w:val="22"/>
          <w:b w:val="1"/>
          <w:bCs w:val="1"/>
          <w:color w:val="auto"/>
        </w:rPr>
        <w:t>7A116 Flight control systems and “parts” and “components”, as follows (see List of Items Controlled).</w:t>
      </w:r>
    </w:p>
    <w:p>
      <w:pPr>
        <w:spacing w:after="0" w:line="253"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60"/>
        <w:spacing w:after="0"/>
        <w:tabs>
          <w:tab w:leader="none" w:pos="2380" w:val="left"/>
        </w:tabs>
        <w:rPr>
          <w:sz w:val="20"/>
          <w:szCs w:val="20"/>
          <w:color w:val="auto"/>
        </w:rPr>
      </w:pPr>
      <w:r>
        <w:rPr>
          <w:rFonts w:ascii="Times New Roman" w:cs="Times New Roman" w:eastAsia="Times New Roman" w:hAnsi="Times New Roman"/>
          <w:sz w:val="22"/>
          <w:szCs w:val="22"/>
          <w:i w:val="1"/>
          <w:iCs w:val="1"/>
          <w:color w:val="auto"/>
        </w:rPr>
        <w:t>Reason for Control:</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CountryChart</w:t>
            </w:r>
          </w:p>
        </w:tc>
      </w:tr>
      <w:tr>
        <w:trPr>
          <w:trHeight w:val="253"/>
        </w:trPr>
        <w:tc>
          <w:tcPr>
            <w:tcW w:w="25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left="100" w:right="8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3"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640" w:right="60" w:hanging="263"/>
        <w:spacing w:after="0" w:line="238" w:lineRule="auto"/>
        <w:rPr>
          <w:sz w:val="20"/>
          <w:szCs w:val="20"/>
          <w:color w:val="auto"/>
        </w:rPr>
      </w:pPr>
      <w:r>
        <w:rPr>
          <w:rFonts w:ascii="Times New Roman" w:cs="Times New Roman" w:eastAsia="Times New Roman" w:hAnsi="Times New Roman"/>
          <w:sz w:val="22"/>
          <w:szCs w:val="22"/>
          <w:i w:val="1"/>
          <w:iCs w:val="1"/>
          <w:color w:val="auto"/>
        </w:rPr>
        <w:t>Related</w:t>
      </w:r>
      <w:r>
        <w:rPr>
          <w:sz w:val="20"/>
          <w:szCs w:val="20"/>
          <w:color w:val="auto"/>
        </w:rPr>
        <w:t xml:space="preserve"> </w:t>
      </w:r>
      <w:r>
        <w:rPr>
          <w:rFonts w:ascii="Times New Roman" w:cs="Times New Roman" w:eastAsia="Times New Roman" w:hAnsi="Times New Roman"/>
          <w:sz w:val="22"/>
          <w:szCs w:val="22"/>
          <w:i w:val="1"/>
          <w:iCs w:val="1"/>
          <w:color w:val="auto"/>
        </w:rPr>
        <w:t xml:space="preserve">Controls: </w:t>
      </w:r>
      <w:r>
        <w:rPr>
          <w:rFonts w:ascii="Times New Roman" w:cs="Times New Roman" w:eastAsia="Times New Roman" w:hAnsi="Times New Roman"/>
          <w:sz w:val="22"/>
          <w:szCs w:val="22"/>
          <w:color w:val="auto"/>
        </w:rPr>
        <w:t>(1) See 9A610.r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9A610.s for items designed or modified for military UAVs. (2) See USML Category IV for items “specially designed” for use in rockets or missiles that are “subject to the ITAR.”</w:t>
      </w:r>
    </w:p>
    <w:p>
      <w:pPr>
        <w:ind w:left="4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65" w:lineRule="exact"/>
        <w:rPr>
          <w:sz w:val="20"/>
          <w:szCs w:val="20"/>
          <w:color w:val="auto"/>
        </w:rPr>
      </w:pPr>
    </w:p>
    <w:p>
      <w:pPr>
        <w:jc w:val="both"/>
        <w:ind w:left="100" w:right="60"/>
        <w:spacing w:after="0" w:line="238" w:lineRule="auto"/>
        <w:tabs>
          <w:tab w:leader="none" w:pos="494"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Pneumatic, hydraulic, mechanical, electro-optical, or electromechanical flight control systems (including fly-by-wire and fly-by-light systems) designed or modified for UAVs capable of delivering at least 500 kilograms of payload to a range of at least 300 km, other than those controlled by either USML paragraph VIII(a) or ECCN 9A610.a;</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120" w:right="120" w:hanging="9"/>
        <w:spacing w:after="0" w:line="238" w:lineRule="auto"/>
        <w:tabs>
          <w:tab w:leader="none" w:pos="641"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Attitude control equipment designed or modified for UAVs capable of delivering at least 500 kilograms of payload to a range of at least 300 km, other than those controlled by either USML paragraph VIII(a) or ECCN 9A610.a;</w:t>
      </w:r>
    </w:p>
    <w:p>
      <w:pPr>
        <w:spacing w:after="0" w:line="266" w:lineRule="exact"/>
        <w:rPr>
          <w:rFonts w:ascii="Times New Roman" w:cs="Times New Roman" w:eastAsia="Times New Roman" w:hAnsi="Times New Roman"/>
          <w:sz w:val="22"/>
          <w:szCs w:val="22"/>
          <w:color w:val="auto"/>
        </w:rPr>
      </w:pPr>
    </w:p>
    <w:p>
      <w:pPr>
        <w:jc w:val="both"/>
        <w:ind w:left="120" w:right="120" w:hanging="9"/>
        <w:spacing w:after="0" w:line="238" w:lineRule="auto"/>
        <w:tabs>
          <w:tab w:leader="none" w:pos="618"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Flight control servo valves designed of modified for the systems in 7A116.a or 7A116.b, and designed or modified to operate in a vibration environment greater than 10 g rms over the entire range between 20Hz and 2 kHz.</w:t>
      </w:r>
    </w:p>
    <w:p>
      <w:pPr>
        <w:spacing w:after="0" w:line="267" w:lineRule="exact"/>
        <w:rPr>
          <w:sz w:val="20"/>
          <w:szCs w:val="20"/>
          <w:color w:val="auto"/>
        </w:rPr>
      </w:pPr>
    </w:p>
    <w:p>
      <w:pPr>
        <w:jc w:val="both"/>
        <w:ind w:left="120" w:right="120" w:firstLine="331"/>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This entry includes the systems,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and valves designed or modified to enable operation of manned aircraft as unmanned aerial vehicles.</w:t>
      </w:r>
    </w:p>
    <w:p>
      <w:pPr>
        <w:spacing w:after="0" w:line="200" w:lineRule="exact"/>
        <w:rPr>
          <w:sz w:val="20"/>
          <w:szCs w:val="20"/>
          <w:color w:val="auto"/>
        </w:rPr>
      </w:pPr>
    </w:p>
    <w:p>
      <w:pPr>
        <w:spacing w:after="0" w:line="323" w:lineRule="exact"/>
        <w:rPr>
          <w:sz w:val="20"/>
          <w:szCs w:val="20"/>
          <w:color w:val="auto"/>
        </w:rPr>
      </w:pPr>
    </w:p>
    <w:p>
      <w:pPr>
        <w:jc w:val="both"/>
        <w:ind w:left="120" w:right="120"/>
        <w:spacing w:after="0" w:line="238" w:lineRule="auto"/>
        <w:rPr>
          <w:sz w:val="20"/>
          <w:szCs w:val="20"/>
          <w:color w:val="auto"/>
        </w:rPr>
      </w:pPr>
      <w:r>
        <w:rPr>
          <w:rFonts w:ascii="Times New Roman" w:cs="Times New Roman" w:eastAsia="Times New Roman" w:hAnsi="Times New Roman"/>
          <w:sz w:val="22"/>
          <w:szCs w:val="22"/>
          <w:b w:val="1"/>
          <w:bCs w:val="1"/>
          <w:color w:val="auto"/>
        </w:rPr>
        <w:t>7A117 “Guidance sets” capable of achieving system accuracy of 3.33% or less of the range (e.g., a “CEP” of 10 km or less at a range of 300 km). (These items are “subject to the ITAR”. See 22 CFR parts 120 through 130.)</w:t>
      </w:r>
    </w:p>
    <w:p>
      <w:pPr>
        <w:spacing w:after="0" w:line="200" w:lineRule="exact"/>
        <w:rPr>
          <w:sz w:val="20"/>
          <w:szCs w:val="20"/>
          <w:color w:val="auto"/>
        </w:rPr>
      </w:pPr>
    </w:p>
    <w:p>
      <w:pPr>
        <w:spacing w:after="0" w:line="318" w:lineRule="exact"/>
        <w:rPr>
          <w:sz w:val="20"/>
          <w:szCs w:val="20"/>
          <w:color w:val="auto"/>
        </w:rPr>
      </w:pPr>
    </w:p>
    <w:p>
      <w:pPr>
        <w:jc w:val="both"/>
        <w:ind w:left="120" w:right="120"/>
        <w:spacing w:after="0" w:line="236" w:lineRule="auto"/>
        <w:rPr>
          <w:sz w:val="20"/>
          <w:szCs w:val="20"/>
          <w:color w:val="auto"/>
        </w:rPr>
      </w:pPr>
      <w:r>
        <w:rPr>
          <w:rFonts w:ascii="Times New Roman" w:cs="Times New Roman" w:eastAsia="Times New Roman" w:hAnsi="Times New Roman"/>
          <w:sz w:val="22"/>
          <w:szCs w:val="22"/>
          <w:b w:val="1"/>
          <w:bCs w:val="1"/>
          <w:color w:val="auto"/>
        </w:rPr>
        <w:t>7A611 Military fire control, laser, imaging, and guidance equipment, as follows (see List of Items Controlled).</w:t>
      </w:r>
    </w:p>
    <w:p>
      <w:pPr>
        <w:spacing w:after="0" w:line="253"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MT, RS, AT, UN</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820" w:type="dxa"/>
            <w:vAlign w:val="bottom"/>
            <w:tcBorders>
              <w:top w:val="single" w:sz="8" w:color="auto"/>
              <w:left w:val="single" w:sz="8" w:color="auto"/>
              <w:right w:val="single" w:sz="8" w:color="auto"/>
            </w:tcBorders>
          </w:tcPr>
          <w:p>
            <w:pPr>
              <w:spacing w:after="0"/>
              <w:rPr>
                <w:sz w:val="22"/>
                <w:szCs w:val="22"/>
                <w:color w:val="auto"/>
              </w:rPr>
            </w:pPr>
          </w:p>
        </w:tc>
        <w:tc>
          <w:tcPr>
            <w:tcW w:w="164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820" w:type="dxa"/>
            <w:vAlign w:val="bottom"/>
            <w:tcBorders>
              <w:left w:val="single" w:sz="8" w:color="auto"/>
              <w:right w:val="single" w:sz="8" w:color="auto"/>
            </w:tcBorders>
          </w:tcPr>
          <w:p>
            <w:pPr>
              <w:ind w:left="9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4"/>
        </w:trPr>
        <w:tc>
          <w:tcPr>
            <w:tcW w:w="2820" w:type="dxa"/>
            <w:vAlign w:val="bottom"/>
            <w:tcBorders>
              <w:left w:val="single" w:sz="8" w:color="auto"/>
              <w:bottom w:val="single" w:sz="8" w:color="auto"/>
              <w:right w:val="single" w:sz="8" w:color="auto"/>
            </w:tcBorders>
          </w:tcPr>
          <w:p>
            <w:pPr>
              <w:spacing w:after="0"/>
              <w:rPr>
                <w:sz w:val="22"/>
                <w:szCs w:val="22"/>
                <w:color w:val="auto"/>
              </w:rPr>
            </w:pPr>
          </w:p>
        </w:tc>
        <w:tc>
          <w:tcPr>
            <w:tcW w:w="164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1"/>
        </w:trPr>
        <w:tc>
          <w:tcPr>
            <w:tcW w:w="28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55"/>
        </w:trPr>
        <w:tc>
          <w:tcPr>
            <w:tcW w:w="28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7A611.y</w:t>
            </w:r>
          </w:p>
        </w:tc>
        <w:tc>
          <w:tcPr>
            <w:tcW w:w="1640" w:type="dxa"/>
            <w:vAlign w:val="bottom"/>
            <w:tcBorders>
              <w:bottom w:val="single" w:sz="8" w:color="auto"/>
              <w:right w:val="single" w:sz="8" w:color="auto"/>
            </w:tcBorders>
          </w:tcPr>
          <w:p>
            <w:pPr>
              <w:spacing w:after="0"/>
              <w:rPr>
                <w:sz w:val="22"/>
                <w:szCs w:val="22"/>
                <w:color w:val="auto"/>
              </w:rPr>
            </w:pPr>
          </w:p>
        </w:tc>
      </w:tr>
      <w:tr>
        <w:trPr>
          <w:trHeight w:val="241"/>
        </w:trPr>
        <w:tc>
          <w:tcPr>
            <w:tcW w:w="28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MT  applies to  commodities</w:t>
            </w:r>
          </w:p>
        </w:tc>
        <w:tc>
          <w:tcPr>
            <w:tcW w:w="16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28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  7A611.a  that  meet  or</w:t>
            </w:r>
          </w:p>
        </w:tc>
        <w:tc>
          <w:tcPr>
            <w:tcW w:w="1640" w:type="dxa"/>
            <w:vAlign w:val="bottom"/>
            <w:tcBorders>
              <w:right w:val="single" w:sz="8" w:color="auto"/>
            </w:tcBorders>
          </w:tcPr>
          <w:p>
            <w:pPr>
              <w:spacing w:after="0"/>
              <w:rPr>
                <w:sz w:val="22"/>
                <w:szCs w:val="22"/>
                <w:color w:val="auto"/>
              </w:rPr>
            </w:pPr>
          </w:p>
        </w:tc>
      </w:tr>
      <w:tr>
        <w:trPr>
          <w:trHeight w:val="252"/>
        </w:trPr>
        <w:tc>
          <w:tcPr>
            <w:tcW w:w="28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exceed  the  parameters  in</w:t>
            </w:r>
          </w:p>
        </w:tc>
        <w:tc>
          <w:tcPr>
            <w:tcW w:w="1640" w:type="dxa"/>
            <w:vAlign w:val="bottom"/>
            <w:tcBorders>
              <w:right w:val="single" w:sz="8" w:color="auto"/>
            </w:tcBorders>
          </w:tcPr>
          <w:p>
            <w:pPr>
              <w:spacing w:after="0"/>
              <w:rPr>
                <w:sz w:val="21"/>
                <w:szCs w:val="21"/>
                <w:color w:val="auto"/>
              </w:rPr>
            </w:pPr>
          </w:p>
        </w:tc>
      </w:tr>
      <w:tr>
        <w:trPr>
          <w:trHeight w:val="255"/>
        </w:trPr>
        <w:tc>
          <w:tcPr>
            <w:tcW w:w="28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7A103.b or .c</w:t>
            </w:r>
          </w:p>
        </w:tc>
        <w:tc>
          <w:tcPr>
            <w:tcW w:w="1640" w:type="dxa"/>
            <w:vAlign w:val="bottom"/>
            <w:tcBorders>
              <w:bottom w:val="single" w:sz="8" w:color="auto"/>
              <w:right w:val="single" w:sz="8" w:color="auto"/>
            </w:tcBorders>
          </w:tcPr>
          <w:p>
            <w:pPr>
              <w:spacing w:after="0"/>
              <w:rPr>
                <w:sz w:val="22"/>
                <w:szCs w:val="22"/>
                <w:color w:val="auto"/>
              </w:rPr>
            </w:pPr>
          </w:p>
        </w:tc>
      </w:tr>
      <w:tr>
        <w:trPr>
          <w:trHeight w:val="241"/>
        </w:trPr>
        <w:tc>
          <w:tcPr>
            <w:tcW w:w="282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RS  applies  to  entire  entry</w:t>
            </w:r>
          </w:p>
        </w:tc>
        <w:tc>
          <w:tcPr>
            <w:tcW w:w="1640" w:type="dxa"/>
            <w:vAlign w:val="bottom"/>
            <w:tcBorders>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RS Column 1</w:t>
            </w:r>
          </w:p>
        </w:tc>
      </w:tr>
      <w:tr>
        <w:trPr>
          <w:trHeight w:val="255"/>
        </w:trPr>
        <w:tc>
          <w:tcPr>
            <w:tcW w:w="28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7A611.y</w:t>
            </w:r>
          </w:p>
        </w:tc>
        <w:tc>
          <w:tcPr>
            <w:tcW w:w="1640" w:type="dxa"/>
            <w:vAlign w:val="bottom"/>
            <w:tcBorders>
              <w:bottom w:val="single" w:sz="8" w:color="auto"/>
              <w:right w:val="single" w:sz="8" w:color="auto"/>
            </w:tcBorders>
          </w:tcPr>
          <w:p>
            <w:pPr>
              <w:spacing w:after="0"/>
              <w:rPr>
                <w:sz w:val="22"/>
                <w:szCs w:val="22"/>
                <w:color w:val="auto"/>
              </w:rPr>
            </w:pPr>
          </w:p>
        </w:tc>
      </w:tr>
    </w:tbl>
    <w:p>
      <w:pPr>
        <w:spacing w:after="0" w:line="200" w:lineRule="exact"/>
        <w:rPr>
          <w:sz w:val="20"/>
          <w:szCs w:val="20"/>
          <w:color w:val="auto"/>
        </w:rPr>
      </w:pPr>
    </w:p>
    <w:p>
      <w:pPr>
        <w:sectPr>
          <w:pgSz w:w="12240" w:h="15840" w:orient="portrait"/>
          <w:cols w:equalWidth="0" w:num="2">
            <w:col w:w="4400" w:space="720"/>
            <w:col w:w="4460"/>
          </w:cols>
          <w:pgMar w:left="1340" w:top="1437" w:right="1320" w:bottom="876" w:gutter="0" w:footer="0" w:header="0"/>
          <w:type w:val="continuous"/>
        </w:sectPr>
      </w:pPr>
    </w:p>
    <w:p>
      <w:pPr>
        <w:spacing w:after="0" w:line="129" w:lineRule="exact"/>
        <w:rPr>
          <w:sz w:val="20"/>
          <w:szCs w:val="20"/>
          <w:color w:val="auto"/>
        </w:rPr>
      </w:pPr>
    </w:p>
    <w:p>
      <w:pPr>
        <w:ind w:left="100"/>
        <w:spacing w:after="0"/>
        <w:tabs>
          <w:tab w:leader="none" w:pos="3520" w:val="left"/>
          <w:tab w:leader="none" w:pos="83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580"/>
          </w:cols>
          <w:pgMar w:left="1340" w:top="1437" w:right="1320" w:bottom="876" w:gutter="0" w:footer="0" w:header="0"/>
          <w:type w:val="continuous"/>
        </w:sectPr>
      </w:pPr>
    </w:p>
    <w:bookmarkStart w:id="11" w:name="page12"/>
    <w:bookmarkEnd w:id="11"/>
    <w:p>
      <w:pPr>
        <w:ind w:left="120"/>
        <w:spacing w:after="0"/>
        <w:tabs>
          <w:tab w:leader="none" w:pos="3660" w:val="left"/>
          <w:tab w:leader="none" w:pos="78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12</w:t>
      </w:r>
    </w:p>
    <w:p>
      <w:pPr>
        <w:sectPr>
          <w:pgSz w:w="12240" w:h="15840" w:orient="portrait"/>
          <w:cols w:equalWidth="0" w:num="1">
            <w:col w:w="9600"/>
          </w:cols>
          <w:pgMar w:left="1320" w:top="1437" w:right="1320" w:bottom="876" w:gutter="0" w:footer="0" w:header="0"/>
        </w:sectPr>
      </w:pPr>
    </w:p>
    <w:p>
      <w:pPr>
        <w:spacing w:after="0" w:line="258" w:lineRule="exact"/>
        <w:rPr>
          <w:sz w:val="20"/>
          <w:szCs w:val="20"/>
          <w:color w:val="auto"/>
        </w:rPr>
      </w:pPr>
    </w:p>
    <w:tbl>
      <w:tblPr>
        <w:tblLayout w:type="fixed"/>
        <w:tblInd w:w="10" w:type="dxa"/>
        <w:tblCellMar>
          <w:top w:w="0" w:type="dxa"/>
          <w:left w:w="0" w:type="dxa"/>
          <w:bottom w:w="0" w:type="dxa"/>
          <w:right w:w="0" w:type="dxa"/>
        </w:tblCellMar>
      </w:tblPr>
      <w:tr>
        <w:trPr>
          <w:trHeight w:val="262"/>
        </w:trPr>
        <w:tc>
          <w:tcPr>
            <w:tcW w:w="2840" w:type="dxa"/>
            <w:vAlign w:val="bottom"/>
            <w:tcBorders>
              <w:top w:val="single" w:sz="8" w:color="auto"/>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640" w:type="dxa"/>
            <w:vAlign w:val="bottom"/>
            <w:tcBorders>
              <w:top w:val="single" w:sz="8" w:color="auto"/>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AT Column 1</w:t>
            </w:r>
          </w:p>
        </w:tc>
      </w:tr>
      <w:tr>
        <w:trPr>
          <w:trHeight w:val="241"/>
        </w:trPr>
        <w:tc>
          <w:tcPr>
            <w:tcW w:w="2840" w:type="dxa"/>
            <w:vAlign w:val="bottom"/>
            <w:tcBorders>
              <w:left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UN  applies  to  entire  entry</w:t>
            </w:r>
          </w:p>
        </w:tc>
        <w:tc>
          <w:tcPr>
            <w:tcW w:w="1640" w:type="dxa"/>
            <w:vAlign w:val="bottom"/>
            <w:tcBorders>
              <w:right w:val="single" w:sz="8" w:color="auto"/>
            </w:tcBorders>
          </w:tcPr>
          <w:p>
            <w:pPr>
              <w:ind w:left="80"/>
              <w:spacing w:after="0" w:line="241" w:lineRule="exact"/>
              <w:rPr>
                <w:sz w:val="20"/>
                <w:szCs w:val="20"/>
                <w:color w:val="auto"/>
              </w:rPr>
            </w:pPr>
            <w:r>
              <w:rPr>
                <w:rFonts w:ascii="Times New Roman" w:cs="Times New Roman" w:eastAsia="Times New Roman" w:hAnsi="Times New Roman"/>
                <w:sz w:val="22"/>
                <w:szCs w:val="22"/>
                <w:color w:val="auto"/>
              </w:rPr>
              <w:t>See  § 746.1(b)</w:t>
            </w:r>
          </w:p>
        </w:tc>
      </w:tr>
      <w:tr>
        <w:trPr>
          <w:trHeight w:val="255"/>
        </w:trPr>
        <w:tc>
          <w:tcPr>
            <w:tcW w:w="284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7A611.y</w:t>
            </w:r>
          </w:p>
        </w:tc>
        <w:tc>
          <w:tcPr>
            <w:tcW w:w="164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for UN controls</w:t>
            </w:r>
          </w:p>
        </w:tc>
      </w:tr>
    </w:tbl>
    <w:p>
      <w:pPr>
        <w:spacing w:after="0" w:line="263" w:lineRule="exact"/>
        <w:rPr>
          <w:sz w:val="20"/>
          <w:szCs w:val="20"/>
          <w:color w:val="auto"/>
        </w:rPr>
      </w:pPr>
    </w:p>
    <w:p>
      <w:pPr>
        <w:jc w:val="both"/>
        <w:ind w:left="120" w:right="1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5" w:lineRule="exact"/>
        <w:rPr>
          <w:sz w:val="20"/>
          <w:szCs w:val="20"/>
          <w:color w:val="auto"/>
        </w:rPr>
      </w:pPr>
    </w:p>
    <w:p>
      <w:pPr>
        <w:ind w:left="5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$1500</w:t>
      </w:r>
    </w:p>
    <w:p>
      <w:pPr>
        <w:ind w:left="5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580"/>
        <w:spacing w:after="0"/>
        <w:tabs>
          <w:tab w:leader="none" w:pos="118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65" w:lineRule="exact"/>
        <w:rPr>
          <w:sz w:val="20"/>
          <w:szCs w:val="20"/>
          <w:color w:val="auto"/>
        </w:rPr>
      </w:pPr>
    </w:p>
    <w:p>
      <w:pPr>
        <w:jc w:val="both"/>
        <w:ind w:left="1200" w:right="120" w:hanging="619"/>
        <w:spacing w:after="0" w:line="236" w:lineRule="auto"/>
        <w:tabs>
          <w:tab w:leader="none" w:pos="1180" w:val="left"/>
        </w:tabs>
        <w:rPr>
          <w:sz w:val="20"/>
          <w:szCs w:val="20"/>
          <w:color w:val="auto"/>
        </w:rPr>
      </w:pPr>
      <w:r>
        <w:rPr>
          <w:rFonts w:ascii="Times New Roman" w:cs="Times New Roman" w:eastAsia="Times New Roman" w:hAnsi="Times New Roman"/>
          <w:sz w:val="22"/>
          <w:szCs w:val="22"/>
          <w:i w:val="1"/>
          <w:iCs w:val="1"/>
          <w:color w:val="auto"/>
        </w:rPr>
        <w:t>STA:</w:t>
      </w:r>
      <w:r>
        <w:rPr>
          <w:sz w:val="20"/>
          <w:szCs w:val="20"/>
          <w:color w:val="auto"/>
        </w:rPr>
        <w:tab/>
      </w:r>
      <w:r>
        <w:rPr>
          <w:rFonts w:ascii="Times New Roman" w:cs="Times New Roman" w:eastAsia="Times New Roman" w:hAnsi="Times New Roman"/>
          <w:sz w:val="22"/>
          <w:szCs w:val="22"/>
          <w:color w:val="auto"/>
        </w:rPr>
        <w:t>Paragraph (c)(2) of License Exception STA (§ 740.20(c)(2) of the EAR) may not be used for any item in 7A611.</w:t>
      </w:r>
    </w:p>
    <w:p>
      <w:pPr>
        <w:spacing w:after="0" w:line="24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300" w:right="100" w:hanging="179"/>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(1) Military fire control, laser, imaging, and guidance equipment that are enumerated in USML Category XII, and technical data (including software) directly related thereto, are subject to the ITAR. (2) See Related Controls in ECCNs 0A504, </w:t>
      </w:r>
      <w:r>
        <w:rPr>
          <w:rFonts w:ascii="Times New Roman" w:cs="Times New Roman" w:eastAsia="Times New Roman" w:hAnsi="Times New Roman"/>
          <w:sz w:val="22"/>
          <w:szCs w:val="22"/>
          <w:u w:val="single" w:color="auto"/>
          <w:color w:val="0000FF"/>
        </w:rPr>
        <w:t>2A984</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6A002</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6A003</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6A004</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6A005</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6A007</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6A008</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6A107</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7A001</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7A002</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7A003</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7A005</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7A101</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7A102</w:t>
      </w:r>
      <w:r>
        <w:rPr>
          <w:rFonts w:ascii="Times New Roman" w:cs="Times New Roman" w:eastAsia="Times New Roman" w:hAnsi="Times New Roman"/>
          <w:sz w:val="22"/>
          <w:szCs w:val="22"/>
          <w:color w:val="000000"/>
        </w:rPr>
        <w:t>, 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7A103</w:t>
      </w:r>
      <w:r>
        <w:rPr>
          <w:rFonts w:ascii="Times New Roman" w:cs="Times New Roman" w:eastAsia="Times New Roman" w:hAnsi="Times New Roman"/>
          <w:sz w:val="22"/>
          <w:szCs w:val="22"/>
          <w:color w:val="000000"/>
        </w:rPr>
        <w:t>.</w:t>
      </w:r>
    </w:p>
    <w:p>
      <w:pPr>
        <w:spacing w:after="0" w:line="19" w:lineRule="exact"/>
        <w:rPr>
          <w:sz w:val="20"/>
          <w:szCs w:val="20"/>
          <w:color w:val="auto"/>
        </w:rPr>
      </w:pPr>
    </w:p>
    <w:p>
      <w:pPr>
        <w:jc w:val="both"/>
        <w:ind w:left="300" w:right="120"/>
        <w:spacing w:after="0" w:line="234" w:lineRule="auto"/>
        <w:tabs>
          <w:tab w:leader="none" w:pos="649"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ECCN 3A611 and USML Category XI for controls on countermeasure</w:t>
      </w:r>
    </w:p>
    <w:p>
      <w:pPr>
        <w:spacing w:after="0" w:line="13" w:lineRule="exact"/>
        <w:rPr>
          <w:rFonts w:ascii="Times New Roman" w:cs="Times New Roman" w:eastAsia="Times New Roman" w:hAnsi="Times New Roman"/>
          <w:sz w:val="22"/>
          <w:szCs w:val="22"/>
          <w:color w:val="auto"/>
        </w:rPr>
      </w:pPr>
    </w:p>
    <w:p>
      <w:pPr>
        <w:jc w:val="both"/>
        <w:ind w:left="300" w:right="10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equipment. (4) See ECCN </w:t>
      </w:r>
      <w:r>
        <w:rPr>
          <w:rFonts w:ascii="Times New Roman" w:cs="Times New Roman" w:eastAsia="Times New Roman" w:hAnsi="Times New Roman"/>
          <w:sz w:val="22"/>
          <w:szCs w:val="22"/>
          <w:u w:val="single" w:color="auto"/>
          <w:color w:val="0000FF"/>
        </w:rPr>
        <w:t>0A919</w:t>
      </w:r>
      <w:r>
        <w:rPr>
          <w:rFonts w:ascii="Times New Roman" w:cs="Times New Roman" w:eastAsia="Times New Roman" w:hAnsi="Times New Roman"/>
          <w:sz w:val="22"/>
          <w:szCs w:val="22"/>
          <w:color w:val="auto"/>
        </w:rPr>
        <w:t xml:space="preserve"> for foreign-made “military commodities” that incorporate more than a </w:t>
      </w:r>
      <w:r>
        <w:rPr>
          <w:rFonts w:ascii="Times New Roman" w:cs="Times New Roman" w:eastAsia="Times New Roman" w:hAnsi="Times New Roman"/>
          <w:sz w:val="22"/>
          <w:szCs w:val="22"/>
          <w:i w:val="1"/>
          <w:iCs w:val="1"/>
          <w:color w:val="auto"/>
        </w:rPr>
        <w:t>de minimis</w:t>
      </w:r>
      <w:r>
        <w:rPr>
          <w:rFonts w:ascii="Times New Roman" w:cs="Times New Roman" w:eastAsia="Times New Roman" w:hAnsi="Times New Roman"/>
          <w:sz w:val="22"/>
          <w:szCs w:val="22"/>
          <w:color w:val="auto"/>
        </w:rPr>
        <w:t xml:space="preserve"> amount of U.S. origin “600 series” controlled content.</w:t>
      </w:r>
    </w:p>
    <w:p>
      <w:pPr>
        <w:spacing w:after="0" w:line="240"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12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left="120" w:right="120"/>
        <w:spacing w:after="0" w:line="236" w:lineRule="auto"/>
        <w:rPr>
          <w:sz w:val="20"/>
          <w:szCs w:val="20"/>
          <w:color w:val="auto"/>
        </w:rPr>
      </w:pPr>
      <w:r>
        <w:rPr>
          <w:rFonts w:ascii="Times New Roman" w:cs="Times New Roman" w:eastAsia="Times New Roman" w:hAnsi="Times New Roman"/>
          <w:sz w:val="22"/>
          <w:szCs w:val="22"/>
          <w:color w:val="auto"/>
        </w:rPr>
        <w:t>a. Guidance or navigation systems, not elsewhere specified on the USML, that are “specially designed” for a defense article on the USML or for a 600 series item.</w:t>
      </w:r>
    </w:p>
    <w:p>
      <w:pPr>
        <w:spacing w:after="0" w:line="244"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color w:val="auto"/>
        </w:rPr>
        <w:t>b. to w. [Reserved]</w:t>
      </w:r>
    </w:p>
    <w:p>
      <w:pPr>
        <w:spacing w:after="0" w:line="20" w:lineRule="exact"/>
        <w:rPr>
          <w:sz w:val="20"/>
          <w:szCs w:val="20"/>
          <w:color w:val="auto"/>
        </w:rPr>
      </w:pPr>
      <w:r>
        <w:rPr>
          <w:sz w:val="20"/>
          <w:szCs w:val="20"/>
          <w:color w:val="auto"/>
        </w:rPr>
        <w:br w:type="column"/>
      </w:r>
    </w:p>
    <w:p>
      <w:pPr>
        <w:spacing w:after="0" w:line="267" w:lineRule="exact"/>
        <w:rPr>
          <w:sz w:val="20"/>
          <w:szCs w:val="20"/>
          <w:color w:val="auto"/>
        </w:rPr>
      </w:pPr>
    </w:p>
    <w:p>
      <w:pPr>
        <w:jc w:val="both"/>
        <w:ind w:left="120" w:right="120"/>
        <w:spacing w:after="0" w:line="238" w:lineRule="auto"/>
        <w:rPr>
          <w:sz w:val="20"/>
          <w:szCs w:val="20"/>
          <w:color w:val="auto"/>
        </w:rPr>
      </w:pPr>
      <w:r>
        <w:rPr>
          <w:rFonts w:ascii="Times New Roman" w:cs="Times New Roman" w:eastAsia="Times New Roman" w:hAnsi="Times New Roman"/>
          <w:sz w:val="22"/>
          <w:szCs w:val="22"/>
          <w:color w:val="auto"/>
        </w:rPr>
        <w:t>x. “Parts,” “components,” “accessories,” and “attachments,” including accelerometers, gyros, angular rate sensors, gravity meters (gravimeters), and inertial measurement units (IMUs), that are “specially designed” for defense articles controlled by USML Category XII or items controlled by 7A611, and that are NOT:</w:t>
      </w:r>
    </w:p>
    <w:p>
      <w:pPr>
        <w:spacing w:after="0" w:line="258" w:lineRule="exact"/>
        <w:rPr>
          <w:sz w:val="20"/>
          <w:szCs w:val="20"/>
          <w:color w:val="auto"/>
        </w:rPr>
      </w:pPr>
    </w:p>
    <w:p>
      <w:pPr>
        <w:ind w:left="120" w:right="120" w:hanging="9"/>
        <w:spacing w:after="0" w:line="234" w:lineRule="auto"/>
        <w:tabs>
          <w:tab w:leader="none" w:pos="385"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Enumerated or controlled in the USML or elsewhere within ECCN 7A611;</w:t>
      </w:r>
    </w:p>
    <w:p>
      <w:pPr>
        <w:spacing w:after="0" w:line="251" w:lineRule="exact"/>
        <w:rPr>
          <w:rFonts w:ascii="Times New Roman" w:cs="Times New Roman" w:eastAsia="Times New Roman" w:hAnsi="Times New Roman"/>
          <w:sz w:val="22"/>
          <w:szCs w:val="22"/>
          <w:color w:val="auto"/>
        </w:rPr>
      </w:pPr>
    </w:p>
    <w:p>
      <w:pPr>
        <w:ind w:left="120" w:right="120" w:hanging="9"/>
        <w:spacing w:after="0" w:line="234" w:lineRule="auto"/>
        <w:tabs>
          <w:tab w:leader="none" w:pos="347"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Described in ECCNs 6A007, 6A107, 7A001, 7A002, 7A003, 7A101, 7A102 or 7A103; or</w:t>
      </w:r>
    </w:p>
    <w:p>
      <w:pPr>
        <w:spacing w:after="0" w:line="253" w:lineRule="exact"/>
        <w:rPr>
          <w:rFonts w:ascii="Times New Roman" w:cs="Times New Roman" w:eastAsia="Times New Roman" w:hAnsi="Times New Roman"/>
          <w:sz w:val="22"/>
          <w:szCs w:val="22"/>
          <w:color w:val="auto"/>
        </w:rPr>
      </w:pPr>
    </w:p>
    <w:p>
      <w:pPr>
        <w:ind w:left="120" w:right="120" w:hanging="9"/>
        <w:spacing w:after="0" w:line="234" w:lineRule="auto"/>
        <w:tabs>
          <w:tab w:leader="none" w:pos="394"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Elsewhere specified in ECCN 7A611.y or 3A611.y.</w:t>
      </w:r>
    </w:p>
    <w:p>
      <w:pPr>
        <w:spacing w:after="0" w:line="241" w:lineRule="exact"/>
        <w:rPr>
          <w:sz w:val="20"/>
          <w:szCs w:val="20"/>
          <w:color w:val="auto"/>
        </w:rPr>
      </w:pPr>
    </w:p>
    <w:p>
      <w:pPr>
        <w:ind w:left="120"/>
        <w:spacing w:after="0"/>
        <w:tabs>
          <w:tab w:leader="none" w:pos="700" w:val="left"/>
          <w:tab w:leader="none" w:pos="1880" w:val="left"/>
          <w:tab w:leader="none" w:pos="3000" w:val="left"/>
        </w:tabs>
        <w:rPr>
          <w:sz w:val="20"/>
          <w:szCs w:val="20"/>
          <w:color w:val="auto"/>
        </w:rPr>
      </w:pPr>
      <w:r>
        <w:rPr>
          <w:rFonts w:ascii="Times New Roman" w:cs="Times New Roman" w:eastAsia="Times New Roman" w:hAnsi="Times New Roman"/>
          <w:sz w:val="22"/>
          <w:szCs w:val="22"/>
          <w:color w:val="auto"/>
        </w:rPr>
        <w:t>y.</w:t>
      </w:r>
      <w:r>
        <w:rPr>
          <w:sz w:val="20"/>
          <w:szCs w:val="20"/>
          <w:color w:val="auto"/>
        </w:rPr>
        <w:tab/>
      </w:r>
      <w:r>
        <w:rPr>
          <w:rFonts w:ascii="Times New Roman" w:cs="Times New Roman" w:eastAsia="Times New Roman" w:hAnsi="Times New Roman"/>
          <w:sz w:val="22"/>
          <w:szCs w:val="22"/>
          <w:color w:val="auto"/>
        </w:rPr>
        <w:t>Specific</w:t>
      </w:r>
      <w:r>
        <w:rPr>
          <w:sz w:val="20"/>
          <w:szCs w:val="20"/>
          <w:color w:val="auto"/>
        </w:rPr>
        <w:tab/>
      </w:r>
      <w:r>
        <w:rPr>
          <w:rFonts w:ascii="Times New Roman" w:cs="Times New Roman" w:eastAsia="Times New Roman" w:hAnsi="Times New Roman"/>
          <w:sz w:val="22"/>
          <w:szCs w:val="22"/>
          <w:color w:val="auto"/>
        </w:rPr>
        <w:t>“parts,”</w:t>
      </w:r>
      <w:r>
        <w:rPr>
          <w:sz w:val="20"/>
          <w:szCs w:val="20"/>
          <w:color w:val="auto"/>
        </w:rPr>
        <w:tab/>
      </w:r>
      <w:r>
        <w:rPr>
          <w:rFonts w:ascii="Times New Roman" w:cs="Times New Roman" w:eastAsia="Times New Roman" w:hAnsi="Times New Roman"/>
          <w:sz w:val="22"/>
          <w:szCs w:val="22"/>
          <w:color w:val="auto"/>
        </w:rPr>
        <w:t>“components,”</w:t>
      </w:r>
    </w:p>
    <w:p>
      <w:pPr>
        <w:spacing w:after="0" w:line="13" w:lineRule="exact"/>
        <w:rPr>
          <w:sz w:val="20"/>
          <w:szCs w:val="20"/>
          <w:color w:val="auto"/>
        </w:rPr>
      </w:pPr>
    </w:p>
    <w:p>
      <w:pPr>
        <w:jc w:val="both"/>
        <w:ind w:left="120" w:right="120"/>
        <w:spacing w:after="0" w:line="237" w:lineRule="auto"/>
        <w:rPr>
          <w:sz w:val="20"/>
          <w:szCs w:val="20"/>
          <w:color w:val="auto"/>
        </w:rPr>
      </w:pPr>
      <w:r>
        <w:rPr>
          <w:rFonts w:ascii="Times New Roman" w:cs="Times New Roman" w:eastAsia="Times New Roman" w:hAnsi="Times New Roman"/>
          <w:sz w:val="22"/>
          <w:szCs w:val="22"/>
          <w:color w:val="auto"/>
        </w:rPr>
        <w:t>“accessories,” and “attachments” “specially designed” for a commodity subject to control in this ECCN or a defense article in Category XII and not elsewhere specified on the USML or in the CCL, as follows, and “parts,”</w:t>
      </w:r>
    </w:p>
    <w:p>
      <w:pPr>
        <w:spacing w:after="0" w:line="16" w:lineRule="exact"/>
        <w:rPr>
          <w:sz w:val="20"/>
          <w:szCs w:val="20"/>
          <w:color w:val="auto"/>
        </w:rPr>
      </w:pPr>
    </w:p>
    <w:p>
      <w:pPr>
        <w:jc w:val="both"/>
        <w:ind w:left="120" w:right="120"/>
        <w:spacing w:after="0" w:line="234" w:lineRule="auto"/>
        <w:rPr>
          <w:sz w:val="20"/>
          <w:szCs w:val="20"/>
          <w:color w:val="auto"/>
        </w:rPr>
      </w:pPr>
      <w:r>
        <w:rPr>
          <w:rFonts w:ascii="Times New Roman" w:cs="Times New Roman" w:eastAsia="Times New Roman" w:hAnsi="Times New Roman"/>
          <w:sz w:val="22"/>
          <w:szCs w:val="22"/>
          <w:color w:val="auto"/>
        </w:rPr>
        <w:t>“components,” “accessories,” and “attachments” “specially designed” therefor:</w:t>
      </w:r>
    </w:p>
    <w:p>
      <w:pPr>
        <w:spacing w:after="0" w:line="240" w:lineRule="exact"/>
        <w:rPr>
          <w:sz w:val="20"/>
          <w:szCs w:val="20"/>
          <w:color w:val="auto"/>
        </w:rPr>
      </w:pPr>
    </w:p>
    <w:p>
      <w:pPr>
        <w:ind w:left="300"/>
        <w:spacing w:after="0"/>
        <w:rPr>
          <w:sz w:val="20"/>
          <w:szCs w:val="20"/>
          <w:color w:val="auto"/>
        </w:rPr>
      </w:pPr>
      <w:r>
        <w:rPr>
          <w:rFonts w:ascii="Times New Roman" w:cs="Times New Roman" w:eastAsia="Times New Roman" w:hAnsi="Times New Roman"/>
          <w:sz w:val="22"/>
          <w:szCs w:val="22"/>
          <w:color w:val="auto"/>
        </w:rPr>
        <w:t>y.1 [Reserved]</w:t>
      </w:r>
    </w:p>
    <w:p>
      <w:pPr>
        <w:spacing w:after="0" w:line="200" w:lineRule="exact"/>
        <w:rPr>
          <w:sz w:val="20"/>
          <w:szCs w:val="20"/>
          <w:color w:val="auto"/>
        </w:rPr>
      </w:pPr>
    </w:p>
    <w:p>
      <w:pPr>
        <w:spacing w:after="0" w:line="295" w:lineRule="exact"/>
        <w:rPr>
          <w:sz w:val="20"/>
          <w:szCs w:val="20"/>
          <w:color w:val="auto"/>
        </w:rPr>
      </w:pPr>
    </w:p>
    <w:p>
      <w:pPr>
        <w:ind w:left="120"/>
        <w:spacing w:after="0"/>
        <w:tabs>
          <w:tab w:leader="none" w:pos="920" w:val="left"/>
        </w:tabs>
        <w:rPr>
          <w:sz w:val="20"/>
          <w:szCs w:val="20"/>
          <w:color w:val="auto"/>
        </w:rPr>
      </w:pPr>
      <w:r>
        <w:rPr>
          <w:rFonts w:ascii="Times New Roman" w:cs="Times New Roman" w:eastAsia="Times New Roman" w:hAnsi="Times New Roman"/>
          <w:sz w:val="22"/>
          <w:szCs w:val="22"/>
          <w:b w:val="1"/>
          <w:bCs w:val="1"/>
          <w:color w:val="auto"/>
        </w:rPr>
        <w:t>7A994</w:t>
        <w:tab/>
        <w:t>Other navigation direction finding</w:t>
      </w:r>
    </w:p>
    <w:p>
      <w:pPr>
        <w:spacing w:after="0" w:line="13" w:lineRule="exact"/>
        <w:rPr>
          <w:sz w:val="20"/>
          <w:szCs w:val="20"/>
          <w:color w:val="auto"/>
        </w:rPr>
      </w:pPr>
    </w:p>
    <w:p>
      <w:pPr>
        <w:jc w:val="both"/>
        <w:ind w:left="120" w:right="120"/>
        <w:spacing w:after="0" w:line="237" w:lineRule="auto"/>
        <w:rPr>
          <w:sz w:val="20"/>
          <w:szCs w:val="20"/>
          <w:color w:val="auto"/>
        </w:rPr>
      </w:pPr>
      <w:r>
        <w:rPr>
          <w:rFonts w:ascii="Times New Roman" w:cs="Times New Roman" w:eastAsia="Times New Roman" w:hAnsi="Times New Roman"/>
          <w:sz w:val="22"/>
          <w:szCs w:val="22"/>
          <w:b w:val="1"/>
          <w:bCs w:val="1"/>
          <w:color w:val="auto"/>
        </w:rPr>
        <w:t>equipment, airborne communication equipment, all aircraft inertial navigation systems not controlled under 7A003 or 7A103, and other avionic equipment, including “parts” and “components,” n.e.s.</w:t>
      </w:r>
    </w:p>
    <w:p>
      <w:pPr>
        <w:spacing w:after="0" w:line="25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640" w:type="dxa"/>
            <w:vAlign w:val="bottom"/>
            <w:tcBorders>
              <w:top w:val="single" w:sz="8" w:color="auto"/>
              <w:left w:val="single" w:sz="8" w:color="auto"/>
              <w:right w:val="single" w:sz="8" w:color="auto"/>
            </w:tcBorders>
          </w:tcPr>
          <w:p>
            <w:pPr>
              <w:spacing w:after="0"/>
              <w:rPr>
                <w:sz w:val="22"/>
                <w:szCs w:val="22"/>
                <w:color w:val="auto"/>
              </w:rPr>
            </w:pPr>
          </w:p>
        </w:tc>
        <w:tc>
          <w:tcPr>
            <w:tcW w:w="18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4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640" w:type="dxa"/>
            <w:vAlign w:val="bottom"/>
            <w:tcBorders>
              <w:left w:val="single" w:sz="8" w:color="auto"/>
              <w:bottom w:val="single" w:sz="8" w:color="auto"/>
              <w:right w:val="single" w:sz="8" w:color="auto"/>
            </w:tcBorders>
          </w:tcPr>
          <w:p>
            <w:pPr>
              <w:spacing w:after="0"/>
              <w:rPr>
                <w:sz w:val="22"/>
                <w:szCs w:val="22"/>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2"/>
        </w:trPr>
        <w:tc>
          <w:tcPr>
            <w:tcW w:w="2640" w:type="dxa"/>
            <w:vAlign w:val="bottom"/>
            <w:tcBorders>
              <w:left w:val="single" w:sz="8" w:color="auto"/>
              <w:bottom w:val="single" w:sz="8" w:color="auto"/>
              <w:right w:val="single" w:sz="8" w:color="auto"/>
            </w:tcBorders>
          </w:tcPr>
          <w:p>
            <w:pPr>
              <w:ind w:left="1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23" w:lineRule="exact"/>
        <w:rPr>
          <w:sz w:val="20"/>
          <w:szCs w:val="20"/>
          <w:color w:val="auto"/>
        </w:rPr>
      </w:pPr>
    </w:p>
    <w:p>
      <w:pPr>
        <w:sectPr>
          <w:pgSz w:w="12240" w:h="15840" w:orient="portrait"/>
          <w:cols w:equalWidth="0" w:num="2">
            <w:col w:w="4460" w:space="680"/>
            <w:col w:w="4460"/>
          </w:cols>
          <w:pgMar w:left="1320" w:top="1437" w:right="1320" w:bottom="876"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p>
      <w:pPr>
        <w:ind w:left="120"/>
        <w:spacing w:after="0"/>
        <w:tabs>
          <w:tab w:leader="none" w:pos="3540" w:val="left"/>
          <w:tab w:leader="none" w:pos="836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600"/>
          </w:cols>
          <w:pgMar w:left="1320" w:top="1437" w:right="1320" w:bottom="876" w:gutter="0" w:footer="0" w:header="0"/>
          <w:type w:val="continuous"/>
        </w:sectPr>
      </w:pPr>
    </w:p>
    <w:bookmarkStart w:id="12" w:name="page13"/>
    <w:bookmarkEnd w:id="12"/>
    <w:p>
      <w:pPr>
        <w:ind w:left="100"/>
        <w:spacing w:after="0"/>
        <w:tabs>
          <w:tab w:leader="none" w:pos="3640" w:val="left"/>
          <w:tab w:leader="none" w:pos="78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7—page 13</w:t>
      </w:r>
    </w:p>
    <w:p>
      <w:pPr>
        <w:sectPr>
          <w:pgSz w:w="12240" w:h="15840" w:orient="portrait"/>
          <w:cols w:equalWidth="0" w:num="1">
            <w:col w:w="9460"/>
          </w:cols>
          <w:pgMar w:left="1340" w:top="1437" w:right="1440" w:bottom="876" w:gutter="0" w:footer="0" w:header="0"/>
        </w:sectPr>
      </w:pPr>
    </w:p>
    <w:p>
      <w:pPr>
        <w:spacing w:after="0" w:line="288" w:lineRule="exact"/>
        <w:rPr>
          <w:sz w:val="20"/>
          <w:szCs w:val="20"/>
          <w:color w:val="auto"/>
        </w:rPr>
      </w:pPr>
    </w:p>
    <w:p>
      <w:pPr>
        <w:jc w:val="both"/>
        <w:ind w:left="100" w:right="20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License Requirement Notes: </w:t>
      </w:r>
      <w:r>
        <w:rPr>
          <w:rFonts w:ascii="Times New Roman" w:cs="Times New Roman" w:eastAsia="Times New Roman" w:hAnsi="Times New Roman"/>
          <w:sz w:val="22"/>
          <w:szCs w:val="22"/>
          <w:i w:val="1"/>
          <w:iCs w:val="1"/>
          <w:color w:val="auto"/>
        </w:rPr>
        <w:t>Typically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commercially available GPS do not employ decryption or adaptive antenna and are classified as 7A994.</w:t>
      </w:r>
    </w:p>
    <w:p>
      <w:pPr>
        <w:spacing w:after="0" w:line="265" w:lineRule="exact"/>
        <w:rPr>
          <w:sz w:val="20"/>
          <w:szCs w:val="20"/>
          <w:color w:val="auto"/>
        </w:rPr>
      </w:pPr>
    </w:p>
    <w:p>
      <w:pPr>
        <w:jc w:val="both"/>
        <w:ind w:left="100" w:right="20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460" w:right="40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7A005</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7A105</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jc w:val="both"/>
        <w:ind w:left="100" w:right="20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ind w:left="640" w:right="740" w:firstLine="134"/>
        <w:spacing w:after="0" w:line="234" w:lineRule="auto"/>
        <w:tabs>
          <w:tab w:leader="none" w:pos="1078" w:val="left"/>
        </w:tabs>
        <w:numPr>
          <w:ilvl w:val="0"/>
          <w:numId w:val="21"/>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TEST, INSPECTION AND “PRODUCTION EQUIPMENT”</w:t>
      </w:r>
    </w:p>
    <w:p>
      <w:pPr>
        <w:spacing w:after="0" w:line="200" w:lineRule="exact"/>
        <w:rPr>
          <w:sz w:val="20"/>
          <w:szCs w:val="20"/>
          <w:color w:val="auto"/>
        </w:rPr>
      </w:pPr>
    </w:p>
    <w:p>
      <w:pPr>
        <w:spacing w:after="0" w:line="319" w:lineRule="exact"/>
        <w:rPr>
          <w:sz w:val="20"/>
          <w:szCs w:val="20"/>
          <w:color w:val="auto"/>
        </w:rPr>
      </w:pPr>
    </w:p>
    <w:p>
      <w:pPr>
        <w:jc w:val="both"/>
        <w:ind w:left="100" w:right="180"/>
        <w:spacing w:after="0" w:line="236" w:lineRule="auto"/>
        <w:rPr>
          <w:sz w:val="20"/>
          <w:szCs w:val="20"/>
          <w:color w:val="auto"/>
        </w:rPr>
      </w:pPr>
      <w:r>
        <w:rPr>
          <w:rFonts w:ascii="Times New Roman" w:cs="Times New Roman" w:eastAsia="Times New Roman" w:hAnsi="Times New Roman"/>
          <w:sz w:val="22"/>
          <w:szCs w:val="22"/>
          <w:b w:val="1"/>
          <w:bCs w:val="1"/>
          <w:color w:val="auto"/>
        </w:rPr>
        <w:t>7B001 Test, calibration or alignment equipment, “specially designed” for equipment controlled by 7A (except 7A994).</w:t>
      </w:r>
    </w:p>
    <w:p>
      <w:pPr>
        <w:spacing w:after="0" w:line="254"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4"/>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2"/>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NS applies to entire entry</w:t>
            </w:r>
          </w:p>
        </w:tc>
        <w:tc>
          <w:tcPr>
            <w:tcW w:w="180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1800" w:type="dxa"/>
            <w:vAlign w:val="bottom"/>
            <w:tcBorders>
              <w:bottom w:val="single" w:sz="8" w:color="auto"/>
              <w:right w:val="single" w:sz="8" w:color="auto"/>
            </w:tcBorders>
          </w:tcPr>
          <w:p>
            <w:pPr>
              <w:ind w:left="100"/>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left="100" w:right="20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254" w:lineRule="exact"/>
        <w:rPr>
          <w:sz w:val="20"/>
          <w:szCs w:val="20"/>
          <w:color w:val="auto"/>
        </w:rPr>
      </w:pP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LVS: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GBS:</w:t>
      </w:r>
      <w:r>
        <w:rPr>
          <w:sz w:val="20"/>
          <w:szCs w:val="20"/>
          <w:color w:val="auto"/>
        </w:rPr>
        <w:tab/>
      </w:r>
      <w:r>
        <w:rPr>
          <w:rFonts w:ascii="Times New Roman" w:cs="Times New Roman" w:eastAsia="Times New Roman" w:hAnsi="Times New Roman"/>
          <w:sz w:val="22"/>
          <w:szCs w:val="22"/>
          <w:color w:val="auto"/>
        </w:rPr>
        <w:t>N/A</w:t>
      </w:r>
    </w:p>
    <w:p>
      <w:pPr>
        <w:ind w:left="460"/>
        <w:spacing w:after="0"/>
        <w:tabs>
          <w:tab w:leader="none" w:pos="11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0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7B101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7B102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7B994</w:t>
      </w:r>
      <w:r>
        <w:rPr>
          <w:rFonts w:ascii="Times New Roman" w:cs="Times New Roman" w:eastAsia="Times New Roman" w:hAnsi="Times New Roman"/>
          <w:sz w:val="22"/>
          <w:szCs w:val="22"/>
          <w:color w:val="000000"/>
        </w:rPr>
        <w:t>. (2) This entry does not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 test, calibration or alignment equipment for ‘Maintenance level I’ or ‘Maintenance Level II’.</w:t>
      </w:r>
    </w:p>
    <w:p>
      <w:pPr>
        <w:spacing w:after="0" w:line="16"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 (1) ‘Maintenance Level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 The failure of an inertial navigation unit is detected on the “aircraft” by indications from the Control and Display Unit (CDU) or by the status message from the corresponding sub-system. By following the manufacturer’s manual, the cause of the failure may be localized at the level of the malfunctioning Line Replaceable Unit (LRU). The operator then removes the LRU and replaces it with a spare. (2) ‘Maintenance Level II’: The defective LRU is sent to the maintenance workshop (the manufacturer’s or that of the operator responsible for level II maintenance). At</w:t>
      </w:r>
    </w:p>
    <w:p>
      <w:pPr>
        <w:spacing w:after="0" w:line="16"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the maintenance workshop, the malfunctioning LRU is tested by various appropriate means to verify and localize the defective Shop Replaceable Assembly (SRA) module responsible for the failure. This SRA is removed and replaced by an operative spare. The defective SRA (or possibly the complete LRU) is then shipped to the manufacturer. ‘Maintenance Level II’ does not include the disassembly or repair of controlled accelerometers or gyro sensors.</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1"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b w:val="1"/>
          <w:bCs w:val="1"/>
          <w:color w:val="auto"/>
        </w:rPr>
        <w:t>7B002 Equipment “specially designed” to characterize mirrors for ring “laser” gyros,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502" w:lineRule="exact"/>
        <w:rPr>
          <w:sz w:val="20"/>
          <w:szCs w:val="20"/>
          <w:color w:val="auto"/>
        </w:rPr>
      </w:pPr>
    </w:p>
    <w:p>
      <w:pPr>
        <w:sectPr>
          <w:pgSz w:w="12240" w:h="15840" w:orient="portrait"/>
          <w:cols w:equalWidth="0" w:num="2">
            <w:col w:w="4520" w:space="720"/>
            <w:col w:w="4220"/>
          </w:cols>
          <w:pgMar w:left="1340" w:top="1437" w:right="1440" w:bottom="876" w:gutter="0" w:footer="0" w:header="0"/>
          <w:type w:val="continuous"/>
        </w:sectPr>
      </w:pPr>
    </w:p>
    <w:p>
      <w:pPr>
        <w:spacing w:after="0" w:line="132" w:lineRule="exact"/>
        <w:rPr>
          <w:sz w:val="20"/>
          <w:szCs w:val="20"/>
          <w:color w:val="auto"/>
        </w:rPr>
      </w:pPr>
    </w:p>
    <w:p>
      <w:pPr>
        <w:ind w:left="100"/>
        <w:spacing w:after="0"/>
        <w:tabs>
          <w:tab w:leader="none" w:pos="3520" w:val="left"/>
          <w:tab w:leader="none" w:pos="83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sectPr>
      <w:pgSz w:w="12240" w:h="15840" w:orient="portrait"/>
      <w:cols w:equalWidth="0" w:num="1">
        <w:col w:w="9460"/>
      </w:cols>
      <w:pgMar w:left="1340" w:top="1437" w:right="1440" w:bottom="876"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1F16E9E8"/>
    <w:multiLevelType w:val="hybridMultilevel"/>
    <w:lvl w:ilvl="0">
      <w:lvlJc w:val="left"/>
      <w:lvlText w:val="%1."/>
      <w:numFmt w:val="upperLetter"/>
      <w:start w:val="1"/>
    </w:lvl>
  </w:abstractNum>
  <w:abstractNum w:abstractNumId="1">
    <w:nsid w:val="1190CDE7"/>
    <w:multiLevelType w:val="hybridMultilevel"/>
    <w:lvl w:ilvl="0">
      <w:lvlJc w:val="left"/>
      <w:lvlText w:val="%1."/>
      <w:numFmt w:val="lowerLetter"/>
      <w:start w:val="1"/>
    </w:lvl>
  </w:abstractNum>
  <w:abstractNum w:abstractNumId="2">
    <w:nsid w:val="66EF438D"/>
    <w:multiLevelType w:val="hybridMultilevel"/>
    <w:lvl w:ilvl="0">
      <w:lvlJc w:val="left"/>
      <w:lvlText w:val="%1."/>
      <w:numFmt w:val="lowerLetter"/>
      <w:start w:val="1"/>
    </w:lvl>
  </w:abstractNum>
  <w:abstractNum w:abstractNumId="3">
    <w:nsid w:val="140E0F76"/>
    <w:multiLevelType w:val="hybridMultilevel"/>
    <w:lvl w:ilvl="0">
      <w:lvlJc w:val="left"/>
      <w:lvlText w:val="-"/>
      <w:numFmt w:val="bullet"/>
      <w:start w:val="1"/>
    </w:lvl>
  </w:abstractNum>
  <w:abstractNum w:abstractNumId="4">
    <w:nsid w:val="3352255A"/>
    <w:multiLevelType w:val="hybridMultilevel"/>
    <w:lvl w:ilvl="0">
      <w:lvlJc w:val="left"/>
      <w:lvlText w:val="-"/>
      <w:numFmt w:val="bullet"/>
      <w:start w:val="1"/>
    </w:lvl>
  </w:abstractNum>
  <w:abstractNum w:abstractNumId="5">
    <w:nsid w:val="109CF92E"/>
    <w:multiLevelType w:val="hybridMultilevel"/>
    <w:lvl w:ilvl="0">
      <w:lvlJc w:val="left"/>
      <w:lvlText w:val="%1."/>
      <w:numFmt w:val="lowerLetter"/>
      <w:start w:val="1"/>
    </w:lvl>
  </w:abstractNum>
  <w:abstractNum w:abstractNumId="6">
    <w:nsid w:val="DED7263"/>
    <w:multiLevelType w:val="hybridMultilevel"/>
    <w:lvl w:ilvl="0">
      <w:lvlJc w:val="left"/>
      <w:lvlText w:val="%1."/>
      <w:numFmt w:val="lowerLetter"/>
      <w:start w:val="2"/>
    </w:lvl>
  </w:abstractNum>
  <w:abstractNum w:abstractNumId="7">
    <w:nsid w:val="7FDCC233"/>
    <w:multiLevelType w:val="hybridMultilevel"/>
    <w:lvl w:ilvl="0">
      <w:lvlJc w:val="left"/>
      <w:lvlText w:val="%1."/>
      <w:numFmt w:val="lowerLetter"/>
      <w:start w:val="3"/>
    </w:lvl>
  </w:abstractNum>
  <w:abstractNum w:abstractNumId="8">
    <w:nsid w:val="1BEFD79F"/>
    <w:multiLevelType w:val="hybridMultilevel"/>
    <w:lvl w:ilvl="0">
      <w:lvlJc w:val="left"/>
      <w:lvlText w:val="%1."/>
      <w:numFmt w:val="lowerLetter"/>
      <w:start w:val="1"/>
    </w:lvl>
  </w:abstractNum>
  <w:abstractNum w:abstractNumId="9">
    <w:nsid w:val="41A7C4C9"/>
    <w:multiLevelType w:val="hybridMultilevel"/>
    <w:lvl w:ilvl="0">
      <w:lvlJc w:val="left"/>
      <w:lvlText w:val="%1."/>
      <w:numFmt w:val="lowerLetter"/>
      <w:start w:val="2"/>
    </w:lvl>
  </w:abstractNum>
  <w:abstractNum w:abstractNumId="10">
    <w:nsid w:val="6B68079A"/>
    <w:multiLevelType w:val="hybridMultilevel"/>
    <w:lvl w:ilvl="0">
      <w:lvlJc w:val="left"/>
      <w:lvlText w:val="%1."/>
      <w:numFmt w:val="lowerLetter"/>
      <w:start w:val="1"/>
    </w:lvl>
  </w:abstractNum>
  <w:abstractNum w:abstractNumId="11">
    <w:nsid w:val="4E6AFB66"/>
    <w:multiLevelType w:val="hybridMultilevel"/>
    <w:lvl w:ilvl="0">
      <w:lvlJc w:val="left"/>
      <w:lvlText w:val="%1."/>
      <w:numFmt w:val="lowerLetter"/>
      <w:start w:val="1"/>
    </w:lvl>
  </w:abstractNum>
  <w:abstractNum w:abstractNumId="12">
    <w:nsid w:val="25E45D32"/>
    <w:multiLevelType w:val="hybridMultilevel"/>
    <w:lvl w:ilvl="0">
      <w:lvlJc w:val="left"/>
      <w:lvlText w:val="%1."/>
      <w:numFmt w:val="lowerLetter"/>
      <w:start w:val="2"/>
    </w:lvl>
  </w:abstractNum>
  <w:abstractNum w:abstractNumId="13">
    <w:nsid w:val="519B500D"/>
    <w:multiLevelType w:val="hybridMultilevel"/>
    <w:lvl w:ilvl="0">
      <w:lvlJc w:val="left"/>
      <w:lvlText w:val="%1"/>
      <w:numFmt w:val="lowerLetter"/>
      <w:start w:val="1"/>
    </w:lvl>
  </w:abstractNum>
  <w:abstractNum w:abstractNumId="14">
    <w:nsid w:val="431BD7B7"/>
    <w:multiLevelType w:val="hybridMultilevel"/>
    <w:lvl w:ilvl="0">
      <w:lvlJc w:val="left"/>
      <w:lvlText w:val="%1."/>
      <w:numFmt w:val="decimal"/>
      <w:start w:val="1"/>
    </w:lvl>
  </w:abstractNum>
  <w:abstractNum w:abstractNumId="15">
    <w:nsid w:val="3F2DBA31"/>
    <w:multiLevelType w:val="hybridMultilevel"/>
    <w:lvl w:ilvl="0">
      <w:lvlJc w:val="left"/>
      <w:lvlText w:val="%1."/>
      <w:numFmt w:val="lowerLetter"/>
      <w:start w:val="1"/>
    </w:lvl>
  </w:abstractNum>
  <w:abstractNum w:abstractNumId="16">
    <w:nsid w:val="7C83E458"/>
    <w:multiLevelType w:val="hybridMultilevel"/>
    <w:lvl w:ilvl="0">
      <w:lvlJc w:val="left"/>
      <w:lvlText w:val="%1."/>
      <w:numFmt w:val="lowerLetter"/>
      <w:start w:val="1"/>
    </w:lvl>
  </w:abstractNum>
  <w:abstractNum w:abstractNumId="17">
    <w:nsid w:val="257130A3"/>
    <w:multiLevelType w:val="hybridMultilevel"/>
    <w:lvl w:ilvl="0">
      <w:lvlJc w:val="left"/>
      <w:lvlText w:val="%1."/>
      <w:numFmt w:val="lowerLetter"/>
      <w:start w:val="2"/>
    </w:lvl>
  </w:abstractNum>
  <w:abstractNum w:abstractNumId="18">
    <w:nsid w:val="62BBD95A"/>
    <w:multiLevelType w:val="hybridMultilevel"/>
    <w:lvl w:ilvl="0">
      <w:lvlJc w:val="left"/>
      <w:lvlText w:val="(%1)"/>
      <w:numFmt w:val="decimal"/>
      <w:start w:val="3"/>
    </w:lvl>
  </w:abstractNum>
  <w:abstractNum w:abstractNumId="19">
    <w:nsid w:val="436C6125"/>
    <w:multiLevelType w:val="hybridMultilevel"/>
    <w:lvl w:ilvl="0">
      <w:lvlJc w:val="left"/>
      <w:lvlText w:val="%1."/>
      <w:numFmt w:val="decimal"/>
      <w:start w:val="1"/>
    </w:lvl>
  </w:abstractNum>
  <w:abstractNum w:abstractNumId="20">
    <w:nsid w:val="628C895D"/>
    <w:multiLevelType w:val="hybridMultilevel"/>
    <w:lvl w:ilvl="0">
      <w:lvlJc w:val="left"/>
      <w:lvlText w:val="%1."/>
      <w:numFmt w:val="upperLetter"/>
      <w:start w:val="2"/>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2020-05-27T05:27:34Z</dcterms:created>
  <dcterms:modified xsi:type="dcterms:W3CDTF">2020-05-27T05:27:34Z</dcterms:modified>
</cp:coreProperties>
</file>