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open-weight models, two prompt framings, and a backstory-conditioning experiment. Aggregate recovery is moderate and highly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appears to use the country as a group-level prior and to largely ignore respondent detail. Individual-level recovery is negligible everywhere and unrelated to aggregate recovery across countries. A 2 × 2 experiment traces the item-level failures to the response scale: verbal endpoint labels remove the inversions and roughly triple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yet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limitations constrain the existing literature. First, most evaluations remain centered on the United States; available cross-national studies cover relatively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governs the form it takes.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The answer can be stated at the outset: the model treats the country name as a group-level prior. The label carries most of the aggregate signal. Enriching the profile beyond it adds no consistent gain. The response-scale format sets the sign that signal takes. None of it amounts to individual-level recovery. Three things are new here: the first joint evaluation of item-level country rankings, within-country individual recovery, and the label’s incremental contribution on matched respondents; the experimental identification of that prior and of the format that sets its sign; and benchmarks against model-free alternatives, the comparison a prospective user needs.</w:t>
      </w:r>
    </w:p>
    <w:p>
      <w:pPr>
        <w:pStyle w:val="Body"/>
      </w:pPr>
      <w:r>
        <w:t xml:space="preserve">Four tests in one design answer the four gaps.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limited in scope.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 LLM-generated responses recover cross-national aggregate differences across a wide range of attitudes, and how far does that accuracy vary from item to item?</w:t>
      </w:r>
    </w:p>
    <w:p>
      <w:pPr>
        <w:pStyle w:val="H2"/>
      </w:pPr>
      <w:r>
        <w:t xml:space="preserve">2.2 Cultural bias and the country cue in LLM responses</w:t>
      </w:r>
    </w:p>
    <w:p>
      <w:pPr>
        <w:pStyle w:val="Body"/>
      </w:pPr>
      <w:r>
        <w:t xml:space="preserve">Cultural bias here refers to systematic differences in whose values and associations default model outputs most closely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Country cues can also systematically influence LLM outputs.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The next tests are whether the country label adds recovery beyond demographic composition and whether richer profiles add further gains. The two readings of the label predict different curves.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reverse-worded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Does the aggregate signal come from the country label or from the composition of the respondent profile, and what governs the sign that signal takes on each item?</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The framing of the request bears directly on this distinction. Adopting a persona and answering as that person invokes a different capacity from predicting how such a person would answer: the first speaks from the profile, the second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RQ3 tests both.</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questions together, because a level of recovery is only useful if it can be told apart from the level next to it:</w:t>
      </w:r>
    </w:p>
    <w:p>
      <w:pPr>
        <w:pStyle w:val="Body"/>
      </w:pPr>
      <w:r>
        <w:t xml:space="preserve">RQ3. How much individual-level recovery is there, does first- versus third-person framing change it,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follows a 2 (model) × 2 (prompt) fully crossed design. Two major open-weight instruction-tuned models are tested: Qwen 2.5-7B-Instruct (Alibaba) and Llama 3.1-8B-Instruct (Meta). Both are run locally on a university HPC cluster (NVIDIA A100 GPU) using vLLM for efficient batched inference. Temperature is set to 0.7;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(most people can be trusted, ppltrst; people try to be fair, pplfair; people are helpful, pplhlp)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subsample is drawn without design weights. The human benchmark is weighted by the ESS post-stratification weight (pspwght) throughout, and the sensitivity of the results to that choice is reported in Section 4.4. The sample size is sufficient at both levels of analysis. Subsampled estimates flatten above roughly 400 respondents per country, and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forty-one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8);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ISO codes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identifying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final 2 × 2 arm crosses the country label with the scale format. The scale factor supplies verbal endpoint labels in place of the numeric range alone.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two exclusions were fixed in advance.</w:t>
      </w:r>
    </w:p>
    <w:p>
      <w:pPr>
        <w:pStyle w:val="Body"/>
      </w:pPr>
      <w:r>
        <w:t xml:space="preserve">The with-against-without logic extends to the whole profile. The 20 backstory variables partition into ten named blocks: the ascriptive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not the single variable. The profile contains near-duplicate pairs: age and birth year, education level and education years, household size and children at home. Dropping one of a pair measures duplication, not information. Where a block has no such pair the variables are also tested singly.</w:t>
      </w:r>
    </w:p>
    <w:p>
      <w:pPr>
        <w:pStyle w:val="Body"/>
      </w:pPr>
      <w:r>
        <w:t xml:space="preserve">Every block is observed at two margins. It is added alone to the sparse base plus the country label, and it is removed alone from the otherwise complete profile. These are the extreme positions a block can occupy in any order of additions, so the two margins bound its contribution under every ordering.</w:t>
      </w:r>
    </w:p>
    <w:p>
      <w:pPr>
        <w:pStyle w:val="Body"/>
      </w:pPr>
      <w:r>
        <w:t xml:space="preserve">Three probes settle readings the margins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w:t>
      </w:r>
      <w:r>
        <w:rPr>
          <w:i/>
        </w:rPr>
        <w:t>r</w:t>
      </w:r>
      <w:r>
        <w:rPr>
          <w:i/>
          <w:vertAlign w:val="subscript"/>
        </w:rPr>
        <w:t>pw</w:t>
      </w:r>
      <w:r>
        <w:t xml:space="preserve"> pools respondents across countries after centering within country; it appears once, in Figure 3, where its statistical power suits the per-item display. </w:t>
      </w:r>
      <w:r>
        <w:rPr>
          <w:i/>
        </w:rPr>
        <w:t>r</w:t>
      </w:r>
      <w:r>
        <w:rPr>
          <w:i/>
          <w:vertAlign w:val="subscript"/>
        </w:rPr>
        <w:t>pool</w:t>
      </w:r>
      <w:r>
        <w:t xml:space="preserve"> runs across all 1,260 country–item cells. It is reported once,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ceiling on what any demographic profile could recover at the individual level.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as </w:t>
      </w:r>
      <w:r>
        <w:rPr>
          <w:i/>
        </w:rPr>
        <w:t>r</w:t>
      </w:r>
      <w:r>
        <w:rPr>
          <w:i/>
          <w:vertAlign w:val="subscript"/>
        </w:rPr>
        <w:t>bc</w:t>
      </w:r>
      <w:r>
        <w:t xml:space="preserve"> × </w:t>
      </w:r>
      <w:r>
        <w:rPr>
          <w:i/>
        </w:rPr>
        <w:t>C</w:t>
      </w:r>
      <w:r>
        <w:rPr>
          <w:i/>
          <w:vertAlign w:val="subscript"/>
        </w:rPr>
        <w:t>b</w:t>
      </w:r>
      <w:r>
        <w:t xml:space="preserve">, separating rank correspondence from calibration. Model and prompt contrasts use paired t-tests across the 42 items.</w:t>
      </w:r>
    </w:p>
    <w:p>
      <w:pPr>
        <w:pStyle w:val="H1"/>
      </w:pPr>
      <w:r>
        <w:t xml:space="preserve">4 Results</w:t>
      </w:r>
    </w:p>
    <w:p>
      <w:pPr>
        <w:pStyle w:val="H2"/>
      </w:pPr>
      <w:r>
        <w:t xml:space="preserve">4.1 Aggregate recovery is moderate and item-dependent</w:t>
      </w:r>
    </w:p>
    <w:p>
      <w:pPr>
        <w:pStyle w:val="Body"/>
      </w:pPr>
      <w:r>
        <w:t xml:space="preserve">Addressing RQ1, per-item aggregate recovery is moderate but highly item-dependent. Country-profile and mean-error statistics also produce different country rankings, so no single aggregate measure captures performance. Figure 2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removing each item's mean leaves a pooled correlation of 0.515.</w:t>
      </w:r>
    </w:p>
    <w:p>
      <w:pPr>
        <w:pStyle w:val="Body"/>
      </w:pPr>
      <w:r>
        <w:t xml:space="preserve">Qwen 1P has the highest item-level median correlation: against the pre-declared thresholds, 20 of 42 items exceed 0.5 and nine exceed 0.7. As the best-performing condition it serves as the reference for the focused analyses below. All four conditions appear in Figures 2 and 8, so this choice does not affect the main conclusions.</w:t>
      </w:r>
    </w:p>
    <w:p>
      <w:pPr>
        <w:pStyle w:val="Fig"/>
      </w:pPr>
      <w:r>
        <w:drawing>
          <wp:inline distT="0" distB="0" distL="0" distR="0">
            <wp:extent cx="5760720" cy="390700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3907008"/>
                    </a:xfrm>
                    <a:prstGeom prst="rect">
                      <a:avLst/>
                    </a:prstGeom>
                  </pic:spPr>
                </pic:pic>
              </a:graphicData>
            </a:graphic>
          </wp:inline>
        </w:drawing>
      </w:r>
    </w:p>
    <w:p>
      <w:pPr>
        <w:pStyle w:val="Caption"/>
      </w:pPr>
      <w:r>
        <w:t xml:space="preserve">Figure 2. Aggregate recovery by model–prompt condition.</w:t>
      </w:r>
    </w:p>
    <w:p>
      <w:pPr>
        <w:pStyle w:val="Body"/>
      </w:pPr>
      <w:r>
        <w:t xml:space="preserve">Note. Every item's between-country correlation in every condition, with the median marked and the pooled correlation drawn once as a labeled counterexample (all pooled p &lt; 0.001). The Qwen 1P anchored arm repeats Qwen 1P with verbally anchored response scales on the 22-item batch (Section 4.2). The individual-level counterpart is Figure 8.</w:t>
      </w:r>
    </w:p>
    <w:p>
      <w:pPr>
        <w:pStyle w:val="Body"/>
      </w:pPr>
      <w:r>
        <w:t xml:space="preserve">Figure 3 places country-level and individual-level recovery on a shared vertical axis so that the two are directly comparable; the full 42-item rankings appear in Appendix Figures A1 and A3. The shared axis makes the disparity visible: the aggregate series spans 1.64 correlation units, the individual series 0.30, a ratio of 5.5.</w:t>
      </w:r>
    </w:p>
    <w:p>
      <w:pPr>
        <w:pStyle w:val="Body"/>
      </w:pPr>
      <w:r>
        <w:t xml:space="preserve">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attitudes toward homosexuality (freehms −0.82) and adoption rights for same-sex couples (hmsacld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European unification (euftf, −0.23) is forward-coded. It is a bipolar item whose numeric direction is a convention; in Figure 3 it is the one circle in the negative tail. Section 4.2 tests the scale-direction account experimentally.</w:t>
      </w:r>
    </w:p>
    <w:p>
      <w:pPr>
        <w:pStyle w:val="Fig"/>
      </w:pPr>
      <w:r>
        <w:drawing>
          <wp:inline distT="0" distB="0" distL="0" distR="0">
            <wp:extent cx="5760720" cy="4894491"/>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760720" cy="4894491"/>
                    </a:xfrm>
                    <a:prstGeom prst="rect">
                      <a:avLst/>
                    </a:prstGeom>
                  </pic:spPr>
                </pic:pic>
              </a:graphicData>
            </a:graphic>
          </wp:inline>
        </w:drawing>
      </w:r>
    </w:p>
    <w:p>
      <w:pPr>
        <w:pStyle w:val="Caption"/>
      </w:pPr>
      <w:r>
        <w:t xml:space="preserve">Figure 3. Aggregate and individual recovery across the 42 items, Qwen 1P.</w:t>
      </w:r>
    </w:p>
    <w:p>
      <w:pPr>
        <w:pStyle w:val="Body"/>
      </w:pPr>
      <w:r>
        <w:t xml:space="preserve">Note. Panel (a) shows country-level </w:t>
      </w:r>
      <w:r>
        <w:rPr>
          <w:i/>
        </w:rPr>
        <w:t>r</w:t>
      </w:r>
      <w:r>
        <w:rPr>
          <w:i/>
          <w:vertAlign w:val="subscript"/>
        </w:rPr>
        <w:t>bc</w:t>
      </w:r>
      <w:r>
        <w:t xml:space="preserve">, panel (b) the pooled within-country correlation </w:t>
      </w:r>
      <w:r>
        <w:rPr>
          <w:i/>
        </w:rPr>
        <w:t>r</w:t>
      </w:r>
      <w:r>
        <w:rPr>
          <w:i/>
          <w:vertAlign w:val="subscript"/>
        </w:rPr>
        <w:t>pw</w:t>
      </w:r>
      <w:r>
        <w:t xml:space="preserve">, on one shared scale and one item order. The aggregate series spans 1.64 correlation units and the individual series 0.30. Reverse-worded items are marked in both panels. Full rankings appear in Appendix Figures A1 and A3.</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SD 0.06). Finland, Switzerland, Ireland, Norway, and Austria rank highest (0.88–0.91), while Bulgaria, Serbia, Ukraine, Israel, and Latvia rank lowest (0.69–0.76). The band is narrow: the worst-recovered country in the sample still scores 0.69,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(r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finally, close to independent. All 30 countries have positive mean bias under Qwen 1P, from 0.36 scale points in Finland to 1.40 in Bulgaria, consistent with a shift toward higher numeric responses. Mean SD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supplies the signal; the response scale sets its sign</w:t>
      </w:r>
    </w:p>
    <w:p>
      <w:pPr>
        <w:pStyle w:val="Body"/>
      </w:pPr>
      <w:r>
        <w:t xml:space="preserve">Addressing RQ2, the identifying estimate is one paired contrast: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Fig"/>
      </w:pPr>
      <w:r>
        <w:drawing>
          <wp:inline distT="0" distB="0" distL="0" distR="0">
            <wp:extent cx="5404104" cy="3758184"/>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404104" cy="3758184"/>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ascriptive base has no add margin, because it is the base. Reverse-worded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 same contrast item by item is in Appendix Figure A4; per-block values ship with the figure data.</w:t>
      </w:r>
    </w:p>
    <w:p>
      <w:pPr>
        <w:pStyle w:val="Body"/>
      </w:pPr>
      <w:r>
        <w:t xml:space="preserve">Figure 4 gives every block's effect at both margins, and Appendix Figure A4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versus 0.52).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falsification arm shows the label is read, and read as a country.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which is what a cue the model attends to should do, and what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profile keeps carrying a compositional share of its own. The two scorings are not mechanically coupled: under the derangement the named and the true countries' human means correlate at a median of −0.07. Figure 5 puts the conditions side by side.</w:t>
      </w:r>
    </w:p>
    <w:p>
      <w:pPr>
        <w:pStyle w:val="Fig"/>
      </w:pPr>
      <w:r>
        <w:drawing>
          <wp:inline distT="0" distB="0" distL="0" distR="0">
            <wp:extent cx="5361432" cy="2694432"/>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361432" cy="2694432"/>
                    </a:xfrm>
                    <a:prstGeom prst="rect">
                      <a:avLst/>
                    </a:prstGeom>
                  </pic:spPr>
                </pic:pic>
              </a:graphicData>
            </a:graphic>
          </wp:inline>
        </w:drawing>
      </w:r>
    </w:p>
    <w:p>
      <w:pPr>
        <w:pStyle w:val="Caption"/>
      </w:pPr>
      <w:r>
        <w:t xml:space="preserve">Figure 5. A wrong country name costs the country the respondents came from, Qwen 1P.</w:t>
      </w:r>
    </w:p>
    <w:p>
      <w:pPr>
        <w:pStyle w:val="Body"/>
      </w:pPr>
      <w:r>
        <w:t xml:space="preserve">Note. Median </w:t>
      </w:r>
      <w:r>
        <w:rPr>
          <w:i/>
        </w:rPr>
        <w:t>r</w:t>
      </w:r>
      <w:r>
        <w:rPr>
          <w:i/>
          <w:vertAlign w:val="subscript"/>
        </w:rPr>
        <w:t>bc</w:t>
      </w:r>
      <w:r>
        <w:t xml:space="preserve"> over items, forward- and reverse-worded shown separately as in Figure 4.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The inversions in Section 4.1 and the negative country-label effect above share one candidate explanation. The model may be reading the numeric scale in the wrong direction while holding correct country associations. That explanation is testable, and a 2 × 2 arm tests it on the 22-item batch (Figure 6).</w:t>
      </w:r>
    </w:p>
    <w:p>
      <w:pPr>
        <w:pStyle w:val="Body"/>
      </w:pPr>
      <w:r>
        <w:t xml:space="preserve">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genuine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760720" cy="6191454"/>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6191454"/>
                    </a:xfrm>
                    <a:prstGeom prst="rect">
                      <a:avLst/>
                    </a:prstGeom>
                  </pic:spPr>
                </pic:pic>
              </a:graphicData>
            </a:graphic>
          </wp:inline>
        </w:drawing>
      </w:r>
    </w:p>
    <w:p>
      <w:pPr>
        <w:pStyle w:val="Caption"/>
      </w:pPr>
      <w:r>
        <w:t xml:space="preserve">Figure 6. The 2 × 2: country label by response-scale format, 22 items, Qwen 1P.</w:t>
      </w:r>
    </w:p>
    <w:p>
      <w:pPr>
        <w:pStyle w:val="Body"/>
      </w:pPr>
      <w:r>
        <w:t xml:space="preserve">Note. Panel (a): the four cell means with bootstrap intervals over items; verbal anchors flip the label’s effect on reverse-worded items from negative to positive. Panel (b): the same movement, item by item,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of 0.210 sits against an achieved 0.028, so the model recovers 13.5% of what a demographic profile could in principle deliver.</w:t>
      </w:r>
    </w:p>
    <w:p>
      <w:pPr>
        <w:pStyle w:val="Body"/>
      </w:pPr>
      <w:r>
        <w:t xml:space="preserve">The two levels sit far apart: </w:t>
      </w:r>
      <w:r>
        <w:rPr>
          <w:i/>
        </w:rPr>
        <w:t>r</w:t>
      </w:r>
      <w:r>
        <w:rPr>
          <w:i/>
          <w:vertAlign w:val="subscript"/>
        </w:rPr>
        <w:t>pool</w:t>
      </w:r>
      <w:r>
        <w:t xml:space="preserve"> lies between 0.64 and 0.83 across conditions while within-country recovery is near zero (Figures 2 and 8). The aggregate–individual dissociation is established for single-country designs; what is new is that it survives at thirty countries and that scale anchoring moves both levels together.</w:t>
      </w:r>
    </w:p>
    <w:p>
      <w:pPr>
        <w:pStyle w:val="Body"/>
      </w:pPr>
      <w:r>
        <w:t xml:space="preserve">The scale manipulation of Section 4.2 also moves this level. Anchoring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At the country level, individual recovery remains uniformly weak. </w:t>
      </w:r>
      <w:r>
        <w:rPr>
          <w:i/>
        </w:rPr>
        <w:t>r</w:t>
      </w:r>
      <w:r>
        <w:rPr>
          <w:i/>
          <w:vertAlign w:val="subscript"/>
        </w:rPr>
        <w:t>wc</w:t>
      </w:r>
      <w:r>
        <w:t xml:space="preserve"> is computed for each of the 1,260 country–item cells. Under Qwen 1P, mean </w:t>
      </w:r>
      <w:r>
        <w:rPr>
          <w:i/>
        </w:rPr>
        <w:t>r</w:t>
      </w:r>
      <w:r>
        <w:rPr>
          <w:i/>
          <w:vertAlign w:val="subscript"/>
        </w:rPr>
        <w:t>wc</w:t>
      </w:r>
      <w:r>
        <w:t xml:space="preserve"> is 0.027 (SD 0.079). Of the 1,260 cells,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Individual-level recovery has no clear regional gradient and varies more by item than by country. Life satisfaction (0.146) and happiness (0.142) recover best, whereas household income feeling (−0.148) and attitudes toward homosexuality (−0.085) are consistently negative. Eleven of the 42 items are negative at this level. It is the same count as at the aggregate level, and largely the same items (Appendix Figure A3).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(90% CI [−0.49, 0.10]). Range-normalized aggregate error yields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a pairwise one, so it is better counted than correlated: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232 of the 435 country pairs reverse. Switzerland and Israel, the sharpest case in the text, are drawn in black.</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r = 0.84.</w:t>
      </w:r>
    </w:p>
    <w:p>
      <w:pPr>
        <w:pStyle w:val="Body"/>
      </w:pPr>
      <w:r>
        <w:t xml:space="preserve">Run-to-run stability sets the interpretive band.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Coverage in the Llama third-person arm changes a conclusion.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Body"/>
      </w:pPr>
      <w:r>
        <w:t xml:space="preserve">The individual-level result does not depend on the condition either. Median within-country recovery stays near zero in all four model–prompt arms, and it rises only under anchored scales, where it remains well short of the demographic-explainable ceiling.</w:t>
      </w:r>
    </w:p>
    <w:p>
      <w:pPr>
        <w:pStyle w:val="Fig"/>
      </w:pPr>
      <w:r>
        <w:drawing>
          <wp:inline distT="0" distB="0" distL="0" distR="0">
            <wp:extent cx="5733288" cy="3209544"/>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33288" cy="3209544"/>
                    </a:xfrm>
                    <a:prstGeom prst="rect">
                      <a:avLst/>
                    </a:prstGeom>
                  </pic:spPr>
                </pic:pic>
              </a:graphicData>
            </a:graphic>
          </wp:inline>
        </w:drawing>
      </w:r>
    </w:p>
    <w:p>
      <w:pPr>
        <w:pStyle w:val="Caption"/>
      </w:pPr>
      <w:r>
        <w:t xml:space="preserve">Figure 8. Individual-level recovery by model–prompt condition.</w:t>
      </w:r>
    </w:p>
    <w:p>
      <w:pPr>
        <w:pStyle w:val="Body"/>
      </w:pPr>
      <w:r>
        <w:t xml:space="preserve">Note. The median within-country correlation in each condition, with a bootstrap interval over country–item cells, against the demographic-explainable ceiling. The conditions are those of Figure 2, and the anchored arm is the 22-item batch of Section 4.2.</w:t>
      </w:r>
    </w:p>
    <w:p>
      <w:pPr>
        <w:pStyle w:val="H1"/>
      </w:pPr>
      <w:r>
        <w:t xml:space="preserve">5 Discussion and Conclusion</w:t>
      </w:r>
    </w:p>
    <w:p>
      <w:pPr>
        <w:pStyle w:val="Body"/>
      </w:pPr>
      <w:r>
        <w:t xml:space="preserve">Read separately, the three findings look like independent limitations. The scale experiment shows they are not. Supplying verbal endpoint labels removes the item inversions, reverses the sign of the country-label effect on reverse-coded items, and triples individual-level recovery. One manipulation does all three. Two of the three headline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backstory experiment identifies the country label as the largest incremental source of aggregate recovery. Richer profiles do not improve on it: the full profile sits below the label alone, and political identity and the socioeconomic block lower recovery when added (Section 4.2). A model that found respondent detail uninformative would show flat margins. Negative margins indicate that the detail is used, and used badly.</w:t>
      </w:r>
    </w:p>
    <w:p>
      <w:pPr>
        <w:pStyle w:val="Body"/>
      </w:pPr>
      <w:r>
        <w:t xml:space="preserve">The label does not work by making the country identifiable. If it did, recovery would track identifiability. Holding identifiability at its maximum, recovery still spans 0.29 to 0.52, and the sparsest profile containing the country beats every richer one (Appendix, Country identifiability). The model appears to treat the country as a group-level prior, and respondent detail as noise around it. Within a country almost none of the variation the model produces is respondent-specific: in a replicate arm 95% of the within-country variance is generation noise, and median within-country recovery is 0.028 against the 0.210 ceiling. And the label is what steers: replacing it with a wrong name costs the country the respondents came from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A model can approximate national averages by treating the country cue as a group-level prior. It does not, however, reproduce how attitudes covary with individual attributes. The first capacity may support narrow aggregate tasks. It does not establish the second.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forty-two items whose cross-national ordering is reversed, so a screening rule based on pooled or profile recovery would certify a battery in which a substantial minority of items has the wrong sign.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part of the measurement instrument. The instrument here was deliberately minimal: abbreviated item wording and a bare numeric range for every item except the three trust questions, so the model received less scale information than an ESS respondent, who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only the anchored arm separates them. This is a measurement-equivalence problem of the kind cross-national survey research already recognizes between human populations (King et al., 2004; Davidov et al., 2014), arising here between human and model.</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(r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and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a third constraint, and the cheapest of the three to change.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which tests whether the cue is specific to the country it names. A 2 × 2 crosses the label with the scale format, which turns the item inversions from an interpretation into a result. Recovery is reported item by item against a measured run-to-run floor;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Six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A classifier trained on its rendered backstories recovers the country 28.7% of the time, against a 3.3% baseline. Harmonized education, marital and activity categories differ in composition across countries. No backstory names a country, so the leak is compositional, and the 0.34 median recovery of that arm is an upper bound on what composition achieves without country knowledge. Fourth, the scale experiment uses Qwen 1P only. The country-label contrast replicates under Llama (Section 4.2), and no experiment here can distinguish calibrated country knowledge from stereotype activation. Fifth, the Llama third-person arm lost 24% of scheduled responses to a format-compliance failure, not a scale-comprehension one, diagnosed in Appendix, Parse failures. It bounds what that arm can show. Finally, generation is unseeded and each arm is one run, so every item-level value carries the run-to-run variation measured in Section 4.4.</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H3"/>
      </w:pPr>
      <w:r>
        <w:t xml:space="preserve">Example prompt (abbreviated)</w:t>
      </w:r>
    </w:p>
    <w:p>
      <w:pPr>
        <w:pStyle w:val="Body"/>
      </w:pPr>
      <w:r>
        <w:t xml:space="preserve">The abbreviated example illustrates the first-person framing;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comparison for 7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613"/>
        <w:gridCol w:w="1583"/>
        <w:gridCol w:w="1552"/>
        <w:gridCol w:w="1583"/>
        <w:gridCol w:w="2741"/>
      </w:tblGrid>
      <w:tr>
        <w:tc>
          <w:tcPr>
            <w:tcW w:w="1613" w:type="dxa"/>
            <w:tcBorders>
              <w:bottom w:val="single" w:sz="8" w:space="0" w:color="000000"/>
            </w:tcBorders>
          </w:tcPr>
          <w:p>
            <w:pPr>
              <w:pStyle w:val="Cell"/>
            </w:pPr>
            <w:r>
              <w:rPr>
                <w:b/>
              </w:rPr>
              <w:t xml:space="preserve">Variable</w:t>
            </w:r>
          </w:p>
        </w:tc>
        <w:tc>
          <w:tcPr>
            <w:tcW w:w="1583" w:type="dxa"/>
            <w:tcBorders>
              <w:bottom w:val="single" w:sz="8" w:space="0" w:color="000000"/>
            </w:tcBorders>
          </w:tcPr>
          <w:p>
            <w:pPr>
              <w:pStyle w:val="Cell"/>
            </w:pPr>
            <w:r>
              <w:rPr>
                <w:b/>
              </w:rPr>
              <w:t xml:space="preserve">rind (leaked)</w:t>
            </w:r>
          </w:p>
        </w:tc>
        <w:tc>
          <w:tcPr>
            <w:tcW w:w="1552" w:type="dxa"/>
            <w:tcBorders>
              <w:bottom w:val="single" w:sz="8" w:space="0" w:color="000000"/>
            </w:tcBorders>
          </w:tcPr>
          <w:p>
            <w:pPr>
              <w:pStyle w:val="Cell"/>
            </w:pPr>
            <w:r>
              <w:rPr>
                <w:b/>
              </w:rPr>
              <w:t xml:space="preserve">rind (clean)</w:t>
            </w:r>
          </w:p>
        </w:tc>
        <w:tc>
          <w:tcPr>
            <w:tcW w:w="1583" w:type="dxa"/>
            <w:tcBorders>
              <w:bottom w:val="single" w:sz="8" w:space="0" w:color="000000"/>
            </w:tcBorders>
          </w:tcPr>
          <w:p>
            <w:pPr>
              <w:pStyle w:val="Cell"/>
            </w:pPr>
            <w:r>
              <w:rPr>
                <w:b/>
              </w:rPr>
              <w:t xml:space="preserve">Difference</w:t>
            </w:r>
          </w:p>
        </w:tc>
        <w:tc>
          <w:tcPr>
            <w:tcW w:w="2741" w:type="dxa"/>
            <w:tcBorders>
              <w:bottom w:val="single" w:sz="8" w:space="0" w:color="000000"/>
            </w:tcBorders>
          </w:tcPr>
          <w:p>
            <w:pPr>
              <w:pStyle w:val="Cell"/>
            </w:pPr>
            <w:r>
              <w:rPr>
                <w:b/>
              </w:rPr>
              <w:t xml:space="preserve">Interpretation</w:t>
            </w:r>
          </w:p>
        </w:tc>
      </w:tr>
      <w:tr>
        <w:tc>
          <w:tcPr>
            <w:tcW w:w="1613" w:type="dxa"/>
          </w:tcPr>
          <w:p>
            <w:pPr>
              <w:pStyle w:val="Cell"/>
            </w:pPr>
            <w:r>
              <w:t xml:space="preserve">inprdsc</w:t>
            </w:r>
          </w:p>
        </w:tc>
        <w:tc>
          <w:tcPr>
            <w:tcW w:w="1583" w:type="dxa"/>
          </w:tcPr>
          <w:p>
            <w:pPr>
              <w:pStyle w:val="Cell"/>
            </w:pPr>
            <w:r>
              <w:t xml:space="preserve">0.854</w:t>
            </w:r>
          </w:p>
        </w:tc>
        <w:tc>
          <w:tcPr>
            <w:tcW w:w="1552" w:type="dxa"/>
          </w:tcPr>
          <w:p>
            <w:pPr>
              <w:pStyle w:val="Cell"/>
            </w:pPr>
            <w:r>
              <w:t xml:space="preserve">0.038</w:t>
            </w:r>
          </w:p>
        </w:tc>
        <w:tc>
          <w:tcPr>
            <w:tcW w:w="1583" w:type="dxa"/>
          </w:tcPr>
          <w:p>
            <w:pPr>
              <w:pStyle w:val="Cell"/>
            </w:pPr>
            <w:r>
              <w:t xml:space="preserve">−0.817</w:t>
            </w:r>
          </w:p>
        </w:tc>
        <w:tc>
          <w:tcPr>
            <w:tcW w:w="2741" w:type="dxa"/>
          </w:tcPr>
          <w:p>
            <w:pPr>
              <w:pStyle w:val="Cell"/>
            </w:pPr>
            <w:r>
              <w:t xml:space="preserve">Echo removed</w:t>
            </w:r>
          </w:p>
        </w:tc>
      </w:tr>
      <w:tr>
        <w:tc>
          <w:tcPr>
            <w:tcW w:w="1613" w:type="dxa"/>
          </w:tcPr>
          <w:p>
            <w:pPr>
              <w:pStyle w:val="Cell"/>
            </w:pPr>
            <w:r>
              <w:t xml:space="preserve">sclmeet</w:t>
            </w:r>
          </w:p>
        </w:tc>
        <w:tc>
          <w:tcPr>
            <w:tcW w:w="1583" w:type="dxa"/>
          </w:tcPr>
          <w:p>
            <w:pPr>
              <w:pStyle w:val="Cell"/>
            </w:pPr>
            <w:r>
              <w:t xml:space="preserve">0.291</w:t>
            </w:r>
          </w:p>
        </w:tc>
        <w:tc>
          <w:tcPr>
            <w:tcW w:w="1552" w:type="dxa"/>
          </w:tcPr>
          <w:p>
            <w:pPr>
              <w:pStyle w:val="Cell"/>
            </w:pPr>
            <w:r>
              <w:t xml:space="preserve">0.035</w:t>
            </w:r>
          </w:p>
        </w:tc>
        <w:tc>
          <w:tcPr>
            <w:tcW w:w="1583" w:type="dxa"/>
          </w:tcPr>
          <w:p>
            <w:pPr>
              <w:pStyle w:val="Cell"/>
            </w:pPr>
            <w:r>
              <w:t xml:space="preserve">−0.256</w:t>
            </w:r>
          </w:p>
        </w:tc>
        <w:tc>
          <w:tcPr>
            <w:tcW w:w="2741" w:type="dxa"/>
          </w:tcPr>
          <w:p>
            <w:pPr>
              <w:pStyle w:val="Cell"/>
            </w:pPr>
            <w:r>
              <w:t xml:space="preserve">Echo removed</w:t>
            </w:r>
          </w:p>
        </w:tc>
      </w:tr>
      <w:tr>
        <w:tc>
          <w:tcPr>
            <w:tcW w:w="1613" w:type="dxa"/>
          </w:tcPr>
          <w:p>
            <w:pPr>
              <w:pStyle w:val="Cell"/>
            </w:pPr>
            <w:r>
              <w:t xml:space="preserve">vote</w:t>
            </w:r>
          </w:p>
        </w:tc>
        <w:tc>
          <w:tcPr>
            <w:tcW w:w="1583" w:type="dxa"/>
          </w:tcPr>
          <w:p>
            <w:pPr>
              <w:pStyle w:val="Cell"/>
            </w:pPr>
            <w:r>
              <w:t xml:space="preserve">0.142</w:t>
            </w:r>
          </w:p>
        </w:tc>
        <w:tc>
          <w:tcPr>
            <w:tcW w:w="1552" w:type="dxa"/>
          </w:tcPr>
          <w:p>
            <w:pPr>
              <w:pStyle w:val="Cell"/>
            </w:pPr>
            <w:r>
              <w:t xml:space="preserve">−0.037</w:t>
            </w:r>
          </w:p>
        </w:tc>
        <w:tc>
          <w:tcPr>
            <w:tcW w:w="1583" w:type="dxa"/>
          </w:tcPr>
          <w:p>
            <w:pPr>
              <w:pStyle w:val="Cell"/>
            </w:pPr>
            <w:r>
              <w:t xml:space="preserve">−0.179</w:t>
            </w:r>
          </w:p>
        </w:tc>
        <w:tc>
          <w:tcPr>
            <w:tcW w:w="2741" w:type="dxa"/>
          </w:tcPr>
          <w:p>
            <w:pPr>
              <w:pStyle w:val="Cell"/>
            </w:pPr>
            <w:r>
              <w:t xml:space="preserve">Echo removed</w:t>
            </w:r>
          </w:p>
        </w:tc>
      </w:tr>
      <w:tr>
        <w:tc>
          <w:tcPr>
            <w:tcW w:w="1613" w:type="dxa"/>
          </w:tcPr>
          <w:p>
            <w:pPr>
              <w:pStyle w:val="Cell"/>
            </w:pPr>
            <w:r>
              <w:t xml:space="preserve">hincfel</w:t>
            </w:r>
          </w:p>
        </w:tc>
        <w:tc>
          <w:tcPr>
            <w:tcW w:w="1583" w:type="dxa"/>
          </w:tcPr>
          <w:p>
            <w:pPr>
              <w:pStyle w:val="Cell"/>
            </w:pPr>
            <w:r>
              <w:t xml:space="preserve">−0.184</w:t>
            </w:r>
          </w:p>
        </w:tc>
        <w:tc>
          <w:tcPr>
            <w:tcW w:w="1552" w:type="dxa"/>
          </w:tcPr>
          <w:p>
            <w:pPr>
              <w:pStyle w:val="Cell"/>
            </w:pPr>
            <w:r>
              <w:t xml:space="preserve">−0.164</w:t>
            </w:r>
          </w:p>
        </w:tc>
        <w:tc>
          <w:tcPr>
            <w:tcW w:w="1583" w:type="dxa"/>
          </w:tcPr>
          <w:p>
            <w:pPr>
              <w:pStyle w:val="Cell"/>
            </w:pPr>
            <w:r>
              <w:t xml:space="preserve">+0.020</w:t>
            </w:r>
          </w:p>
        </w:tc>
        <w:tc>
          <w:tcPr>
            <w:tcW w:w="2741" w:type="dxa"/>
          </w:tcPr>
          <w:p>
            <w:pPr>
              <w:pStyle w:val="Cell"/>
            </w:pPr>
            <w:r>
              <w:t xml:space="preserve">Attenuated</w:t>
            </w:r>
          </w:p>
        </w:tc>
      </w:tr>
      <w:tr>
        <w:tc>
          <w:tcPr>
            <w:tcW w:w="1613" w:type="dxa"/>
          </w:tcPr>
          <w:p>
            <w:pPr>
              <w:pStyle w:val="Cell"/>
            </w:pPr>
            <w:r>
              <w:t xml:space="preserve">health</w:t>
            </w:r>
          </w:p>
        </w:tc>
        <w:tc>
          <w:tcPr>
            <w:tcW w:w="1583" w:type="dxa"/>
          </w:tcPr>
          <w:p>
            <w:pPr>
              <w:pStyle w:val="Cell"/>
            </w:pPr>
            <w:r>
              <w:t xml:space="preserve">−0.327</w:t>
            </w:r>
          </w:p>
        </w:tc>
        <w:tc>
          <w:tcPr>
            <w:tcW w:w="1552" w:type="dxa"/>
          </w:tcPr>
          <w:p>
            <w:pPr>
              <w:pStyle w:val="Cell"/>
            </w:pPr>
            <w:r>
              <w:t xml:space="preserve">−0.093</w:t>
            </w:r>
          </w:p>
        </w:tc>
        <w:tc>
          <w:tcPr>
            <w:tcW w:w="1583" w:type="dxa"/>
          </w:tcPr>
          <w:p>
            <w:pPr>
              <w:pStyle w:val="Cell"/>
            </w:pPr>
            <w:r>
              <w:t xml:space="preserve">+0.234</w:t>
            </w:r>
          </w:p>
        </w:tc>
        <w:tc>
          <w:tcPr>
            <w:tcW w:w="2741" w:type="dxa"/>
          </w:tcPr>
          <w:p>
            <w:pPr>
              <w:pStyle w:val="Cell"/>
            </w:pPr>
            <w:r>
              <w:t xml:space="preserve">Attenuated</w:t>
            </w:r>
          </w:p>
        </w:tc>
      </w:tr>
      <w:tr>
        <w:tc>
          <w:tcPr>
            <w:tcW w:w="1613" w:type="dxa"/>
          </w:tcPr>
          <w:p>
            <w:pPr>
              <w:pStyle w:val="Cell"/>
            </w:pPr>
            <w:r>
              <w:t xml:space="preserve">rlgatnd</w:t>
            </w:r>
          </w:p>
        </w:tc>
        <w:tc>
          <w:tcPr>
            <w:tcW w:w="1583" w:type="dxa"/>
          </w:tcPr>
          <w:p>
            <w:pPr>
              <w:pStyle w:val="Cell"/>
            </w:pPr>
            <w:r>
              <w:t xml:space="preserve">−0.371</w:t>
            </w:r>
          </w:p>
        </w:tc>
        <w:tc>
          <w:tcPr>
            <w:tcW w:w="1552" w:type="dxa"/>
          </w:tcPr>
          <w:p>
            <w:pPr>
              <w:pStyle w:val="Cell"/>
            </w:pPr>
            <w:r>
              <w:t xml:space="preserve">0.014</w:t>
            </w:r>
          </w:p>
        </w:tc>
        <w:tc>
          <w:tcPr>
            <w:tcW w:w="1583" w:type="dxa"/>
          </w:tcPr>
          <w:p>
            <w:pPr>
              <w:pStyle w:val="Cell"/>
            </w:pPr>
            <w:r>
              <w:t xml:space="preserve">+0.385</w:t>
            </w:r>
          </w:p>
        </w:tc>
        <w:tc>
          <w:tcPr>
            <w:tcW w:w="2741" w:type="dxa"/>
          </w:tcPr>
          <w:p>
            <w:pPr>
              <w:pStyle w:val="Cell"/>
            </w:pPr>
            <w:r>
              <w:t xml:space="preserve">Attenuated</w:t>
            </w:r>
          </w:p>
        </w:tc>
      </w:tr>
      <w:tr>
        <w:tc>
          <w:tcPr>
            <w:tcW w:w="1613" w:type="dxa"/>
          </w:tcPr>
          <w:p>
            <w:pPr>
              <w:pStyle w:val="Cell"/>
            </w:pPr>
            <w:r>
              <w:t xml:space="preserve">polintr</w:t>
            </w:r>
          </w:p>
        </w:tc>
        <w:tc>
          <w:tcPr>
            <w:tcW w:w="1583" w:type="dxa"/>
          </w:tcPr>
          <w:p>
            <w:pPr>
              <w:pStyle w:val="Cell"/>
            </w:pPr>
            <w:r>
              <w:t xml:space="preserve">−0.265</w:t>
            </w:r>
          </w:p>
        </w:tc>
        <w:tc>
          <w:tcPr>
            <w:tcW w:w="1552" w:type="dxa"/>
          </w:tcPr>
          <w:p>
            <w:pPr>
              <w:pStyle w:val="Cell"/>
            </w:pPr>
            <w:r>
              <w:t xml:space="preserve">−0.092</w:t>
            </w:r>
          </w:p>
        </w:tc>
        <w:tc>
          <w:tcPr>
            <w:tcW w:w="1583" w:type="dxa"/>
          </w:tcPr>
          <w:p>
            <w:pPr>
              <w:pStyle w:val="Cell"/>
            </w:pPr>
            <w:r>
              <w:t xml:space="preserve">+0.173</w:t>
            </w:r>
          </w:p>
        </w:tc>
        <w:tc>
          <w:tcPr>
            <w:tcW w:w="2741"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w:t>
      </w:r>
      <w:r>
        <w:rPr>
          <w:i/>
        </w:rPr>
        <w:t>r</w:t>
      </w:r>
      <w:r>
        <w:rPr>
          <w:i/>
          <w:vertAlign w:val="subscript"/>
        </w:rPr>
        <w:t>ind</w:t>
      </w:r>
      <w:r>
        <w:t xml:space="preserve">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w:t>
      </w:r>
      <w:r>
        <w:rPr>
          <w:i/>
        </w:rPr>
        <w:t>r</w:t>
      </w:r>
      <w:r>
        <w:rPr>
          <w:i/>
          <w:vertAlign w:val="subscript"/>
        </w:rPr>
        <w:t>ind</w:t>
      </w:r>
      <w:r>
        <w:t xml:space="preserve">. Because pooling respondents combines within-country correspondence with between-country covariance, </w:t>
      </w:r>
      <w:r>
        <w:rPr>
          <w:i/>
        </w:rPr>
        <w:t>r</w:t>
      </w:r>
      <w:r>
        <w:rPr>
          <w:i/>
          <w:vertAlign w:val="subscript"/>
        </w:rPr>
        <w:t>ind</w:t>
      </w:r>
      <w:r>
        <w:t xml:space="preserve">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summarized by domain in Figure 3(a).</w:t>
      </w:r>
    </w:p>
    <w:p>
      <w:pPr>
        <w:pStyle w:val="Fig"/>
      </w:pPr>
      <w:r>
        <w:drawing>
          <wp:inline distT="0" distB="0" distL="0" distR="0">
            <wp:extent cx="5760720" cy="6059728"/>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Item-level recovery can reflect either an accurate country ordering or a systematic inversion, while compressing cross-national differences in both cases. Appendix Figure A2 contrasts these outcomes.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under Qwen 1P.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OLS fits; dotted lines show the 45-degree reference for perfect recovery.</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Figure 3(b) and Table A3 break individual-level recovery down by domain: political efficacy, institutional trust, and subjective well-being recover best, while income, health, and safety are negative. The pattern remains weak across model–prompt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A3).</w:t>
      </w:r>
    </w:p>
    <w:p>
      <w:pPr>
        <w:pStyle w:val="Body"/>
      </w:pPr>
      <w:r>
        <w:t xml:space="preserve">Figure A3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A3.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Figure A4 reports the country-label contrast item by item, the per-item form of the block effect in Figure 4.</w:t>
      </w:r>
    </w:p>
    <w:p>
      <w:pPr>
        <w:pStyle w:val="Fig"/>
      </w:pPr>
      <w:r>
        <w:drawing>
          <wp:inline distT="0" distB="0" distL="0" distR="0">
            <wp:extent cx="5628146" cy="6766560"/>
            <wp:docPr id="12" name="Figure 12"/>
            <a:graphic xmlns:a="http://schemas.openxmlformats.org/drawingml/2006/main">
              <a:graphicData uri="http://schemas.openxmlformats.org/drawingml/2006/picture">
                <pic:pic xmlns:pic="http://schemas.openxmlformats.org/drawingml/2006/picture">
                  <pic:nvPicPr>
                    <pic:cNvPr id="12" name="Figure 12"/>
                    <pic:cNvPicPr/>
                  </pic:nvPicPr>
                  <pic:blipFill>
                    <a:blip r:embed="rId112"/>
                    <a:stretch>
                      <a:fillRect/>
                    </a:stretch>
                  </pic:blipFill>
                  <pic:spPr>
                    <a:xfrm>
                      <a:off x="0" y="0"/>
                      <a:ext cx="5628146" cy="6766560"/>
                    </a:xfrm>
                    <a:prstGeom prst="rect">
                      <a:avLst/>
                    </a:prstGeom>
                  </pic:spPr>
                </pic:pic>
              </a:graphicData>
            </a:graphic>
          </wp:inline>
        </w:drawing>
      </w:r>
    </w:p>
    <w:p>
      <w:pPr>
        <w:pStyle w:val="Caption"/>
      </w:pPr>
      <w:r>
        <w:t xml:space="preserve">Figure A4.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 After Bonferroni correction for four tests (α = 0.0125), the first-person Qwen–Llama contrast reaches the adjusted threshold; the other three do not. Reported p values are unadjusted.</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007"/>
        <w:gridCol w:w="1112"/>
        <w:gridCol w:w="1112"/>
        <w:gridCol w:w="1153"/>
        <w:gridCol w:w="906"/>
        <w:gridCol w:w="889"/>
        <w:gridCol w:w="893"/>
      </w:tblGrid>
      <w:tr>
        <w:tc>
          <w:tcPr>
            <w:tcW w:w="3007" w:type="dxa"/>
            <w:tcBorders>
              <w:bottom w:val="single" w:sz="8" w:space="0" w:color="000000"/>
            </w:tcBorders>
          </w:tcPr>
          <w:p>
            <w:pPr>
              <w:pStyle w:val="Cell"/>
            </w:pPr>
            <w:r>
              <w:rPr>
                <w:b/>
              </w:rPr>
              <w:t xml:space="preserve">Comparison</w:t>
            </w:r>
          </w:p>
        </w:tc>
        <w:tc>
          <w:tcPr>
            <w:tcW w:w="1112" w:type="dxa"/>
            <w:tcBorders>
              <w:bottom w:val="single" w:sz="8" w:space="0" w:color="000000"/>
            </w:tcBorders>
          </w:tcPr>
          <w:p>
            <w:pPr>
              <w:pStyle w:val="Cell"/>
            </w:pPr>
            <w:r>
              <w:rPr>
                <w:b/>
              </w:rPr>
              <w:t xml:space="preserve">rwc (A)</w:t>
            </w:r>
          </w:p>
        </w:tc>
        <w:tc>
          <w:tcPr>
            <w:tcW w:w="1112" w:type="dxa"/>
            <w:tcBorders>
              <w:bottom w:val="single" w:sz="8" w:space="0" w:color="000000"/>
            </w:tcBorders>
          </w:tcPr>
          <w:p>
            <w:pPr>
              <w:pStyle w:val="Cell"/>
            </w:pPr>
            <w:r>
              <w:rPr>
                <w:b/>
              </w:rPr>
              <w:t xml:space="preserve">rwc (B)</w:t>
            </w:r>
          </w:p>
        </w:tc>
        <w:tc>
          <w:tcPr>
            <w:tcW w:w="1153" w:type="dxa"/>
            <w:tcBorders>
              <w:bottom w:val="single" w:sz="8" w:space="0" w:color="000000"/>
            </w:tcBorders>
          </w:tcPr>
          <w:p>
            <w:pPr>
              <w:pStyle w:val="Cell"/>
            </w:pPr>
            <w:r>
              <w:rPr>
                <w:b/>
              </w:rPr>
              <w:t xml:space="preserve">Diff</w:t>
            </w:r>
          </w:p>
        </w:tc>
        <w:tc>
          <w:tcPr>
            <w:tcW w:w="906" w:type="dxa"/>
            <w:tcBorders>
              <w:bottom w:val="single" w:sz="8" w:space="0" w:color="000000"/>
            </w:tcBorders>
          </w:tcPr>
          <w:p>
            <w:pPr>
              <w:pStyle w:val="Cell"/>
            </w:pPr>
            <w:r>
              <w:rPr>
                <w:b/>
              </w:rPr>
              <w:t xml:space="preserve">SE</w:t>
            </w:r>
          </w:p>
        </w:tc>
        <w:tc>
          <w:tcPr>
            <w:tcW w:w="889" w:type="dxa"/>
            <w:tcBorders>
              <w:bottom w:val="single" w:sz="8" w:space="0" w:color="000000"/>
            </w:tcBorders>
          </w:tcPr>
          <w:p>
            <w:pPr>
              <w:pStyle w:val="Cell"/>
            </w:pPr>
            <w:r>
              <w:rPr>
                <w:b/>
              </w:rPr>
              <w:t xml:space="preserve">t</w:t>
            </w:r>
          </w:p>
        </w:tc>
        <w:tc>
          <w:tcPr>
            <w:tcW w:w="893" w:type="dxa"/>
            <w:tcBorders>
              <w:bottom w:val="single" w:sz="8" w:space="0" w:color="000000"/>
            </w:tcBorders>
          </w:tcPr>
          <w:p>
            <w:pPr>
              <w:pStyle w:val="Cell"/>
            </w:pPr>
            <w:r>
              <w:rPr>
                <w:b/>
              </w:rPr>
              <w:t xml:space="preserve">p</w:t>
            </w:r>
          </w:p>
        </w:tc>
      </w:tr>
      <w:tr>
        <w:tc>
          <w:tcPr>
            <w:tcW w:w="3007" w:type="dxa"/>
          </w:tcPr>
          <w:p>
            <w:pPr>
              <w:pStyle w:val="Cell"/>
            </w:pPr>
            <w:r>
              <w:t xml:space="preserve">Qwen: 1P vs 3P</w:t>
            </w:r>
          </w:p>
        </w:tc>
        <w:tc>
          <w:tcPr>
            <w:tcW w:w="1112" w:type="dxa"/>
          </w:tcPr>
          <w:p>
            <w:pPr>
              <w:pStyle w:val="Cell"/>
            </w:pPr>
            <w:r>
              <w:t xml:space="preserve">0.027</w:t>
            </w:r>
          </w:p>
        </w:tc>
        <w:tc>
          <w:tcPr>
            <w:tcW w:w="1112" w:type="dxa"/>
          </w:tcPr>
          <w:p>
            <w:pPr>
              <w:pStyle w:val="Cell"/>
            </w:pPr>
            <w:r>
              <w:t xml:space="preserve">0.029</w:t>
            </w:r>
          </w:p>
        </w:tc>
        <w:tc>
          <w:tcPr>
            <w:tcW w:w="1153" w:type="dxa"/>
          </w:tcPr>
          <w:p>
            <w:pPr>
              <w:pStyle w:val="Cell"/>
            </w:pPr>
            <w:r>
              <w:t xml:space="preserve">-0.002</w:t>
            </w:r>
          </w:p>
        </w:tc>
        <w:tc>
          <w:tcPr>
            <w:tcW w:w="906" w:type="dxa"/>
          </w:tcPr>
          <w:p>
            <w:pPr>
              <w:pStyle w:val="Cell"/>
            </w:pPr>
            <w:r>
              <w:t xml:space="preserve">0.006</w:t>
            </w:r>
          </w:p>
        </w:tc>
        <w:tc>
          <w:tcPr>
            <w:tcW w:w="889" w:type="dxa"/>
          </w:tcPr>
          <w:p>
            <w:pPr>
              <w:pStyle w:val="Cell"/>
            </w:pPr>
            <w:r>
              <w:t xml:space="preserve">-0.28</w:t>
            </w:r>
          </w:p>
        </w:tc>
        <w:tc>
          <w:tcPr>
            <w:tcW w:w="893" w:type="dxa"/>
          </w:tcPr>
          <w:p>
            <w:pPr>
              <w:pStyle w:val="Cell"/>
            </w:pPr>
            <w:r>
              <w:t xml:space="preserve">0.785</w:t>
            </w:r>
          </w:p>
        </w:tc>
      </w:tr>
      <w:tr>
        <w:tc>
          <w:tcPr>
            <w:tcW w:w="3007" w:type="dxa"/>
          </w:tcPr>
          <w:p>
            <w:pPr>
              <w:pStyle w:val="Cell"/>
            </w:pPr>
            <w:r>
              <w:t xml:space="preserve">Llama: 1P vs 3P</w:t>
            </w:r>
          </w:p>
        </w:tc>
        <w:tc>
          <w:tcPr>
            <w:tcW w:w="1112" w:type="dxa"/>
          </w:tcPr>
          <w:p>
            <w:pPr>
              <w:pStyle w:val="Cell"/>
            </w:pPr>
            <w:r>
              <w:t xml:space="preserve">0.009</w:t>
            </w:r>
          </w:p>
        </w:tc>
        <w:tc>
          <w:tcPr>
            <w:tcW w:w="1112" w:type="dxa"/>
          </w:tcPr>
          <w:p>
            <w:pPr>
              <w:pStyle w:val="Cell"/>
            </w:pPr>
            <w:r>
              <w:t xml:space="preserve">0.006</w:t>
            </w:r>
          </w:p>
        </w:tc>
        <w:tc>
          <w:tcPr>
            <w:tcW w:w="1153" w:type="dxa"/>
          </w:tcPr>
          <w:p>
            <w:pPr>
              <w:pStyle w:val="Cell"/>
            </w:pPr>
            <w:r>
              <w:t xml:space="preserve">+0.004</w:t>
            </w:r>
          </w:p>
        </w:tc>
        <w:tc>
          <w:tcPr>
            <w:tcW w:w="906" w:type="dxa"/>
          </w:tcPr>
          <w:p>
            <w:pPr>
              <w:pStyle w:val="Cell"/>
            </w:pPr>
            <w:r>
              <w:t xml:space="preserve">0.004</w:t>
            </w:r>
          </w:p>
        </w:tc>
        <w:tc>
          <w:tcPr>
            <w:tcW w:w="889" w:type="dxa"/>
          </w:tcPr>
          <w:p>
            <w:pPr>
              <w:pStyle w:val="Cell"/>
            </w:pPr>
            <w:r>
              <w:t xml:space="preserve">0.99</w:t>
            </w:r>
          </w:p>
        </w:tc>
        <w:tc>
          <w:tcPr>
            <w:tcW w:w="893" w:type="dxa"/>
          </w:tcPr>
          <w:p>
            <w:pPr>
              <w:pStyle w:val="Cell"/>
            </w:pPr>
            <w:r>
              <w:t xml:space="preserve">0.326</w:t>
            </w:r>
          </w:p>
        </w:tc>
      </w:tr>
      <w:tr>
        <w:tc>
          <w:tcPr>
            <w:tcW w:w="3007" w:type="dxa"/>
          </w:tcPr>
          <w:p>
            <w:pPr>
              <w:pStyle w:val="Cell"/>
            </w:pPr>
            <w:r>
              <w:t xml:space="preserve">1P: Qwen vs Llama</w:t>
            </w:r>
          </w:p>
        </w:tc>
        <w:tc>
          <w:tcPr>
            <w:tcW w:w="1112" w:type="dxa"/>
          </w:tcPr>
          <w:p>
            <w:pPr>
              <w:pStyle w:val="Cell"/>
            </w:pPr>
            <w:r>
              <w:t xml:space="preserve">0.027</w:t>
            </w:r>
          </w:p>
        </w:tc>
        <w:tc>
          <w:tcPr>
            <w:tcW w:w="1112" w:type="dxa"/>
          </w:tcPr>
          <w:p>
            <w:pPr>
              <w:pStyle w:val="Cell"/>
            </w:pPr>
            <w:r>
              <w:t xml:space="preserve">0.009</w:t>
            </w:r>
          </w:p>
        </w:tc>
        <w:tc>
          <w:tcPr>
            <w:tcW w:w="1153" w:type="dxa"/>
          </w:tcPr>
          <w:p>
            <w:pPr>
              <w:pStyle w:val="Cell"/>
            </w:pPr>
            <w:r>
              <w:t xml:space="preserve">+0.018</w:t>
            </w:r>
          </w:p>
        </w:tc>
        <w:tc>
          <w:tcPr>
            <w:tcW w:w="906" w:type="dxa"/>
          </w:tcPr>
          <w:p>
            <w:pPr>
              <w:pStyle w:val="Cell"/>
            </w:pPr>
            <w:r>
              <w:t xml:space="preserve">0.006</w:t>
            </w:r>
          </w:p>
        </w:tc>
        <w:tc>
          <w:tcPr>
            <w:tcW w:w="889" w:type="dxa"/>
          </w:tcPr>
          <w:p>
            <w:pPr>
              <w:pStyle w:val="Cell"/>
            </w:pPr>
            <w:r>
              <w:t xml:space="preserve">2.81</w:t>
            </w:r>
          </w:p>
        </w:tc>
        <w:tc>
          <w:tcPr>
            <w:tcW w:w="893" w:type="dxa"/>
          </w:tcPr>
          <w:p>
            <w:pPr>
              <w:pStyle w:val="Cell"/>
            </w:pPr>
            <w:r>
              <w:t xml:space="preserve">0.007</w:t>
            </w:r>
          </w:p>
        </w:tc>
      </w:tr>
      <w:tr>
        <w:tc>
          <w:tcPr>
            <w:tcW w:w="3007" w:type="dxa"/>
          </w:tcPr>
          <w:p>
            <w:pPr>
              <w:pStyle w:val="Cell"/>
            </w:pPr>
            <w:r>
              <w:t xml:space="preserve">3P: Qwen vs Llama</w:t>
            </w:r>
          </w:p>
        </w:tc>
        <w:tc>
          <w:tcPr>
            <w:tcW w:w="1112" w:type="dxa"/>
          </w:tcPr>
          <w:p>
            <w:pPr>
              <w:pStyle w:val="Cell"/>
            </w:pPr>
            <w:r>
              <w:t xml:space="preserve">0.029</w:t>
            </w:r>
          </w:p>
        </w:tc>
        <w:tc>
          <w:tcPr>
            <w:tcW w:w="1112" w:type="dxa"/>
          </w:tcPr>
          <w:p>
            <w:pPr>
              <w:pStyle w:val="Cell"/>
            </w:pPr>
            <w:r>
              <w:t xml:space="preserve">0.006</w:t>
            </w:r>
          </w:p>
        </w:tc>
        <w:tc>
          <w:tcPr>
            <w:tcW w:w="1153" w:type="dxa"/>
          </w:tcPr>
          <w:p>
            <w:pPr>
              <w:pStyle w:val="Cell"/>
            </w:pPr>
            <w:r>
              <w:t xml:space="preserve">+0.023</w:t>
            </w:r>
          </w:p>
        </w:tc>
        <w:tc>
          <w:tcPr>
            <w:tcW w:w="906" w:type="dxa"/>
          </w:tcPr>
          <w:p>
            <w:pPr>
              <w:pStyle w:val="Cell"/>
            </w:pPr>
            <w:r>
              <w:t xml:space="preserve">0.010</w:t>
            </w:r>
          </w:p>
        </w:tc>
        <w:tc>
          <w:tcPr>
            <w:tcW w:w="889" w:type="dxa"/>
          </w:tcPr>
          <w:p>
            <w:pPr>
              <w:pStyle w:val="Cell"/>
            </w:pPr>
            <w:r>
              <w:t xml:space="preserve">2.28</w:t>
            </w:r>
          </w:p>
        </w:tc>
        <w:tc>
          <w:tcPr>
            <w:tcW w:w="893" w:type="dxa"/>
          </w:tcPr>
          <w:p>
            <w:pPr>
              <w:pStyle w:val="Cell"/>
            </w:pPr>
            <w:r>
              <w:t xml:space="preserve">0.028</w:t>
            </w:r>
          </w:p>
        </w:tc>
      </w:tr>
    </w:tbl>
    <w:p>
      <w:pPr>
        <w:pStyle w:val="H3"/>
      </w:pPr>
      <w:r>
        <w:t xml:space="preserve">Aggregate robustness checks</w:t>
      </w:r>
    </w:p>
    <w:p>
      <w:pPr>
        <w:pStyle w:val="Body"/>
      </w:pPr>
      <w:r>
        <w:t xml:space="preserve">Table A5 lists all sixteen checks with the quantity each moves. Three deserve comment because they concern the choice of estimator, not the data. The within-country dispersion ratio has three defensible aggregators (mean of ratios 0.61, median 0.57, ratio of means 0.59) and the offset reduction has four (59.9 to 64.2%); all three dispersion estimators fail the pre-declared 0.9–1.1 band, so no conclusion turns on the choice, but the choice is named wherever the quantity appears. Design weighting correlates the weighted and unweighted per-item coefficients at 0.999 while moving a single item by up to 0.103, so the item-level maximum is reported, not the cross-item correlation. The direction classification was frozen from the ESS codebook before any result was seen, and the direction R² rises from 0.658 to 0.746 when the three pre-declared unstable items are dropped, so the objection strengthens the result instead of weakening it.</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8.71% contain no digit and one is empty. Four explanations were tested and rejected. Truncation: failed outputs have a median length of 61 characters against a maximum of 317, and none falls within two%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Reading the verbatim outputs shows that this rule discards answers the model gave correctly, such as a junk number followed by a valid one. Whether that matters was tested, not assumed. All 11.3 million raw responses were re-parsed, and every rejected response in the fifteen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headline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fifteen arms.</w:t>
      </w:r>
    </w:p>
    <w:p>
      <w:pPr>
        <w:pStyle w:val="H3"/>
      </w:pPr>
      <w:r>
        <w:t xml:space="preserve">Block ablations</w:t>
      </w:r>
    </w:p>
    <w:p>
      <w:pPr>
        <w:pStyle w:val="Body"/>
      </w:pPr>
      <w:r>
        <w:t xml:space="preserve">Every block of the 20-variable partition is observed with and without, at two margins: added alone to the sparse base plus the label, and removed alone from the full profile. All arms draw the same respondents,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are directionally consistent but smaller than the difference between two identical runs, and are reported as negligible, not as effects.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r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3"/>
      </w:pPr>
      <w:r>
        <w:t xml:space="preserve">Data-processing checks</w:t>
      </w:r>
    </w:p>
    <w:p>
      <w:pPr>
        <w:pStyle w:val="Body"/>
      </w:pPr>
      <w:r>
        <w:t xml:space="preserve">For RQ1, four data-processing checks leave the aggregate results unchanged. Design weighting changes the item-level coefficients little: the weighted and unweighted vectors correlate at 0.9987, and the largest single-item change is 0.103 (Table A5). Computing each country mean on the human–model valid intersection changes per-item between-country correlations by at most about 0.1 for a few items. Two further checks were run on the earlier 500-respondent round: excluding the voting item’s ‘not eligible’ category, and replacing the human subsample with the full ESS sample. Both left the per-item correlations essentially unchanged (r = 0.99) and preserved every negative correlation, and the cross-round stability check in Table A5 carries them forward to the final 685-respondent round. These checks cover weighting, coding, valid-response alignment, and subsampling.</w:t>
      </w:r>
    </w:p>
    <w:p>
      <w:pPr>
        <w:pStyle w:val="Body"/>
      </w:pPr>
      <w:r>
        <w:t xml:space="preserve">Table A5 reports every robustness check with the quantity it moves. Two change something and are discussed in Section 4.4; the rest leave every conclusion in place.</w:t>
      </w:r>
    </w:p>
    <w:p>
      <w:pPr>
        <w:pStyle w:val="Caption"/>
      </w:pPr>
      <w:r>
        <w:t xml:space="preserve">Table A5. Robustness checks (16):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7"/>
        <w:gridCol w:w="1532"/>
        <w:gridCol w:w="3644"/>
        <w:gridCol w:w="2549"/>
      </w:tblGrid>
      <w:tr>
        <w:tc>
          <w:tcPr>
            <w:tcW w:w="1347" w:type="dxa"/>
            <w:tcBorders>
              <w:bottom w:val="single" w:sz="8" w:space="0" w:color="000000"/>
            </w:tcBorders>
          </w:tcPr>
          <w:p>
            <w:pPr>
              <w:pStyle w:val="Cell"/>
            </w:pPr>
            <w:r>
              <w:rPr>
                <w:b/>
              </w:rPr>
              <w:t xml:space="preserve">Check</w:t>
            </w:r>
          </w:p>
        </w:tc>
        <w:tc>
          <w:tcPr>
            <w:tcW w:w="1532" w:type="dxa"/>
            <w:tcBorders>
              <w:bottom w:val="single" w:sz="8" w:space="0" w:color="000000"/>
            </w:tcBorders>
          </w:tcPr>
          <w:p>
            <w:pPr>
              <w:pStyle w:val="Cell"/>
            </w:pPr>
            <w:r>
              <w:rPr>
                <w:b/>
              </w:rPr>
              <w:t xml:space="preserve">What it varies</w:t>
            </w:r>
          </w:p>
        </w:tc>
        <w:tc>
          <w:tcPr>
            <w:tcW w:w="3644" w:type="dxa"/>
            <w:tcBorders>
              <w:bottom w:val="single" w:sz="8" w:space="0" w:color="000000"/>
            </w:tcBorders>
          </w:tcPr>
          <w:p>
            <w:pPr>
              <w:pStyle w:val="Cell"/>
            </w:pPr>
            <w:r>
              <w:rPr>
                <w:b/>
              </w:rPr>
              <w:t xml:space="preserve">Result</w:t>
            </w:r>
          </w:p>
        </w:tc>
        <w:tc>
          <w:tcPr>
            <w:tcW w:w="2549" w:type="dxa"/>
            <w:tcBorders>
              <w:bottom w:val="single" w:sz="8" w:space="0" w:color="000000"/>
            </w:tcBorders>
          </w:tcPr>
          <w:p>
            <w:pPr>
              <w:pStyle w:val="Cell"/>
            </w:pPr>
            <w:r>
              <w:rPr>
                <w:b/>
              </w:rPr>
              <w:t xml:space="preserve">Any conclusion change?</w:t>
            </w:r>
          </w:p>
        </w:tc>
      </w:tr>
      <w:tr>
        <w:tc>
          <w:tcPr>
            <w:tcW w:w="1347" w:type="dxa"/>
          </w:tcPr>
          <w:p>
            <w:pPr>
              <w:pStyle w:val="Cell"/>
            </w:pPr>
            <w:r>
              <w:t xml:space="preserve">Design weighting of the human benchmark</w:t>
            </w:r>
          </w:p>
        </w:tc>
        <w:tc>
          <w:tcPr>
            <w:tcW w:w="1532" w:type="dxa"/>
          </w:tcPr>
          <w:p>
            <w:pPr>
              <w:pStyle w:val="Cell"/>
            </w:pPr>
            <w:r>
              <w:t xml:space="preserve">Human country means computed unweighted instead of with pspwght</w:t>
            </w:r>
          </w:p>
        </w:tc>
        <w:tc>
          <w:tcPr>
            <w:tcW w:w="3644" w:type="dxa"/>
          </w:tcPr>
          <w:p>
            <w:pPr>
              <w:pStyle w:val="Cell"/>
            </w:pPr>
            <w:r>
              <w:t xml:space="preserve">The two coefficient vectors correlate at 0.9987; the largest item-level change is 0.103 (health)</w:t>
            </w:r>
          </w:p>
        </w:tc>
        <w:tc>
          <w:tcPr>
            <w:tcW w:w="2549" w:type="dxa"/>
          </w:tcPr>
          <w:p>
            <w:pPr>
              <w:pStyle w:val="Cell"/>
            </w:pPr>
            <w:r>
              <w:t xml:space="preserve">No. The median and the direction decomposition are unaffected.</w:t>
            </w:r>
          </w:p>
        </w:tc>
      </w:tr>
      <w:tr>
        <w:tc>
          <w:tcPr>
            <w:tcW w:w="1347" w:type="dxa"/>
          </w:tcPr>
          <w:p>
            <w:pPr>
              <w:pStyle w:val="Cell"/>
            </w:pPr>
            <w:r>
              <w:t xml:space="preserve">Direction classification of the 42 items</w:t>
            </w:r>
          </w:p>
        </w:tc>
        <w:tc>
          <w:tcPr>
            <w:tcW w:w="1532" w:type="dxa"/>
          </w:tcPr>
          <w:p>
            <w:pPr>
              <w:pStyle w:val="Cell"/>
            </w:pPr>
            <w:r>
              <w:t xml:space="preserve">The frozen classification against the four disputed codings</w:t>
            </w:r>
          </w:p>
        </w:tc>
        <w:tc>
          <w:tcPr>
            <w:tcW w:w="3644" w:type="dxa"/>
          </w:tcPr>
          <w:p>
            <w:pPr>
              <w:pStyle w:val="Cell"/>
            </w:pPr>
            <w:r>
              <w:t xml:space="preserve">R² = 0.6576 on all 42 items, 0.6531 excluding vote, 0.7455 further excluding the two screened items</w:t>
            </w:r>
          </w:p>
        </w:tc>
        <w:tc>
          <w:tcPr>
            <w:tcW w:w="2549" w:type="dxa"/>
          </w:tcPr>
          <w:p>
            <w:pPr>
              <w:pStyle w:val="Cell"/>
            </w:pPr>
            <w:r>
              <w:t xml:space="preserve">No. The effect strengthens as the least interpretable items are removed.</w:t>
            </w:r>
          </w:p>
        </w:tc>
      </w:tr>
      <w:tr>
        <w:tc>
          <w:tcPr>
            <w:tcW w:w="1347" w:type="dxa"/>
          </w:tcPr>
          <w:p>
            <w:pPr>
              <w:pStyle w:val="Cell"/>
            </w:pPr>
            <w:r>
              <w:t xml:space="preserve">Items whose silicon dispersion is near zero</w:t>
            </w:r>
          </w:p>
        </w:tc>
        <w:tc>
          <w:tcPr>
            <w:tcW w:w="1532" w:type="dxa"/>
          </w:tcPr>
          <w:p>
            <w:pPr>
              <w:pStyle w:val="Cell"/>
            </w:pPr>
            <w:r>
              <w:t xml:space="preserve">A reliability screen on the silicon side</w:t>
            </w:r>
          </w:p>
        </w:tc>
        <w:tc>
          <w:tcPr>
            <w:tcW w:w="3644" w:type="dxa"/>
          </w:tcPr>
          <w:p>
            <w:pPr>
              <w:pStyle w:val="Cell"/>
            </w:pPr>
            <w:r>
              <w:t xml:space="preserve">Two items fall below it: hmsfmlsh (reliability 0.25) and rlgatnd (0.44); inprdsc (0.615) is retained</w:t>
            </w:r>
          </w:p>
        </w:tc>
        <w:tc>
          <w:tcPr>
            <w:tcW w:w="2549" w:type="dxa"/>
          </w:tcPr>
          <w:p>
            <w:pPr>
              <w:pStyle w:val="Cell"/>
            </w:pPr>
            <w:r>
              <w:t xml:space="preserve">No. Both are pre-declared uninterpretable and the primary anchored specification excludes them.</w:t>
            </w:r>
          </w:p>
        </w:tc>
      </w:tr>
      <w:tr>
        <w:tc>
          <w:tcPr>
            <w:tcW w:w="1347" w:type="dxa"/>
          </w:tcPr>
          <w:p>
            <w:pPr>
              <w:pStyle w:val="Cell"/>
            </w:pPr>
            <w:r>
              <w:t xml:space="preserve">Item set for the anchoring experiment</w:t>
            </w:r>
          </w:p>
        </w:tc>
        <w:tc>
          <w:tcPr>
            <w:tcW w:w="1532" w:type="dxa"/>
          </w:tcPr>
          <w:p>
            <w:pPr>
              <w:pStyle w:val="Cell"/>
            </w:pPr>
            <w:r>
              <w:t xml:space="preserve">Three pre-specified reverse-item sets</w:t>
            </w:r>
          </w:p>
        </w:tc>
        <w:tc>
          <w:tcPr>
            <w:tcW w:w="3644" w:type="dxa"/>
          </w:tcPr>
          <w:p>
            <w:pPr>
              <w:pStyle w:val="Cell"/>
            </w:pPr>
            <w:r>
              <w:t xml:space="preserve">All 12 in batch: +0.4912 [+0.1515, +0.8809], 11 of 12 up; primary 10: +0.4230 [+0.1259, +0.7928], 10 of 10 up; strictest 8: +0.1636 [+0.0507, +0.2671], 8 of 8 up</w:t>
            </w:r>
          </w:p>
        </w:tc>
        <w:tc>
          <w:tcPr>
            <w:tcW w:w="2549" w:type="dxa"/>
          </w:tcPr>
          <w:p>
            <w:pPr>
              <w:pStyle w:val="Cell"/>
            </w:pPr>
            <w:r>
              <w:t xml:space="preserve">No for the sign and the interval. Yes for the gap verdict: eliminated on the primary set, narrowed with a residual on the strictest.</w:t>
            </w:r>
          </w:p>
        </w:tc>
      </w:tr>
      <w:tr>
        <w:tc>
          <w:tcPr>
            <w:tcW w:w="1347" w:type="dxa"/>
          </w:tcPr>
          <w:p>
            <w:pPr>
              <w:pStyle w:val="Cell"/>
            </w:pPr>
            <w:r>
              <w:t xml:space="preserve">Choice of forward control items</w:t>
            </w:r>
          </w:p>
        </w:tc>
        <w:tc>
          <w:tcPr>
            <w:tcW w:w="1532" w:type="dxa"/>
          </w:tcPr>
          <w:p>
            <w:pPr>
              <w:pStyle w:val="Cell"/>
            </w:pPr>
            <w:r>
              <w:t xml:space="preserve">Ten leave-one-out control sets</w:t>
            </w:r>
          </w:p>
        </w:tc>
        <w:tc>
          <w:tcPr>
            <w:tcW w:w="3644" w:type="dxa"/>
          </w:tcPr>
          <w:p>
            <w:pPr>
              <w:pStyle w:val="Cell"/>
            </w:pPr>
            <w:r>
              <w:t xml:space="preserve">The triple difference stays in [0.403, 0.455] against the primary 0.423; the largest shift is 0.032</w:t>
            </w:r>
          </w:p>
        </w:tc>
        <w:tc>
          <w:tcPr>
            <w:tcW w:w="2549" w:type="dxa"/>
          </w:tcPr>
          <w:p>
            <w:pPr>
              <w:pStyle w:val="Cell"/>
            </w:pPr>
            <w:r>
              <w:t xml:space="preserve">No.</w:t>
            </w:r>
          </w:p>
        </w:tc>
      </w:tr>
      <w:tr>
        <w:tc>
          <w:tcPr>
            <w:tcW w:w="1347" w:type="dxa"/>
          </w:tcPr>
          <w:p>
            <w:pPr>
              <w:pStyle w:val="Cell"/>
            </w:pPr>
            <w:r>
              <w:t xml:space="preserve">Run-to-run stability of the generation</w:t>
            </w:r>
          </w:p>
        </w:tc>
        <w:tc>
          <w:tcPr>
            <w:tcW w:w="1532" w:type="dxa"/>
          </w:tcPr>
          <w:p>
            <w:pPr>
              <w:pStyle w:val="Cell"/>
            </w:pPr>
            <w:r>
              <w:t xml:space="preserve">Two identical unseeded runs</w:t>
            </w:r>
          </w:p>
        </w:tc>
        <w:tc>
          <w:tcPr>
            <w:tcW w:w="3644" w:type="dxa"/>
          </w:tcPr>
          <w:p>
            <w:pPr>
              <w:pStyle w:val="Cell"/>
            </w:pPr>
            <w:r>
              <w:t xml:space="preserve">Median absolute rbc difference 0.0602 per item, maximum 0.1854, no sign reversals</w:t>
            </w:r>
          </w:p>
        </w:tc>
        <w:tc>
          <w:tcPr>
            <w:tcW w:w="2549" w:type="dxa"/>
          </w:tcPr>
          <w:p>
            <w:pPr>
              <w:pStyle w:val="Cell"/>
            </w:pPr>
            <w:r>
              <w:t xml:space="preserve">No, and it closes a stated limitation: every contrast is read against the 0.060 band.</w:t>
            </w:r>
          </w:p>
        </w:tc>
      </w:tr>
      <w:tr>
        <w:tc>
          <w:tcPr>
            <w:tcW w:w="1347" w:type="dxa"/>
          </w:tcPr>
          <w:p>
            <w:pPr>
              <w:pStyle w:val="Cell"/>
            </w:pPr>
            <w:r>
              <w:t xml:space="preserve">Deflator for the macro-covariate comparator</w:t>
            </w:r>
          </w:p>
        </w:tc>
        <w:tc>
          <w:tcPr>
            <w:tcW w:w="1532" w:type="dxa"/>
          </w:tcPr>
          <w:p>
            <w:pPr>
              <w:pStyle w:val="Cell"/>
            </w:pPr>
            <w:r>
              <w:t xml:space="preserve">Market dollars against purchasing parity</w:t>
            </w:r>
          </w:p>
        </w:tc>
        <w:tc>
          <w:tcPr>
            <w:tcW w:w="3644" w:type="dxa"/>
          </w:tcPr>
          <w:p>
            <w:pPr>
              <w:pStyle w:val="Cell"/>
            </w:pPr>
            <w:r>
              <w:t xml:space="preserve">Median r 0.6177 under dollars, 0.6317 under parity; normalized error 0.0522 and 0.0527</w:t>
            </w:r>
          </w:p>
        </w:tc>
        <w:tc>
          <w:tcPr>
            <w:tcW w:w="2549" w:type="dxa"/>
          </w:tcPr>
          <w:p>
            <w:pPr>
              <w:pStyle w:val="Cell"/>
            </w:pPr>
            <w:r>
              <w:t xml:space="preserve">No for the comparison with the model. Yes for one claim, therefore not made: the covariate-alone ranking is deflator-dependent.</w:t>
            </w:r>
          </w:p>
        </w:tc>
      </w:tr>
      <w:tr>
        <w:tc>
          <w:tcPr>
            <w:tcW w:w="1347" w:type="dxa"/>
          </w:tcPr>
          <w:p>
            <w:pPr>
              <w:pStyle w:val="Cell"/>
            </w:pPr>
            <w:r>
              <w:t xml:space="preserve">Israel as a bloc of one in the comparator</w:t>
            </w:r>
          </w:p>
        </w:tc>
        <w:tc>
          <w:tcPr>
            <w:tcW w:w="1532" w:type="dxa"/>
          </w:tcPr>
          <w:p>
            <w:pPr>
              <w:pStyle w:val="Cell"/>
            </w:pPr>
            <w:r>
              <w:t xml:space="preserve">Israel handled as its own regional bloc</w:t>
            </w:r>
          </w:p>
        </w:tc>
        <w:tc>
          <w:tcPr>
            <w:tcW w:w="3644" w:type="dxa"/>
          </w:tcPr>
          <w:p>
            <w:pPr>
              <w:pStyle w:val="Cell"/>
            </w:pPr>
            <w:r>
              <w:t xml:space="preserve">The comparator's median r moves from 0.6177 to 0.6741; the gap to the model from 0.174 to 0.177</w:t>
            </w:r>
          </w:p>
        </w:tc>
        <w:tc>
          <w:tcPr>
            <w:tcW w:w="2549" w:type="dxa"/>
          </w:tcPr>
          <w:p>
            <w:pPr>
              <w:pStyle w:val="Cell"/>
            </w:pPr>
            <w:r>
              <w:t xml:space="preserve">No.</w:t>
            </w:r>
          </w:p>
        </w:tc>
      </w:tr>
      <w:tr>
        <w:tc>
          <w:tcPr>
            <w:tcW w:w="1347" w:type="dxa"/>
          </w:tcPr>
          <w:p>
            <w:pPr>
              <w:pStyle w:val="Cell"/>
            </w:pPr>
            <w:r>
              <w:t xml:space="preserve">Influential countries in the comparator</w:t>
            </w:r>
          </w:p>
        </w:tc>
        <w:tc>
          <w:tcPr>
            <w:tcW w:w="1532" w:type="dxa"/>
          </w:tcPr>
          <w:p>
            <w:pPr>
              <w:pStyle w:val="Cell"/>
            </w:pPr>
            <w:r>
              <w:t xml:space="preserve">Leave-one-out over the 30 countries</w:t>
            </w:r>
          </w:p>
        </w:tc>
        <w:tc>
          <w:tcPr>
            <w:tcW w:w="3644" w:type="dxa"/>
          </w:tcPr>
          <w:p>
            <w:pPr>
              <w:pStyle w:val="Cell"/>
            </w:pPr>
            <w:r>
              <w:t xml:space="preserve">Excluding Ireland moves the headline by 0.001; the high-leverage country is Ukraine (mean hat 0.495)</w:t>
            </w:r>
          </w:p>
        </w:tc>
        <w:tc>
          <w:tcPr>
            <w:tcW w:w="2549" w:type="dxa"/>
          </w:tcPr>
          <w:p>
            <w:pPr>
              <w:pStyle w:val="Cell"/>
            </w:pPr>
            <w:r>
              <w:t xml:space="preserve">No.</w:t>
            </w:r>
          </w:p>
        </w:tc>
      </w:tr>
      <w:tr>
        <w:tc>
          <w:tcPr>
            <w:tcW w:w="1347" w:type="dxa"/>
          </w:tcPr>
          <w:p>
            <w:pPr>
              <w:pStyle w:val="Cell"/>
            </w:pPr>
            <w:r>
              <w:t xml:space="preserve">Coverage in the Llama third-person arm</w:t>
            </w:r>
          </w:p>
        </w:tc>
        <w:tc>
          <w:tcPr>
            <w:tcW w:w="1532" w:type="dxa"/>
          </w:tcPr>
          <w:p>
            <w:pPr>
              <w:pStyle w:val="Cell"/>
            </w:pPr>
            <w:r>
              <w:t xml:space="preserve">Restricting to items above 80% coverage</w:t>
            </w:r>
          </w:p>
        </w:tc>
        <w:tc>
          <w:tcPr>
            <w:tcW w:w="3644" w:type="dxa"/>
          </w:tcPr>
          <w:p>
            <w:pPr>
              <w:pStyle w:val="Cell"/>
            </w:pPr>
            <w:r>
              <w:t xml:space="preserve">Median rbc falls from +0.1729 on all 42 items to −0.0009 on the 19 items above the threshold</w:t>
            </w:r>
          </w:p>
        </w:tc>
        <w:tc>
          <w:tcPr>
            <w:tcW w:w="2549" w:type="dxa"/>
          </w:tcPr>
          <w:p>
            <w:pPr>
              <w:pStyle w:val="Cell"/>
            </w:pPr>
            <w:r>
              <w:t xml:space="preserve">Yes. The arm cannot identify a framing effect; the framing null rests on Qwen alone.</w:t>
            </w:r>
          </w:p>
        </w:tc>
      </w:tr>
      <w:tr>
        <w:tc>
          <w:tcPr>
            <w:tcW w:w="1347" w:type="dxa"/>
          </w:tcPr>
          <w:p>
            <w:pPr>
              <w:pStyle w:val="Cell"/>
            </w:pPr>
            <w:r>
              <w:t xml:space="preserve">Aggregator for the dispersion ratios</w:t>
            </w:r>
          </w:p>
        </w:tc>
        <w:tc>
          <w:tcPr>
            <w:tcW w:w="1532" w:type="dxa"/>
          </w:tcPr>
          <w:p>
            <w:pPr>
              <w:pStyle w:val="Cell"/>
            </w:pPr>
            <w:r>
              <w:t xml:space="preserve">Mean of ratios, median, and ratio of means</w:t>
            </w:r>
          </w:p>
        </w:tc>
        <w:tc>
          <w:tcPr>
            <w:tcW w:w="3644" w:type="dxa"/>
          </w:tcPr>
          <w:p>
            <w:pPr>
              <w:pStyle w:val="Cell"/>
            </w:pPr>
            <w:r>
              <w:t xml:space="preserve">Within-country 0.6052, 0.5727, 0.5859; between-country 0.2821 median, 0.2952 mean</w:t>
            </w:r>
          </w:p>
        </w:tc>
        <w:tc>
          <w:tcPr>
            <w:tcW w:w="2549" w:type="dxa"/>
          </w:tcPr>
          <w:p>
            <w:pPr>
              <w:pStyle w:val="Cell"/>
            </w:pPr>
            <w:r>
              <w:t xml:space="preserve">No. All three within-country estimators fail the pre-declared 0.9–1.1 band.</w:t>
            </w:r>
          </w:p>
        </w:tc>
      </w:tr>
      <w:tr>
        <w:tc>
          <w:tcPr>
            <w:tcW w:w="1347" w:type="dxa"/>
          </w:tcPr>
          <w:p>
            <w:pPr>
              <w:pStyle w:val="Cell"/>
            </w:pPr>
            <w:r>
              <w:t xml:space="preserve">Estimator for the offset reduction</w:t>
            </w:r>
          </w:p>
        </w:tc>
        <w:tc>
          <w:tcPr>
            <w:tcW w:w="1532" w:type="dxa"/>
          </w:tcPr>
          <w:p>
            <w:pPr>
              <w:pStyle w:val="Cell"/>
            </w:pPr>
            <w:r>
              <w:t xml:space="preserve">Four defensible estimators</w:t>
            </w:r>
          </w:p>
        </w:tc>
        <w:tc>
          <w:tcPr>
            <w:tcW w:w="3644" w:type="dxa"/>
          </w:tcPr>
          <w:p>
            <w:pPr>
              <w:pStyle w:val="Cell"/>
            </w:pPr>
            <w:r>
              <w:t xml:space="preserve">Ratio of medians 64.2%, ratio of means 62.9%, median of per-item reductions 59.9%, mean of per-item reductions 53.7%</w:t>
            </w:r>
          </w:p>
        </w:tc>
        <w:tc>
          <w:tcPr>
            <w:tcW w:w="2549" w:type="dxa"/>
          </w:tcPr>
          <w:p>
            <w:pPr>
              <w:pStyle w:val="Cell"/>
            </w:pPr>
            <w:r>
              <w:t xml:space="preserve">Yes for the number quoted: 59.9%, the median of the per-item reductions, named as such.</w:t>
            </w:r>
          </w:p>
        </w:tc>
      </w:tr>
      <w:tr>
        <w:tc>
          <w:tcPr>
            <w:tcW w:w="1347" w:type="dxa"/>
          </w:tcPr>
          <w:p>
            <w:pPr>
              <w:pStyle w:val="Cell"/>
            </w:pPr>
            <w:r>
              <w:t xml:space="preserve">Specification for the cross-level agreement</w:t>
            </w:r>
          </w:p>
        </w:tc>
        <w:tc>
          <w:tcPr>
            <w:tcW w:w="1532" w:type="dxa"/>
          </w:tcPr>
          <w:p>
            <w:pPr>
              <w:pStyle w:val="Cell"/>
            </w:pPr>
            <w:r>
              <w:t xml:space="preserve">As coded, forward items only, sign-aligned</w:t>
            </w:r>
          </w:p>
        </w:tc>
        <w:tc>
          <w:tcPr>
            <w:tcW w:w="3644" w:type="dxa"/>
          </w:tcPr>
          <w:p>
            <w:pPr>
              <w:pStyle w:val="Cell"/>
            </w:pPr>
            <w:r>
              <w:t xml:space="preserve">Pearson 0.9368 as coded, 0.7745 forward-only, 0.8355 sign-aligned</w:t>
            </w:r>
          </w:p>
        </w:tc>
        <w:tc>
          <w:tcPr>
            <w:tcW w:w="2549" w:type="dxa"/>
          </w:tcPr>
          <w:p>
            <w:pPr>
              <w:pStyle w:val="Cell"/>
            </w:pPr>
            <w:r>
              <w:t xml:space="preserve">No for the existence of the agreement. Yes for its description: about a third of the raw magnitude is the shared direction failure.</w:t>
            </w:r>
          </w:p>
        </w:tc>
      </w:tr>
      <w:tr>
        <w:tc>
          <w:tcPr>
            <w:tcW w:w="1347" w:type="dxa"/>
          </w:tcPr>
          <w:p>
            <w:pPr>
              <w:pStyle w:val="Cell"/>
            </w:pPr>
            <w:r>
              <w:t xml:space="preserve">Frame for country-level quantities</w:t>
            </w:r>
          </w:p>
        </w:tc>
        <w:tc>
          <w:tcPr>
            <w:tcW w:w="1532" w:type="dxa"/>
          </w:tcPr>
          <w:p>
            <w:pPr>
              <w:pStyle w:val="Cell"/>
            </w:pPr>
            <w:r>
              <w:t xml:space="preserve">Full frame against the human–model intersection</w:t>
            </w:r>
          </w:p>
        </w:tc>
        <w:tc>
          <w:tcPr>
            <w:tcW w:w="3644" w:type="dxa"/>
          </w:tcPr>
          <w:p>
            <w:pPr>
              <w:pStyle w:val="Cell"/>
            </w:pPr>
            <w:r>
              <w:t xml:space="preserve">Median rbc moves from 0.4433 to 0.4425; single items move by up to 0.109 (health)</w:t>
            </w:r>
          </w:p>
        </w:tc>
        <w:tc>
          <w:tcPr>
            <w:tcW w:w="2549" w:type="dxa"/>
          </w:tcPr>
          <w:p>
            <w:pPr>
              <w:pStyle w:val="Cell"/>
            </w:pPr>
            <w:r>
              <w:t xml:space="preserve">No for the median. The frame is fixed in one place and stated.</w:t>
            </w:r>
          </w:p>
        </w:tc>
      </w:tr>
      <w:tr>
        <w:tc>
          <w:tcPr>
            <w:tcW w:w="1347" w:type="dxa"/>
          </w:tcPr>
          <w:p>
            <w:pPr>
              <w:pStyle w:val="Cell"/>
            </w:pPr>
            <w:r>
              <w:t xml:space="preserve">Stability across rounds</w:t>
            </w:r>
          </w:p>
        </w:tc>
        <w:tc>
          <w:tcPr>
            <w:tcW w:w="1532" w:type="dxa"/>
          </w:tcPr>
          <w:p>
            <w:pPr>
              <w:pStyle w:val="Cell"/>
            </w:pPr>
            <w:r>
              <w:t xml:space="preserve">The March round against the final round</w:t>
            </w:r>
          </w:p>
        </w:tc>
        <w:tc>
          <w:tcPr>
            <w:tcW w:w="3644" w:type="dxa"/>
          </w:tcPr>
          <w:p>
            <w:pPr>
              <w:pStyle w:val="Cell"/>
            </w:pPr>
            <w:r>
              <w:t xml:space="preserve">Median absolute item-level rbc change 0.0415, against a same-round replicate median of 0.060</w:t>
            </w:r>
          </w:p>
        </w:tc>
        <w:tc>
          <w:tcPr>
            <w:tcW w:w="2549" w:type="dxa"/>
          </w:tcPr>
          <w:p>
            <w:pPr>
              <w:pStyle w:val="Cell"/>
            </w:pPr>
            <w:r>
              <w:t xml:space="preserve">No.</w:t>
            </w:r>
          </w:p>
        </w:tc>
      </w:tr>
      <w:tr>
        <w:tc>
          <w:tcPr>
            <w:tcW w:w="1347" w:type="dxa"/>
          </w:tcPr>
          <w:p>
            <w:pPr>
              <w:pStyle w:val="Cell"/>
            </w:pPr>
            <w:r>
              <w:t xml:space="preserve">Human-side missingness rule</w:t>
            </w:r>
          </w:p>
        </w:tc>
        <w:tc>
          <w:tcPr>
            <w:tcW w:w="1532" w:type="dxa"/>
          </w:tcPr>
          <w:p>
            <w:pPr>
              <w:pStyle w:val="Cell"/>
            </w:pPr>
            <w:r>
              <w:t xml:space="preserve">Correcting the missing-code set for the coarse scales</w:t>
            </w:r>
          </w:p>
        </w:tc>
        <w:tc>
          <w:tcPr>
            <w:tcW w:w="3644" w:type="dxa"/>
          </w:tcPr>
          <w:p>
            <w:pPr>
              <w:pStyle w:val="Cell"/>
            </w:pPr>
            <w:r>
              <w:t xml:space="preserve">Median rbc 0.418 to 0.431; items above 0.70 from eight to nine; inverted items from twelve to eleven; within-country dispersion ratio 0.553 to 0.605</w:t>
            </w:r>
          </w:p>
        </w:tc>
        <w:tc>
          <w:tcPr>
            <w:tcW w:w="2549" w:type="dxa"/>
          </w:tcPr>
          <w:p>
            <w:pPr>
              <w:pStyle w:val="Cell"/>
            </w:pPr>
            <w:r>
              <w:t xml:space="preserve">Yes for several reported figures, all corrected. No for any conclusion.</w:t>
            </w:r>
          </w:p>
        </w:tc>
      </w:tr>
    </w:tbl>
    <w:p>
      <w:pPr>
        <w:pStyle w:val="Caption"/>
      </w:pPr>
      <w:r>
        <w:t xml:space="preserve">Table A6. Sensitivity of the between-country correlation to the response-extraction rule, the 15 arms landed at the time of the check.</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 Id="rId112" Type="http://schemas.openxmlformats.org/officeDocument/2006/relationships/image" Target="media/image12.png"/></Relationships>
</file>