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is a joint evaluation of item-level country rankings, within-country individual recovery, and the label’s incremental contribution on matched respondents. The second is the experimental identification of that prior and of the format that decides its direction. The third is a benchmark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decides whether the country ordering it produces is correct or inverted?</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 2 (prompt) crossing, with everything else fixed. Two major open-weight instruction-tuned models are tested: Qwen 2.5-7B-Instruct (Alibaba) and Llama 3.1-8B-Instruct (Meta). Both are run locally on a university high-performance computing cluster (NVIDIA A100) using vLLM for efficient batched inference. Temperature is set to 0.7, and respondent subsampling uses a fixed seed of 888. 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whether most people can be trusted (ppltrst), try to be fair (pplfair), and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runs over the whole profile, block by block.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 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and three probes settle what they leave open. A block is added alone to the sparse base plus the country label, and it is removed alone from the otherwise complete profile. These are the extreme positions a block can occupy in any order of additions, so the two margins bound its contribution under every ordering.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 Qwen 1P has the highest item-level median correlation: against the pre-declared thresholds, 20 of 42 items exceed 0.5 and nine exceed 0.7. As the best-performing condition it serves as the reference for the focused analyses below.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every condition, with the median across items marked and the pooled correlation drawn once as a labeled counterexample (all pooled p &lt; 0.001). The Llama 3P arm is marked with a dagger because it loses 24% of its scheduled responses to a parse failure, which is why the chapter does not read it substantively (Section 4.4). It is drawn like the other three conditions, because it is one of them by design. The Qwen 1P anchored arm repeats Qwen 1P with verbally anchored response scales on the 22-item batch (Section 4.2). Panel (b): the same 42 items under Qwen 1P, ranked, with the highest and lowest named and reverse-coded items marked. The individual-level counterpart of both panels is Figure 6, whose per-item panel is drawn on the scale of panel (b).</w:t>
      </w:r>
    </w:p>
    <w:p>
      <w:pPr>
        <w:pStyle w:val="Body"/>
      </w:pPr>
      <w:r>
        <w:t xml:space="preserve">Figure 2(b) ranks the same items under Qwen 1P. The full labeled rankings appear in Appendix Figures A1 and A3. Figure 6(b) draws the individual level on the same scale, and the two together make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2(b) it is the one circle in the negative tail.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and the worst-recovered country sits inside it,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and the response format decides its direction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574792" cy="4858512"/>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574792" cy="4858512"/>
                    </a:xfrm>
                    <a:prstGeom prst="rect">
                      <a:avLst/>
                    </a:prstGeom>
                  </pic:spPr>
                </pic:pic>
              </a:graphicData>
            </a:graphic>
          </wp:inline>
        </w:drawing>
      </w:r>
    </w:p>
    <w:p>
      <w:pPr>
        <w:pStyle w:val="Caption"/>
      </w:pPr>
      <w:r>
        <w:t xml:space="preserve">Figure 3.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A4. Per-block values ship with the figure data.</w:t>
      </w:r>
    </w:p>
    <w:p>
      <w:pPr>
        <w:pStyle w:val="Body"/>
      </w:pPr>
      <w:r>
        <w:t xml:space="preserve">Figure 3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model uses the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4 puts the conditions side by side.</w:t>
      </w:r>
    </w:p>
    <w:p>
      <w:pPr>
        <w:pStyle w:val="Fig"/>
      </w:pPr>
      <w:r>
        <w:drawing>
          <wp:inline distT="0" distB="0" distL="0" distR="0">
            <wp:extent cx="5279136" cy="294741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279136" cy="2947416"/>
                    </a:xfrm>
                    <a:prstGeom prst="rect">
                      <a:avLst/>
                    </a:prstGeom>
                  </pic:spPr>
                </pic:pic>
              </a:graphicData>
            </a:graphic>
          </wp:inline>
        </w:drawing>
      </w:r>
    </w:p>
    <w:p>
      <w:pPr>
        <w:pStyle w:val="Caption"/>
      </w:pPr>
      <w:r>
        <w:t xml:space="preserve">Figure 4.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reverse-coded shown separately as in Figure 3.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a 2 × 2 arm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2 × 2: country label by response-scale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and only anchoring moves the lower one. The pooled correlation lies between 0.64 and 0.83 across conditions while within-country recovery is near zero (Figures 2 and 6). The aggregate-individual dissociation is established for single-country designs. What is new is that it survives at thirty countries and that scale anchoring moves both levels together. Anchoring (Section 4.2)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uniformly weak across countries and varies more by item than by country.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with a standard deviation of 0.079. Of these, 826 are positive and 453 reach p &lt; 0.05 (rq3_cell_summary.csv). Even Israel, the highest country mean at 0.077, has less than 1% of individual variance explained. No country reaches a level that supports substantive individual inference. The spread across items is wider.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identifiability does not explain it. Richer profiles do not improve on it (Section 4.2), and a model that found respondent detail uninformative would show flat margins. The margins are negative, so the detail is used, and used badly. If identifiability were the mechanism, recovery would track it. Holding identifiability at its maximum, recovery still spans 0.29 to 0.52, and the sparsest profile containing the country beats every richer one (Appendix, Country identifiability). The model treats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crosses the label with the scale format, which turns the item inversions from an interpretation into a result. Recovery is reported item by item against a measured run-to-run floor, and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Finally,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which this design does only once.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6(b)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Figure A4 reports the country-label contrast item by item, the per-item form of the block effect in Figure 3.</w:t>
      </w:r>
    </w:p>
    <w:p>
      <w:pPr>
        <w:pStyle w:val="Fig"/>
      </w:pPr>
      <w:r>
        <w:drawing>
          <wp:inline distT="0" distB="0" distL="0" distR="0">
            <wp:extent cx="5628146" cy="676656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3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3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w:t>
      </w:r>
      <w:r>
        <w:rPr>
          <w:i/>
        </w:rPr>
        <w:t>r</w:t>
      </w:r>
      <w:r>
        <w:t xml:space="preserve">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One changes a conclusion and is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