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Early evaluations found that model responses track human ones across several domains.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Later work found compressed distributions and misrepresented groups.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The response format can create cross-national differences by itself. Format here means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Richer conditioning rescues individual recovery only when it is far richer than a demographic profile.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FigTitle"/>
      </w:pPr>
      <w:r>
        <w:rPr>
          <w:b/>
        </w:rPr>
        <w:t xml:space="preserve">Figure 1. </w:t>
      </w:r>
      <w:r>
        <w:t xml:space="preserve">The simulation pipeline.</w:t>
      </w:r>
    </w:p>
    <w:p>
      <w:pPr>
        <w:pStyle w:val="FigNote"/>
      </w:pPr>
      <w:r>
        <w:rPr>
          <w:i/>
        </w:rPr>
        <w:t xml:space="preserve">Note. </w:t>
      </w:r>
      <w:r>
        <w:t xml:space="preserve">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Appendix B.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D.</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FigTitle"/>
      </w:pPr>
      <w:r>
        <w:rPr>
          <w:b/>
        </w:rPr>
        <w:t xml:space="preserve">Figure 2. </w:t>
      </w:r>
      <w:r>
        <w:t xml:space="preserve">Aggregate recovery: by condition, and item by item.</w:t>
      </w:r>
    </w:p>
    <w:p>
      <w:pPr>
        <w:pStyle w:val="FigNote"/>
      </w:pPr>
      <w:r>
        <w:rPr>
          <w:i/>
        </w:rPr>
        <w:t xml:space="preserve">Note. </w:t>
      </w:r>
      <w:r>
        <w:t xml:space="preserve">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Institutional trust and subjective well-being recover best, whereas income, safety, and health invert. Panel (b) ranks the same 42 items under Qwen 1P, and the full labeled rankings are in Appendix Figures A1 and A4.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Among forward-coded items, recovery also rises with the size of the true cross-national differences (</w:t>
      </w:r>
      <w:r>
        <w:rPr>
          <w:i/>
        </w:rPr>
        <w:t>r</w:t>
      </w:r>
      <w:r>
        <w:t xml:space="preserve"> = 0.46, p = 0.012 across the 29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F).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that means for a user.</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FigTitle"/>
      </w:pPr>
      <w:r>
        <w:rPr>
          <w:b/>
        </w:rPr>
        <w:t xml:space="preserve">Figure 3. </w:t>
      </w:r>
      <w:r>
        <w:t xml:space="preserve">A wrong country name costs the country the respondents came from, Qwen 1P.</w:t>
      </w:r>
    </w:p>
    <w:p>
      <w:pPr>
        <w:pStyle w:val="FigNote"/>
      </w:pPr>
      <w:r>
        <w:rPr>
          <w:i/>
        </w:rPr>
        <w:t xml:space="preserve">Note. </w:t>
      </w:r>
      <w:r>
        <w:t xml:space="preserve">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Removing the country sentence moves recovery more than removing anything else does. It is taken out of an otherwise identical rich profile, holding the same respondents and items. With the country present the paired item-level correlation is higher by a median 0.135 on forward-coded items, where 27 of 29 improve (p &lt; 0.001), and lower by 0.176 on reverse-coded items, where 1 of 13 improves. Of the three original removal contrasts, only the country label produces an effect that survives correction for multiplicity and exceeds the noise floor (Appendix H).</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FigTitle"/>
      </w:pPr>
      <w:r>
        <w:rPr>
          <w:b/>
        </w:rPr>
        <w:t xml:space="preserve">Figure 4. </w:t>
      </w:r>
      <w:r>
        <w:t xml:space="preserve">Each backstory block’s effect on aggregate recovery at the two margins that bound it, Qwen 1P.</w:t>
      </w:r>
    </w:p>
    <w:p>
      <w:pPr>
        <w:pStyle w:val="FigNote"/>
      </w:pPr>
      <w:r>
        <w:rPr>
          <w:i/>
        </w:rPr>
        <w:t xml:space="preserve">Note. </w:t>
      </w:r>
      <w:r>
        <w:t xml:space="preserve">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FigTitle"/>
      </w:pPr>
      <w:r>
        <w:rPr>
          <w:b/>
        </w:rPr>
        <w:t xml:space="preserve">Figure 5. </w:t>
      </w:r>
      <w:r>
        <w:t xml:space="preserve">The country label by the response format, 22 items, Qwen 1P.</w:t>
      </w:r>
    </w:p>
    <w:p>
      <w:pPr>
        <w:pStyle w:val="FigNote"/>
      </w:pPr>
      <w:r>
        <w:rPr>
          <w:i/>
        </w:rPr>
        <w:t xml:space="preserve">Note. </w:t>
      </w:r>
      <w:r>
        <w:t xml:space="preserve">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FigTitle"/>
      </w:pPr>
      <w:r>
        <w:rPr>
          <w:b/>
        </w:rPr>
        <w:t xml:space="preserve">Figure 6. </w:t>
      </w:r>
      <w:r>
        <w:t xml:space="preserve">Individual-level recovery: by condition, and item by item.</w:t>
      </w:r>
    </w:p>
    <w:p>
      <w:pPr>
        <w:pStyle w:val="FigNote"/>
      </w:pPr>
      <w:r>
        <w:rPr>
          <w:i/>
        </w:rPr>
        <w:t xml:space="preserve">Note. </w:t>
      </w:r>
      <w:r>
        <w:t xml:space="preserve">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In a replicate arm 95% of the within-country variance the model produces is generation noise.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Dispersion fails the pre-declared band in both directions. Under Qwen 1P the mean ratio of model to human standard deviations is 0.61, using the mean of the per-cell ratios. The median is 0.57 and the ratio of means 0.59, and all three fail the pre-declared 0.9–1.1 band. Llama 3P instead expands variance (1.41).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FigTitle"/>
      </w:pPr>
      <w:r>
        <w:rPr>
          <w:b/>
        </w:rPr>
        <w:t xml:space="preserve">Figure 7. </w:t>
      </w:r>
      <w:r>
        <w:t xml:space="preserve">Aggregate against individual country rankings, Qwen 1P.</w:t>
      </w:r>
    </w:p>
    <w:p>
      <w:pPr>
        <w:pStyle w:val="FigNote"/>
      </w:pPr>
      <w:r>
        <w:rPr>
          <w:i/>
        </w:rPr>
        <w:t xml:space="preserve">Note. </w:t>
      </w:r>
      <w:r>
        <w:t xml:space="preserve">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country label result stands apart: the label, and not the profile around it, carries the aggregate signal.</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nearly all of it is generation noise (Section 4.3).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F).</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I).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A model can tell countries apart without representing any of them, as human national-character beliefs can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label result speaks to two literatures at once. Cultural-alignment research asks which national profiles models resemble (Durmus et al., 2023; Tao et al., 2024). Survey-simulation research asks whether conditioned outputs reproduce the target population (Bail, 2024; Bisbee et al., 2024). A country label delivers the first without the second.</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Most of the variance in item-level recovery follows direction, and what is left has a pattern of its own. The items that recover are about the country, and the ones that invert (income, health, safety) are about the respondent. One reading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The reading was formed after the results and it holds: recovery is larger where the true cross-national differences are larger (Section 4.1).</w:t>
      </w:r>
    </w:p>
    <w:p>
      <w:pPr>
        <w:pStyle w:val="Body"/>
      </w:pPr>
      <w:r>
        <w:t xml:space="preserve">High pooled correlations mask negative item-level country correlations by combining well-recovered and inverted items. In these data, high pooled and profile correlations coexist with the reversed items, so a screening rule based on either would pass the battery unchanged. Item-level diagnostics are therefore necessary before pooled or profile metrics are used.</w:t>
      </w:r>
    </w:p>
    <w:p>
      <w:pPr>
        <w:pStyle w:val="Body"/>
      </w:pPr>
      <w:r>
        <w:t xml:space="preserve">5.3 Aggregate recovery supports rank comparison, not individual or distributional inference</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The pattern is about items, not about which countries are well represented.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supports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of the margins that bound it,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M).</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Two quantities a user needs are still unmeasured here, multivariate structure and subgroup calibration. Each should be judged against the estimand it is meant to serve.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runs in fourteen sections, A to N, in the order the chapter calls on them. Its figures and tables are numbered straight through, A1 onward, so a label such as Table A2 gives the table’s own number and not the section it sits in.</w:t>
      </w:r>
    </w:p>
    <w:p>
      <w:pPr>
        <w:pStyle w:val="H2"/>
      </w:pPr>
      <w:r>
        <w:t xml:space="preserve">Appendix A. Survey items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FigTitle"/>
      </w:pPr>
      <w:r>
        <w:rPr>
          <w:b/>
        </w:rPr>
        <w:t xml:space="preserve">Table A1. </w:t>
      </w:r>
      <w:r>
        <w:t xml:space="preserve">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FigNote"/>
      </w:pPr>
      <w:r>
        <w:rPr>
          <w:i/>
        </w:rPr>
        <w:t xml:space="preserve">Note. </w:t>
      </w:r>
      <w:r>
        <w:t xml:space="preserve">Scale is the numeric range supplied to the model, with no verbal endpoints except in the three social trust questions. Domain is the grouping used in the domain-level analyses.</w:t>
      </w:r>
    </w:p>
    <w:p>
      <w:pPr>
        <w:pStyle w:val="H2"/>
      </w:pPr>
      <w:r>
        <w:t xml:space="preserve">Appendix B. Example prompt</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Body"/>
      </w:pPr>
      <w:r>
        <w:t xml:space="preserve">Scale: 0-10</w:t>
      </w:r>
    </w:p>
    <w:p>
      <w:pPr>
        <w:pStyle w:val="Body"/>
      </w:pPr>
      <w:r>
        <w:t xml:space="preserve">Respond with ONLY a single number within the scale range. No explanation.</w:t>
      </w:r>
    </w:p>
    <w:p>
      <w:pPr>
        <w:pStyle w:val="H2"/>
      </w:pPr>
      <w:r>
        <w:t xml:space="preserve">Appendix C. Backstory leakage</w:t>
      </w:r>
    </w:p>
    <w:p>
      <w:pPr>
        <w:pStyle w:val="Body"/>
      </w:pPr>
      <w:r>
        <w:t xml:space="preserve">Table A2 shows how removing leaked outcome information changes the seven affected items. Its final column distinguishes direct echoes from attenuated inverse mappings.</w:t>
      </w:r>
    </w:p>
    <w:p>
      <w:pPr>
        <w:pStyle w:val="FigTitle"/>
      </w:pPr>
      <w:r>
        <w:rPr>
          <w:b/>
        </w:rPr>
        <w:t xml:space="preserve">Table A2. </w:t>
      </w:r>
      <w:r>
        <w:t xml:space="preserve">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FigNote"/>
      </w:pPr>
      <w:r>
        <w:rPr>
          <w:i/>
        </w:rPr>
        <w:t xml:space="preserve">Note. </w:t>
      </w:r>
      <w:r>
        <w:t xml:space="preserve">“Echo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2"/>
      </w:pPr>
      <w:r>
        <w:t xml:space="preserve">Appendix D. 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H2"/>
      </w:pPr>
      <w:r>
        <w:t xml:space="preserve">Appendix E. Per-item recovery</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FigTitle"/>
      </w:pPr>
      <w:r>
        <w:rPr>
          <w:b/>
        </w:rPr>
        <w:t xml:space="preserve">Figure A1. </w:t>
      </w:r>
      <w:r>
        <w:t xml:space="preserve">Per-item country-level recovery: </w:t>
      </w:r>
      <w:r>
        <w:rPr>
          <w:i/>
        </w:rPr>
        <w:t>r</w:t>
      </w:r>
      <w:r>
        <w:rPr>
          <w:i/>
          <w:vertAlign w:val="subscript"/>
        </w:rPr>
        <w:t>bc</w:t>
      </w:r>
      <w:r>
        <w:t xml:space="preserve"> for all 42 ESS items under Qwen 1P, ranked from most positive to most negative.</w:t>
      </w:r>
    </w:p>
    <w:p>
      <w:pPr>
        <w:pStyle w:val="FigNote"/>
      </w:pPr>
      <w:r>
        <w:rPr>
          <w:i/>
        </w:rPr>
        <w:t xml:space="preserve">Note. </w:t>
      </w:r>
      <w:r>
        <w:t xml:space="preserve">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FigTitle"/>
      </w:pPr>
      <w:r>
        <w:rPr>
          <w:b/>
        </w:rPr>
        <w:t xml:space="preserve">Figure A2. </w:t>
      </w:r>
      <w:r>
        <w:t xml:space="preserve">Country-level scatter for two contrasting items, Qwen 1P.</w:t>
      </w:r>
    </w:p>
    <w:p>
      <w:pPr>
        <w:pStyle w:val="FigNote"/>
      </w:pPr>
      <w:r>
        <w:rPr>
          <w:i/>
        </w:rPr>
        <w:t xml:space="preserve">Note. </w:t>
      </w:r>
      <w:r>
        <w:t xml:space="preserve">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2"/>
      </w:pPr>
      <w:r>
        <w:t xml:space="preserve">Appendix F. 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H2"/>
      </w:pPr>
      <w:r>
        <w:t xml:space="preserve">Appendix G. The country-label contrast</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FigTitle"/>
      </w:pPr>
      <w:r>
        <w:rPr>
          <w:b/>
        </w:rPr>
        <w:t xml:space="preserve">Figure A3. </w:t>
      </w:r>
      <w:r>
        <w:t xml:space="preserve">The country-label contrast, item by item, Qwen 1P.</w:t>
      </w:r>
    </w:p>
    <w:p>
      <w:pPr>
        <w:pStyle w:val="FigNote"/>
      </w:pPr>
      <w:r>
        <w:rPr>
          <w:i/>
        </w:rPr>
        <w:t xml:space="preserve">Note. </w:t>
      </w:r>
      <w:r>
        <w:t xml:space="preserve">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2"/>
      </w:pPr>
      <w:r>
        <w:t xml:space="preserve">Appendix H. 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2"/>
      </w:pPr>
      <w:r>
        <w:t xml:space="preserve">Appendix I. 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2"/>
      </w:pPr>
      <w:r>
        <w:t xml:space="preserve">Appendix J. 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FigTitle"/>
      </w:pPr>
      <w:r>
        <w:rPr>
          <w:b/>
        </w:rPr>
        <w:t xml:space="preserve">Table A3. </w:t>
      </w:r>
      <w:r>
        <w:t xml:space="preserve">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FigNote"/>
      </w:pPr>
      <w:r>
        <w:rPr>
          <w:i/>
        </w:rPr>
        <w:t xml:space="preserve">Note. </w:t>
      </w:r>
      <w:r>
        <w:t xml:space="preserve">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FigTitle"/>
      </w:pPr>
      <w:r>
        <w:rPr>
          <w:b/>
        </w:rPr>
        <w:t xml:space="preserve">Figure A4. </w:t>
      </w:r>
      <w:r>
        <w:t xml:space="preserve">Per-item individual-level recovery: mean within-country </w:t>
      </w:r>
      <w:r>
        <w:rPr>
          <w:i/>
        </w:rPr>
        <w:t>r</w:t>
      </w:r>
      <w:r>
        <w:rPr>
          <w:i/>
          <w:vertAlign w:val="subscript"/>
        </w:rPr>
        <w:t>wc</w:t>
      </w:r>
      <w:r>
        <w:t xml:space="preserve"> for all 42 ESS items under Qwen 1P, ranked from most positive to most negative.</w:t>
      </w:r>
    </w:p>
    <w:p>
      <w:pPr>
        <w:pStyle w:val="FigNote"/>
      </w:pPr>
      <w:r>
        <w:rPr>
          <w:i/>
        </w:rPr>
        <w:t xml:space="preserve">Note. </w:t>
      </w:r>
      <w:r>
        <w:t xml:space="preserve">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FigTitle"/>
      </w:pPr>
      <w:r>
        <w:rPr>
          <w:b/>
        </w:rPr>
        <w:t xml:space="preserve">Table A4. </w:t>
      </w:r>
      <w:r>
        <w:t xml:space="preserve">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FigNote"/>
      </w:pPr>
      <w:r>
        <w:rPr>
          <w:i/>
        </w:rPr>
        <w:t xml:space="preserve">Note. </w:t>
      </w:r>
      <w:r>
        <w:t xml:space="preserve">After Bonferroni correction for four tests (α = 0.0125), the first-person Qwen-Llama contrast reaches the adjusted threshold. The other three do not. Reported p values are unadjusted.</w:t>
      </w:r>
    </w:p>
    <w:p>
      <w:pPr>
        <w:pStyle w:val="H2"/>
      </w:pPr>
      <w:r>
        <w:t xml:space="preserve">Appendix K. 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FigTitle"/>
      </w:pPr>
      <w:r>
        <w:rPr>
          <w:b/>
        </w:rPr>
        <w:t xml:space="preserve">Table A5. </w:t>
      </w:r>
      <w:r>
        <w:t xml:space="preserve">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FigNote"/>
      </w:pPr>
      <w:r>
        <w:rPr>
          <w:i/>
        </w:rPr>
        <w:t xml:space="preserve">Note. </w:t>
      </w:r>
      <w:r>
        <w:t xml:space="preserve">Each row names what the check varies, what it moves, and whether any conclusion changes. The one Yes that changes a conclusion is parse coverage in the Llama third-person arm (Section 4.4).</w:t>
      </w:r>
    </w:p>
    <w:p>
      <w:pPr>
        <w:pStyle w:val="H2"/>
      </w:pPr>
      <w:r>
        <w:t xml:space="preserve">Appendix L. 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2"/>
      </w:pPr>
      <w:r>
        <w:t xml:space="preserve">Appendix M. 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2"/>
      </w:pPr>
      <w:r>
        <w:t xml:space="preserve">Appendix N. 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FigTitle"/>
      </w:pPr>
      <w:r>
        <w:rPr>
          <w:b/>
        </w:rPr>
        <w:t xml:space="preserve">Table A6. </w:t>
      </w:r>
      <w:r>
        <w:t xml:space="preserve">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FigNote"/>
      </w:pPr>
      <w:r>
        <w:rPr>
          <w:i/>
        </w:rPr>
        <w:t xml:space="preserve">Note. </w:t>
      </w:r>
      <w:r>
        <w:t xml:space="preserve">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FigTitle">
    <w:name w:val="Figure Title"/>
    <w:pPr>
      <w:keepNext/>
      <w:spacing w:before="140" w:after="120" w:line="276" w:lineRule="auto"/>
      <w:jc w:val="center"/>
    </w:pPr>
    <w:rPr>
      <w:sz w:val="24"/>
    </w:rPr>
  </w:style>
  <w:style w:type="paragraph" w:styleId="FigNote">
    <w:name w:val="Figure Note"/>
    <w:pPr>
      <w:keepNext/>
      <w:spacing w:before="60" w:after="18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