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 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Overall, the models treat the country name as a group-level prior. The label carries most of the aggregate signal. Enriching the profile beyond it adds no consistent gain. The response format decides whether the ordering comes out right or inverted.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its direction. The practical one is a benchmark against model-free alternatives, the comparison a prospective user needs.</w:t>
      </w:r>
    </w:p>
    <w:p>
      <w:pPr>
        <w:pStyle w:val="Body"/>
      </w:pPr>
      <w:r>
        <w:t xml:space="preserve">To answer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What in the prompt produces the aggregate signal, and what decides whether the country ordering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2 (country label: present, absent) × 2 (response scale: numbers only, numbers with verbal endpoints) experiment follows. Four arms make it up, and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Figure 2(b) ranks the same items under Qwen 1P. The full labeled rankings appear in Appendix Figures A1 and A4. Figure 6(b) draws the individual level on the same scale, and the two together make the disparity visible: the aggregate series spans 1.64 correlation units, the individual series 0.30, a ratio of 5.5.</w:t>
      </w:r>
    </w:p>
    <w:p>
      <w:pPr>
        <w:pStyle w:val="Body"/>
      </w:pPr>
      <w:r>
        <w:t xml:space="preserve">Figure 2(b) shows that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Figure 4 gives every block’s effect at both margins, and Appendix Figure A3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across 30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Supplying verbal endpoint labels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Recovery instead varies widely among profiles that identify the country equally well, and the sparsest profile containing the country beats every richer one (Appendix, Country identifiability).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experiment crosses the country label with the response format, which turns the item inversions from an interpretation into a result. Recovery is reported item by item against a measured run-to-run floor.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 A table is the display because the object is 12 domains by four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