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open-weight models, two prompt framings, and a backstory-conditioning experiment. Aggregate recovery is moderate and highly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appears to use the country as a group-level prior and to largely ignore respondent detail. Individual-level recovery is negligible everywhere and unrelated to aggregate recovery across countries. A 2 × 2 experiment traces the item-level failures to the response scale: verbal endpoint labels remove the inversions and roughly triple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yet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Previous evaluations suggest some promise.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The evidence of limitations concerns both response distributions and the representation of groups and countries.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limitations constrain the existing literature. First, most evaluations remain centered on the United States; available cross-national studies cover relatively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governs the form it takes.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The answer can be stated at the outset: the model treats the country name as a group-level prior. The label carries most of the aggregate signal. Enriching the profile beyond it adds no consistent gain. The response-scale format sets the sign that signal takes. None of it amounts to individual-level recovery. Three things are new here: the first joint evaluation of item-level country rankings, within-country individual recovery, and the label’s incremental contribution on matched respondents; the experimental identification of that prior and of the format that sets its sign; and benchmarks against model-free alternatives, the comparison a prospective user needs.</w:t>
      </w:r>
    </w:p>
    <w:p>
      <w:pPr>
        <w:pStyle w:val="Body"/>
      </w:pPr>
      <w:r>
        <w:t xml:space="preserve">Four tests in one design answer the four gaps.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response-scale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predictors that use no model at all.</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limited in scope.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 The literature supports two expectations. Recovery should be uneven across items, and part of that unevenness should follow how the response scale is presented, because option format shifts model answers independently of content (Section 2.2). A pooled correlation that mixes items of different scale lengths should overstate recovery, because much of the covariance it captures falls between items and not between countries.</w:t>
      </w:r>
    </w:p>
    <w:p>
      <w:pPr>
        <w:pStyle w:val="Body"/>
      </w:pPr>
      <w:r>
        <w:t xml:space="preserve">RQ1. How accurately do LLM-generated responses recover cross-national aggregate differences across a broad attitudinal battery, and how far does that accuracy vary from item to item?</w:t>
      </w:r>
    </w:p>
    <w:p>
      <w:pPr>
        <w:pStyle w:val="H2"/>
      </w:pPr>
      <w:r>
        <w:t xml:space="preserve">2.2 Cultural bias and the country cue in LLM responses</w:t>
      </w:r>
    </w:p>
    <w:p>
      <w:pPr>
        <w:pStyle w:val="Body"/>
      </w:pPr>
      <w:r>
        <w:t xml:space="preserve">Cultural bias here refers to systematic differences in whose values and associations default model outputs most closely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Country cues can also systematically influence LLM outputs.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Country cues can generate cross-national differentiation without demonstrating calibrated population simulation. Yet the resulting correspondence is ambiguous: agreement with national averages may reflect calibrated country knowledge, stereotypic associations, or both.</w:t>
      </w:r>
    </w:p>
    <w:p>
      <w:pPr>
        <w:pStyle w:val="Body"/>
      </w:pPr>
      <w:r>
        <w:t xml:space="preserve">A second, artifactual source of apparent cross-national difference is the response format.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The next tests are whether the country label adds recovery beyond demographic composition and whether richer profiles add further gains. The two readings of the label predict different curves.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reverse-worded items, the same country knowledge will produce inverted country orderings on those items and correct ones elsewhere, and supplying verbal endpoints should remove the inversion without touching the model's knowledge.</w:t>
      </w:r>
    </w:p>
    <w:p>
      <w:pPr>
        <w:pStyle w:val="Body"/>
      </w:pPr>
      <w:r>
        <w:t xml:space="preserve">RQ2. Does the aggregate signal come from the country label or from the composition of the respondent profile, and what governs the sign that signal takes on each item?</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The framing of the request bears directly on this distinction. Adopting a persona and answering as that person invokes a different capacity from predicting how such a person would answer: the first speaks from the profile, the second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RQ3 tests both.</w:t>
      </w:r>
    </w:p>
    <w:p>
      <w:pPr>
        <w:pStyle w:val="Body"/>
      </w:pPr>
      <w:r>
        <w:t xml:space="preserve">Whether richer conditioning rescues individual recovery is debated.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Both sides agree that the gains require individual data far richer than scalable demographic profiles.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questions together, because a level of recovery is only useful if it can be told apart from the level next to it:</w:t>
      </w:r>
    </w:p>
    <w:p>
      <w:pPr>
        <w:pStyle w:val="Body"/>
      </w:pPr>
      <w:r>
        <w:t xml:space="preserve">RQ3. How much individual-level recovery is there, does first- versus third-person framing change it,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Caption"/>
      </w:pPr>
      <w:r>
        <w:t xml:space="preserve">Figure 1. The simulation pipeline.</w:t>
      </w:r>
    </w:p>
    <w:p>
      <w:pPr>
        <w:pStyle w:val="Body"/>
      </w:pPr>
      <w:r>
        <w:t xml:space="preserve">Note. 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follows a 2 (model) × 2 (prompt) fully crossed design. Two major open-weight instruction-tuned models are tested: Qwen 2.5-7B-Instruct (Alibaba) and Llama 3.1-8B-Instruct (Meta). Both are run locally on a university HPC cluster (NVIDIA A100 GPU) using vLLM for efficient batched inference. Temperature is set to 0.7;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(most people can be trusted, ppltrst; people try to be fair, pplfair; people are helpful, pplhlp) carry the full ESS question wording, which embeds verbal endpoint descriptions. Every other item is presented with the abbreviated codebook wording reported in Table A1. Prompts specify the numeric scale range as digits (e.g., “Scale: 0-10”) and carry no verbal anchor labels for scale endpoints.</w:t>
      </w:r>
    </w:p>
    <w:p>
      <w:pPr>
        <w:pStyle w:val="Body"/>
      </w:pPr>
      <w:r>
        <w:t xml:space="preserve">For each country, 685 respondents are randomly subsampled from the ESS. The subsample is drawn without design weights. The human benchmark is weighted by the ESS post-stratification weight (pspwght) throughout, and the sensitivity of the results to that choice is reported in Section 4.4. The sample size is sufficient at both levels of analysis. Subsampled estimates flatten above roughly 400 respondents per country, and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forty-one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 2);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ISO codes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the Appendix (Example Prompt).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identifying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A final 2 × 2 arm crosses the country label with the scale format. The scale factor supplies verbal endpoint labels in place of the numeric range alone. It runs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two exclusions were fixed in advance.</w:t>
      </w:r>
    </w:p>
    <w:p>
      <w:pPr>
        <w:pStyle w:val="Body"/>
      </w:pPr>
      <w:r>
        <w:t xml:space="preserve">The with-against-without logic extends to the whole profile. The 20 backstory variables partition into ten named blocks: the ascriptive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not the single variable. The profile contains near-duplicate pairs: age and birth year, education level and education years, household size and children at home. Dropping one of a pair measures duplication, not information. Where a block has no such pair the variables are also tested singly.</w:t>
      </w:r>
    </w:p>
    <w:p>
      <w:pPr>
        <w:pStyle w:val="Body"/>
      </w:pPr>
      <w:r>
        <w:t xml:space="preserve">Every block is observed at two margins. It is added alone to the sparse base plus the country label, and it is removed alone from the otherwise complete profile. These are the extreme positions a block can occupy in any order of additions, so the two margins bound its contribution under every ordering.</w:t>
      </w:r>
    </w:p>
    <w:p>
      <w:pPr>
        <w:pStyle w:val="Body"/>
      </w:pPr>
      <w:r>
        <w:t xml:space="preserve">Three probes settle readings the margins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final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w:t>
      </w:r>
      <w:r>
        <w:rPr>
          <w:i/>
        </w:rPr>
        <w:t>r</w:t>
      </w:r>
      <w:r>
        <w:rPr>
          <w:i/>
          <w:vertAlign w:val="subscript"/>
        </w:rPr>
        <w:t>prof</w:t>
      </w:r>
      <w:r>
        <w:t xml:space="preserve"> is each country's 42-item aggregate profile correlation, used for the country-level comparison in Section 4.1. </w:t>
      </w:r>
      <w:r>
        <w:rPr>
          <w:i/>
        </w:rPr>
        <w:t>r</w:t>
      </w:r>
      <w:r>
        <w:rPr>
          <w:i/>
          <w:vertAlign w:val="subscript"/>
        </w:rPr>
        <w:t>pw</w:t>
      </w:r>
      <w:r>
        <w:t xml:space="preserve"> pools respondents across countries after centering within country; it appears once, in Figure 3, where its statistical power suits the per-item display. </w:t>
      </w:r>
      <w:r>
        <w:rPr>
          <w:i/>
        </w:rPr>
        <w:t>r</w:t>
      </w:r>
      <w:r>
        <w:rPr>
          <w:i/>
          <w:vertAlign w:val="subscript"/>
        </w:rPr>
        <w:t>pool</w:t>
      </w:r>
      <w:r>
        <w:t xml:space="preserve"> runs across all 1,260 country–item cells. It is reported once,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Evaluation metrics.</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ceiling on what any demographic profile could recover at the individual level. The third fixes what counts as adequate at the aggregate level: recovery is judged against predictors that use no model at all, built from regional neighbors and macro covariates and reported in Section 5.3.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as </w:t>
      </w:r>
      <w:r>
        <w:rPr>
          <w:i/>
        </w:rPr>
        <w:t>r</w:t>
      </w:r>
      <w:r>
        <w:rPr>
          <w:i/>
          <w:vertAlign w:val="subscript"/>
        </w:rPr>
        <w:t>bc</w:t>
      </w:r>
      <w:r>
        <w:t xml:space="preserve"> × </w:t>
      </w:r>
      <w:r>
        <w:rPr>
          <w:i/>
        </w:rPr>
        <w:t>C</w:t>
      </w:r>
      <w:r>
        <w:rPr>
          <w:i/>
          <w:vertAlign w:val="subscript"/>
        </w:rPr>
        <w:t>b</w:t>
      </w:r>
      <w:r>
        <w:t xml:space="preserve">, separating rank correspondence from calibration. Model and prompt contrasts use paired t-tests across the 42 items.</w:t>
      </w:r>
    </w:p>
    <w:p>
      <w:pPr>
        <w:pStyle w:val="H1"/>
      </w:pPr>
      <w:r>
        <w:t xml:space="preserve">4 Results</w:t>
      </w:r>
    </w:p>
    <w:p>
      <w:pPr>
        <w:pStyle w:val="H2"/>
      </w:pPr>
      <w:r>
        <w:t xml:space="preserve">4.1 Aggregate recovery is moderate and item-dependent</w:t>
      </w:r>
    </w:p>
    <w:p>
      <w:pPr>
        <w:pStyle w:val="Body"/>
      </w:pPr>
      <w:r>
        <w:t xml:space="preserve">Addressing RQ1, per-item aggregate recovery is moderate but highly item-dependent. Country-profile and mean-error statistics also produce different country rankings, so no single aggregate measure captures performance. Figure 2 compares country-level and individual-level recovery across conditions. Panel (a) shows every item in every condition. The pooled correlation is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removing each item's mean leaves a pooled correlation of 0.515. Panel (b) is the individual-level counterpart, read in Section 4.3.</w:t>
      </w:r>
    </w:p>
    <w:p>
      <w:pPr>
        <w:pStyle w:val="Body"/>
      </w:pPr>
      <w:r>
        <w:t xml:space="preserve">Qwen 1P has the highest item-level median correlation: against the pre-declared thresholds, 20 of 42 items exceed 0.5 and nine exceed 0.7. As the best-performing condition it serves as the reference for the focused analyses below. All four conditions appear in Figure 2 at both levels, so this choice does not affect the main conclusions.</w:t>
      </w:r>
    </w:p>
    <w:p>
      <w:pPr>
        <w:pStyle w:val="Fig"/>
      </w:pPr>
      <w:r>
        <w:drawing>
          <wp:inline distT="0" distB="0" distL="0" distR="0">
            <wp:extent cx="5660059" cy="6766560"/>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660059" cy="6766560"/>
                    </a:xfrm>
                    <a:prstGeom prst="rect">
                      <a:avLst/>
                    </a:prstGeom>
                  </pic:spPr>
                </pic:pic>
              </a:graphicData>
            </a:graphic>
          </wp:inline>
        </w:drawing>
      </w:r>
    </w:p>
    <w:p>
      <w:pPr>
        <w:pStyle w:val="Caption"/>
      </w:pPr>
      <w:r>
        <w:t xml:space="preserve">Figure 2. Aggregate and individual recovery by model–prompt condition.</w:t>
      </w:r>
    </w:p>
    <w:p>
      <w:pPr>
        <w:pStyle w:val="Body"/>
      </w:pPr>
      <w:r>
        <w:t xml:space="preserve">Note. Panel (a) shows every item's between-country correlation, with the pooled correlation drawn once as a labeled counterexample (all pooled p &lt; 0.001). Panel (b) shows median within-country individual-level recovery against the demographic-explainable ceiling. The Qwen 1P anchored arm repeats Qwen 1P with verbally anchored response scales on the 22-item batch (Section 4.2).</w:t>
      </w:r>
    </w:p>
    <w:p>
      <w:pPr>
        <w:pStyle w:val="Body"/>
      </w:pPr>
      <w:r>
        <w:t xml:space="preserve">Figure 3 places country-level and individual-level recovery on a shared vertical axis so that the two are directly comparable; the full 42-item rankings appear in Appendix Figures A1 and A3. The shared axis makes the disparity visible: the aggregate series spans 1.64 correlation units, the individual series 0.30, a ratio of 5.5.</w:t>
      </w:r>
    </w:p>
    <w:p>
      <w:pPr>
        <w:pStyle w:val="Body"/>
      </w:pPr>
      <w:r>
        <w:t xml:space="preserve">Institutional trust and subjective well-being recover best, whereas income, safety, and health invert.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attitudes toward homosexuality (freehms −0.82) and adoption rights for same-sex couples (hmsacld −0.73). Ranks beyond the top two are not reported. They exchange places between independent runs of the same condition, as the noise floor of 0.060 per item implies.</w:t>
      </w:r>
    </w:p>
    <w:p>
      <w:pPr>
        <w:pStyle w:val="Body"/>
      </w:pPr>
      <w:r>
        <w:t xml:space="preserve">Ten of the eleven inversions are reverse-coded items, and direction alone explains 66% of the variance in </w:t>
      </w:r>
      <w:r>
        <w:rPr>
          <w:i/>
        </w:rPr>
        <w:t>r</w:t>
      </w:r>
      <w:r>
        <w:rPr>
          <w:i/>
          <w:vertAlign w:val="subscript"/>
        </w:rPr>
        <w:t>bc</w:t>
      </w:r>
      <w:r>
        <w:t xml:space="preserve"> across the 42 items. One inversion is not explained by direction. European unification (euftf, −0.23) is forward-coded. It is a bipolar item whose numeric direction is a convention; in Figure 3 it is the one circle in the negative tail. Section 4.2 tests the scale-direction account experimentally.</w:t>
      </w:r>
    </w:p>
    <w:p>
      <w:pPr>
        <w:pStyle w:val="Fig"/>
      </w:pPr>
      <w:r>
        <w:drawing>
          <wp:inline distT="0" distB="0" distL="0" distR="0">
            <wp:extent cx="5760720" cy="4894491"/>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760720" cy="4894491"/>
                    </a:xfrm>
                    <a:prstGeom prst="rect">
                      <a:avLst/>
                    </a:prstGeom>
                  </pic:spPr>
                </pic:pic>
              </a:graphicData>
            </a:graphic>
          </wp:inline>
        </w:drawing>
      </w:r>
    </w:p>
    <w:p>
      <w:pPr>
        <w:pStyle w:val="Caption"/>
      </w:pPr>
      <w:r>
        <w:t xml:space="preserve">Figure 3. Aggregate and individual recovery across the 42 items, Qwen 1P.</w:t>
      </w:r>
    </w:p>
    <w:p>
      <w:pPr>
        <w:pStyle w:val="Body"/>
      </w:pPr>
      <w:r>
        <w:t xml:space="preserve">Note. Panel (a) shows country-level </w:t>
      </w:r>
      <w:r>
        <w:rPr>
          <w:i/>
        </w:rPr>
        <w:t>r</w:t>
      </w:r>
      <w:r>
        <w:rPr>
          <w:i/>
          <w:vertAlign w:val="subscript"/>
        </w:rPr>
        <w:t>bc</w:t>
      </w:r>
      <w:r>
        <w:t xml:space="preserve">, panel (b) the pooled within-country correlation </w:t>
      </w:r>
      <w:r>
        <w:rPr>
          <w:i/>
        </w:rPr>
        <w:t>r</w:t>
      </w:r>
      <w:r>
        <w:rPr>
          <w:i/>
          <w:vertAlign w:val="subscript"/>
        </w:rPr>
        <w:t>pw</w:t>
      </w:r>
      <w:r>
        <w:t xml:space="preserve">, on one shared scale and one item order. The aggregate series spans 1.64 correlation units and the individual series 0.30. Reverse-worded items are marked in both panels. Full rankings appear in Appendix Figures A1 and A3.</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SD 0.06). Finland, Switzerland, Ireland, Norway, and Austria rank highest (0.88–0.91), while Bulgaria, Serbia, Ukraine, Israel, and Latvia rank lowest (0.69–0.76). The band is narrow: the worst-recovered country in the sample still scores 0.69,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(r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finally, close to independent. All 30 countries have positive mean bias under Qwen 1P, from 0.36 scale points in Finland to 1.40 in Bulgaria, consistent with a shift toward higher numeric responses. Mean SD ratios range from 0.54 in Estonia to 0.68 in Portugal with no clear geographic gradient. Lin's concordance coefficient separates ranking from calibration and shows that 87% of the agreement attainable at the observed rank correspondence is lost to bias and compression (Appendix, Concordance). A reader who wants to rank countries gets moderate performance; a reader who wants to use the number as an estimate of a country's value gets almost nothing.</w:t>
      </w:r>
    </w:p>
    <w:p>
      <w:pPr>
        <w:pStyle w:val="H2"/>
      </w:pPr>
      <w:r>
        <w:t xml:space="preserve">4.2 The country label supplies the signal; the response scale sets its sign</w:t>
      </w:r>
    </w:p>
    <w:p>
      <w:pPr>
        <w:pStyle w:val="Body"/>
      </w:pPr>
      <w:r>
        <w:t xml:space="preserve">Addressing RQ2, the identifying estimate is one paired contrast: the country sentence is removed from an otherwise identical rich profile, holding the same respondents and items. The paired item-level correlation rises by a median 0.135 on forward-coded items, where 27 of 29 improve (p &lt; 0.001), and falls by 0.176 on reverse-coded items, where 1 of 13 improves. Of the three original removal contrasts, only the country label produces an effect that survives correction for multiplicity and exceeds the noise floor (Appendix, Block ablations).</w:t>
      </w:r>
    </w:p>
    <w:p>
      <w:pPr>
        <w:pStyle w:val="Fig"/>
      </w:pPr>
      <w:r>
        <w:drawing>
          <wp:inline distT="0" distB="0" distL="0" distR="0">
            <wp:extent cx="5404104" cy="3758184"/>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404104" cy="3758184"/>
                    </a:xfrm>
                    <a:prstGeom prst="rect">
                      <a:avLst/>
                    </a:prstGeom>
                  </pic:spPr>
                </pic:pic>
              </a:graphicData>
            </a:graphic>
          </wp:inline>
        </w:drawing>
      </w:r>
    </w:p>
    <w:p>
      <w:pPr>
        <w:pStyle w:val="Caption"/>
      </w:pPr>
      <w:r>
        <w:t xml:space="preserve">Figure 4. Each backstory block's effect on aggregate recovery at the two margins that bound it, Qwen 1P.</w:t>
      </w:r>
    </w:p>
    <w:p>
      <w:pPr>
        <w:pStyle w:val="Body"/>
      </w:pPr>
      <w:r>
        <w:t xml:space="preserve">Note. 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ascriptive base has no add margin, because it is the base. Reverse-worded items are the thirteen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 same contrast item by item is in Appendix Figure A4; per-block values ship with the figure data.</w:t>
      </w:r>
    </w:p>
    <w:p>
      <w:pPr>
        <w:pStyle w:val="Body"/>
      </w:pPr>
      <w:r>
        <w:t xml:space="preserve">Figure 4 gives every block's effect at both margins, and Appendix Figure A4 gives the country-label contrast item by item. Adding the country name to a backstory that already specifies gender, age, and birth year raises median </w:t>
      </w:r>
      <w:r>
        <w:rPr>
          <w:i/>
        </w:rPr>
        <w:t>r</w:t>
      </w:r>
      <w:r>
        <w:rPr>
          <w:i/>
          <w:vertAlign w:val="subscript"/>
        </w:rPr>
        <w:t>bc</w:t>
      </w:r>
      <w:r>
        <w:t xml:space="preserve"> from −0.03 to 0.52 (Fisher z +0.73 on forward items, −0.44 on reverse items). No other block approaches either of the label's margins. Union membership and internet use is the only other block beyond the noise floor on both (+0.09 added, +0.08 removed, forward items). Added one variable at a time, that gain comes from internet use (+0.13 against union's +0.06), itself a strong country gradient.</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country label alone accounts for most of the aggregate recovery. The label with no demographics at all recovers 0.52, the same as with them, and the full profile recovers less than the label on its own (0.44 versus 0.52).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falsification arm shows the label is read, and read as a country.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which is what a cue the model attends to should do, and what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profile keeps carrying a compositional share of its own. The two scorings are not mechanically coupled: under the derangement the named and the true countries' human means correlate at a median of −0.07. Figure 5 puts the conditions side by side.</w:t>
      </w:r>
    </w:p>
    <w:p>
      <w:pPr>
        <w:pStyle w:val="Fig"/>
      </w:pPr>
      <w:r>
        <w:drawing>
          <wp:inline distT="0" distB="0" distL="0" distR="0">
            <wp:extent cx="5361432" cy="2694432"/>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361432" cy="2694432"/>
                    </a:xfrm>
                    <a:prstGeom prst="rect">
                      <a:avLst/>
                    </a:prstGeom>
                  </pic:spPr>
                </pic:pic>
              </a:graphicData>
            </a:graphic>
          </wp:inline>
        </w:drawing>
      </w:r>
    </w:p>
    <w:p>
      <w:pPr>
        <w:pStyle w:val="Caption"/>
      </w:pPr>
      <w:r>
        <w:t xml:space="preserve">Figure 5. A wrong country name costs the country the respondents came from, Qwen 1P.</w:t>
      </w:r>
    </w:p>
    <w:p>
      <w:pPr>
        <w:pStyle w:val="Body"/>
      </w:pPr>
      <w:r>
        <w:t xml:space="preserve">Note. Median </w:t>
      </w:r>
      <w:r>
        <w:rPr>
          <w:i/>
        </w:rPr>
        <w:t>r</w:t>
      </w:r>
      <w:r>
        <w:rPr>
          <w:i/>
          <w:vertAlign w:val="subscript"/>
        </w:rPr>
        <w:t>bc</w:t>
      </w:r>
      <w:r>
        <w:t xml:space="preserve"> over items, forward- and reverse-worded shown separately as in Figure 4. The dashed line is the same profile with no country name in the prompt. The comparison that carries the argument is the third row against that line: a wrong name leaves the respondents' own country worse recovered than no name does. The second row against the third is small and its interval includes zero, so the arm is not evidence that recovery transfers to the country named.</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The inversions in Section 4.1 and the negative country-label effect above share one candidate explanation. The model may be reading the numeric scale in the wrong direction while holding correct country associations. That explanation is testable, and a 2 × 2 arm tests it on the 22-item batch (Figure 6).</w:t>
      </w:r>
    </w:p>
    <w:p>
      <w:pPr>
        <w:pStyle w:val="Body"/>
      </w:pPr>
      <w:r>
        <w:t xml:space="preserve">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genuine cross-national signal, and the response format determines the sign with which that signal appears. This is one interacting mechanism, not two parallel ones, and it means the item inversions are a property of the instrument, not of the model's country knowledge.</w:t>
      </w:r>
    </w:p>
    <w:p>
      <w:pPr>
        <w:pStyle w:val="Fig"/>
      </w:pPr>
      <w:r>
        <w:drawing>
          <wp:inline distT="0" distB="0" distL="0" distR="0">
            <wp:extent cx="5760720" cy="6191454"/>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6191454"/>
                    </a:xfrm>
                    <a:prstGeom prst="rect">
                      <a:avLst/>
                    </a:prstGeom>
                  </pic:spPr>
                </pic:pic>
              </a:graphicData>
            </a:graphic>
          </wp:inline>
        </w:drawing>
      </w:r>
    </w:p>
    <w:p>
      <w:pPr>
        <w:pStyle w:val="Caption"/>
      </w:pPr>
      <w:r>
        <w:t xml:space="preserve">Figure 6. The 2 × 2: country label by response-scale format, 22 items, Qwen 1P.</w:t>
      </w:r>
    </w:p>
    <w:p>
      <w:pPr>
        <w:pStyle w:val="Body"/>
      </w:pPr>
      <w:r>
        <w:t xml:space="preserve">Note. Panel (a): the four cell means with bootstrap intervals over items; verbal anchors flip the label’s effect on reverse-worded items from negative to positive. Panel (b): the same movement, item by item,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Figure 2(b) presents the individual-level results. Median within-country recovery ranges from 0.006 (Llama 3P) to 0.028 (Qwen 1P), and first- and third-person framing do not differ in either model (Table A4). Even the largest implies less than 0.1% shared variance. With 20,550 respondents per condition many of these correlations are statistically significant and substantively negligible. That weakness is not an absence of demographic signal in the human benchmark: the five-predictor ceiling of 0.210 sits against an achieved 0.028, so the model recovers 13.5% of what a demographic profile could in principle deliver.</w:t>
      </w:r>
    </w:p>
    <w:p>
      <w:pPr>
        <w:pStyle w:val="Body"/>
      </w:pPr>
      <w:r>
        <w:t xml:space="preserve">The two levels sit far apart in the same display: </w:t>
      </w:r>
      <w:r>
        <w:rPr>
          <w:i/>
        </w:rPr>
        <w:t>r</w:t>
      </w:r>
      <w:r>
        <w:rPr>
          <w:i/>
          <w:vertAlign w:val="subscript"/>
        </w:rPr>
        <w:t>pool</w:t>
      </w:r>
      <w:r>
        <w:t xml:space="preserve"> lies between 0.64 and 0.83 across conditions while within-country recovery is near zero (Figure 2, panels (a) and (b)). The aggregate–individual dissociation is established for single-country designs; what is new is that it survives at thirty countries and that scale anchoring moves both levels together.</w:t>
      </w:r>
    </w:p>
    <w:p>
      <w:pPr>
        <w:pStyle w:val="Body"/>
      </w:pPr>
      <w:r>
        <w:t xml:space="preserve">The scale manipulation of Section 4.2 also moves this level. Anchoring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Distributional recovery is also limited. Under Qwen 1P the mean ratio of model to human standard deviations is 0.61, using the mean of the per-cell ratios; the median is 0.57 and the ratio of means 0.59, and all three fail the pre-declared 0.9–1.1 band. Llama 3P instead expands variance (1.41), showing that dispersion can fail in either direction. Aggregate rank correspondence therefore does not imply distributional recovery.</w:t>
      </w:r>
    </w:p>
    <w:p>
      <w:pPr>
        <w:pStyle w:val="Body"/>
      </w:pPr>
      <w:r>
        <w:t xml:space="preserve">At the country level, individual recovery remains uniformly weak. </w:t>
      </w:r>
      <w:r>
        <w:rPr>
          <w:i/>
        </w:rPr>
        <w:t>r</w:t>
      </w:r>
      <w:r>
        <w:rPr>
          <w:i/>
          <w:vertAlign w:val="subscript"/>
        </w:rPr>
        <w:t>wc</w:t>
      </w:r>
      <w:r>
        <w:t xml:space="preserve"> is computed for each of the 1,260 country–item cells. Under Qwen 1P, mean </w:t>
      </w:r>
      <w:r>
        <w:rPr>
          <w:i/>
        </w:rPr>
        <w:t>r</w:t>
      </w:r>
      <w:r>
        <w:rPr>
          <w:i/>
          <w:vertAlign w:val="subscript"/>
        </w:rPr>
        <w:t>wc</w:t>
      </w:r>
      <w:r>
        <w:t xml:space="preserve"> is 0.027 (SD 0.079). Of the 1,260 cells, 826 are positive and 453 reach p &lt; 0.05 (rq3_cell_summary.csv). Even Israel, the highest country mean at 0.077, has less than 1% of individual variance explained. No country reaches a level that supports substantive individual inference.</w:t>
      </w:r>
    </w:p>
    <w:p>
      <w:pPr>
        <w:pStyle w:val="Body"/>
      </w:pPr>
      <w:r>
        <w:t xml:space="preserve">Individual-level recovery has no clear regional gradient and varies more by item than by country. Life satisfaction (0.146) and happiness (0.142) recover best, whereas household income feeling (−0.148) and attitudes toward homosexuality (−0.085) are consistently negative. Eleven of the 42 items are negative at this level. It is the same count as at the aggregate level, and largely the same items (Appendix Figure A3). That is the pattern a direction failure operating at both levels would produce. What is asked therefore matters more than which country is simulated.</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(90% CI [−0.49, 0.10]). Range-normalized aggregate error yields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a pairwise one, so it is better counted than correlated: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Caption"/>
      </w:pPr>
      <w:r>
        <w:t xml:space="preserve">Figure 7. Aggregate against individual country rankings, Qwen 1P.</w:t>
      </w:r>
    </w:p>
    <w:p>
      <w:pPr>
        <w:pStyle w:val="Body"/>
      </w:pPr>
      <w:r>
        <w:t xml:space="preserve">Note. 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232 of the 435 country pairs reverse. Switzerland and Israel, the sharpest case in the text, are drawn in black.</w:t>
      </w:r>
    </w:p>
    <w:p>
      <w:pPr>
        <w:pStyle w:val="H2"/>
      </w:pPr>
      <w:r>
        <w:t xml:space="preserve">4.4 Robustness checks</w:t>
      </w:r>
    </w:p>
    <w:p>
      <w:pPr>
        <w:pStyle w:val="Body"/>
      </w:pPr>
      <w:r>
        <w:t xml:space="preserve">One of sixteen robustness checks changes a conclusion.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That one is stated here, with the two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r = 0.84.</w:t>
      </w:r>
    </w:p>
    <w:p>
      <w:pPr>
        <w:pStyle w:val="Body"/>
      </w:pPr>
      <w:r>
        <w:t xml:space="preserve">Run-to-run stability sets the interpretive band.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Coverage in the Llama third-person arm changes a conclusion.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 The other checks leave every conclusion in place.</w:t>
      </w:r>
    </w:p>
    <w:p>
      <w:pPr>
        <w:pStyle w:val="H1"/>
      </w:pPr>
      <w:r>
        <w:t xml:space="preserve">5 Discussion and Conclusion</w:t>
      </w:r>
    </w:p>
    <w:p>
      <w:pPr>
        <w:pStyle w:val="Body"/>
      </w:pPr>
      <w:r>
        <w:t xml:space="preserve">Read separately, the three findings look like independent limitations. The scale experiment shows they are not. Supplying verbal endpoint labels removes the item inversions, reverses the sign of the country-label effect on reverse-coded items, and triples individual-level recovery. One manipulation does all three. Two of the three headline results therefore share a cause, and the cause lies in the measurement instrument. The third does not depend on it: the country label supplies most of the aggregate signal, richer profiles do not improve on it, and the two levels do not covary across countries.</w:t>
      </w:r>
    </w:p>
    <w:p>
      <w:pPr>
        <w:pStyle w:val="H2"/>
      </w:pPr>
      <w:r>
        <w:t xml:space="preserve">5.1 The country label acts as a group-level prior</w:t>
      </w:r>
    </w:p>
    <w:p>
      <w:pPr>
        <w:pStyle w:val="Body"/>
      </w:pPr>
      <w:r>
        <w:t xml:space="preserve">The backstory experiment identifies the country label as the largest incremental source of aggregate recovery. Richer profiles do not improve on it: the full profile sits below the label alone, and political identity and the socioeconomic block lower recovery when added (Section 4.2). A model that found respondent detail uninformative would show flat margins. Negative margins indicate that the detail is used, and used badly.</w:t>
      </w:r>
    </w:p>
    <w:p>
      <w:pPr>
        <w:pStyle w:val="Body"/>
      </w:pPr>
      <w:r>
        <w:t xml:space="preserve">The label does not work by making the country identifiable. If it did, recovery would track identifiability. Holding identifiability at its maximum, recovery still spans 0.29 to 0.52, and the sparsest profile containing the country beats every richer one (Appendix, Country identifiability). The model appears to treat the country as a group-level prior, and respondent detail as noise around it. Within a country almost none of the variation the model produces is respondent-specific: in a replicate arm 95% of the within-country variance is generation noise, and median within-country recovery is 0.028 against the 0.210 ceiling. And the label is what steers: replacing it with a wrong name costs the country the respondents came from (Section 4.2).</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Appendix, Concordance).</w:t>
      </w:r>
    </w:p>
    <w:p>
      <w:pPr>
        <w:pStyle w:val="Body"/>
      </w:pPr>
      <w:r>
        <w:t xml:space="preserve">Sensible cue use does not explain the pattern either. Country may be the most informative single cue available for these outcomes, so leaning on it could be cue use and not stereotype activation.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Country-conditioned differentiation is not equivalent to calibrated representation. Human national-character beliefs can be consensual yet unrelated to measured population traits (Terracciano et al., 2005), while LLM population simulations show uneven correspondence across countries (Durmus et al., 2023; Qu &amp; Wang, 2024). Even models fine-tuned to reproduce survey response distributions capture group-level patterns, not individual attitudes (Cao et al., 2025).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result separates matching a group-level pattern from simulating a population’s internal structure. A model can approximate national averages by treating the country cue as a group-level prior. It does not, however, reproduce how attitudes covary with individual attributes. The first capacity may support narrow aggregate tasks. It does not establish the second. Cultural-alignment research asks which national profiles models resemble (Durmus et al., 2023; Tao et al., 2024). Survey-simulation research asks whether conditioned outputs reproduce the target population (Bail, 2024; Bisbee et al., 2024). These results show that the first capacity can be present while the second is absent.</w:t>
      </w:r>
    </w:p>
    <w:p>
      <w:pPr>
        <w:pStyle w:val="H2"/>
      </w:pPr>
      <w:r>
        <w:t xml:space="preserve">5.2 Item-level failure is a property of the instrument</w:t>
      </w:r>
    </w:p>
    <w:p>
      <w:pPr>
        <w:pStyle w:val="Body"/>
      </w:pPr>
      <w:r>
        <w:t xml:space="preserve">High pooled correlations mask negative item-level country correlations by combining well-recovered and inverted items. In these data, high pooled and profile correlations coexist with eleven of the forty-two items whose cross-national ordering is reversed, so a screening rule based on pooled or profile recovery would certify a battery in which a substantial minority of items has the wrong sign. Item-level diagnostics are therefore necessary before pooled or profile metrics are used.</w:t>
      </w:r>
    </w:p>
    <w:p>
      <w:pPr>
        <w:pStyle w:val="Body"/>
      </w:pPr>
      <w:r>
        <w:t xml:space="preserve">The inversions are an instrument effect: the anchoring experiment of Section 4.2 removes them while holding the model, the respondents, and the items fixed. Prompt format is part of the measurement instrument. The instrument here was deliberately minimal: abbreviated item wording and a bare numeric range for every item except the three trust questions, so the model received less scale information than an ESS respondent, who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only the anchored arm separates them. This is a measurement-equivalence problem of the kind cross-national survey research already recognizes between human populations (King et al., 2004; Davidov et al., 2014), arising here between human and model.</w:t>
      </w:r>
    </w:p>
    <w:p>
      <w:pPr>
        <w:pStyle w:val="Body"/>
      </w:pPr>
      <w:r>
        <w:t xml:space="preserve">Direction accounts for two thirds of the variance in item-level recovery, and the remaining third has a pattern of its own. Institutional trust and subjective well-being recover best, while items about a respondent's own circumstances (income, health, safety) invert. One reading, offered after the fact,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Consistent with this, among forward-coded items recovery rises with the size of the true cross-national differences (r = 0.46, p = 0.012 across the 29 items).</w:t>
      </w:r>
    </w:p>
    <w:p>
      <w:pPr>
        <w:pStyle w:val="H2"/>
      </w:pPr>
      <w:r>
        <w:t xml:space="preserve">5.3 Aggregate and individual recovery are different validity claims</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and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sociodemographic prompting alone does not reliably improve subjective judgment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a third constraint, and the cheapest of the three to change.</w:t>
      </w:r>
    </w:p>
    <w:p>
      <w:pPr>
        <w:pStyle w:val="Body"/>
      </w:pPr>
      <w:r>
        <w:t xml:space="preserve">A coverage account cannot absorb these results.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One predicts each country's item mean by the leave-one-out average of its regional neighbors, using no model at all. It gives a median </w:t>
      </w:r>
      <w:r>
        <w:rPr>
          <w:i/>
        </w:rPr>
        <w:t>r</w:t>
      </w:r>
      <w:r>
        <w:rPr>
          <w:i/>
          <w:vertAlign w:val="subscript"/>
        </w:rPr>
        <w:t>bc</w:t>
      </w:r>
      <w:r>
        <w:t xml:space="preserve"> of 0.55 against the model's 0.44, and a median normalized error of 0.056 against 0.180. The regional average wins on level accuracy for 41 of 42 items. Adding log GDP per capita to region dummies raises the comparator to 0.62 and 0.052. Both comparators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may still support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contributions are of three kinds. The empirical one is the evaluation itself: item-level country rankings, within-country individual recovery, and the country label’s incremental contribution, measured for the first time on the same matched respondents, items, and prompts. What it finds is a group-level prior. The label carries the aggregate signal, no richer profile improves on it, and none of it reaches the individual level.</w:t>
      </w:r>
    </w:p>
    <w:p>
      <w:pPr>
        <w:pStyle w:val="Body"/>
      </w:pPr>
      <w:r>
        <w:t xml:space="preserve">The methodological contribution is to make those readings testable. Each backstory block is observed at the two margins that bound its contribution, so no ordering of additions can be chosen after the fact. A falsification arm replaces the country name, which tests whether the cue is specific to the country it names. A 2 × 2 crosses the label with the scale format, which turns the item inversions from an interpretation into a result. Recovery is reported item by item against a measured run-to-run floor, where a pooled correlation would have hidden the inverted items.</w:t>
      </w:r>
    </w:p>
    <w:p>
      <w:pPr>
        <w:pStyle w:val="Body"/>
      </w:pPr>
      <w:r>
        <w:t xml:space="preserve">The practical contribution is a standard of adequacy. Recovery is judged against predictors that use no model at all and that a researcher who holds survey data already has, and on these items the regional average wins. A validation should be reported against the estimand it licenses: aggregate rank comparison after item-level validation, and no claim at the individual or distributional level.</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w:t>
      </w:r>
    </w:p>
    <w:p>
      <w:pPr>
        <w:pStyle w:val="Body"/>
      </w:pPr>
      <w:r>
        <w:t xml:space="preserve">Third, the no-country arm still carries country information. A classifier trained on its rendered backstories recovers the country 28.7% of the time, against a 3.3% baseline. Harmonized education, marital and activity categories differ in composition across countries. No backstory names a country, so the leak is compositional, and the 0.34 median recovery of that arm is an upper bound on what composition achieves without country knowledge. Fourth, the scale experiment uses Qwen 1P only. The country-label contrast replicates under Llama (Section 4.2), and no experiment here can distinguish calibrated country knowledge from stereotype activation. Finally, the Llama third-person arm lost 24% of scheduled responses to a format-compliance failure, not a scale-comprehension one, diagnosed in Appendix, Parse failures. It bounds what that arm can show.</w:t>
      </w:r>
    </w:p>
    <w:p>
      <w:pPr>
        <w:pStyle w:val="Body"/>
      </w:pPr>
      <w:r>
        <w:t xml:space="preserve">Each limitation names its next step. A factorial design can vary prompt language, country-specific party cues, verbal scale anchors, and profile content independently, which the English-only design here cannot.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Beyond the limitations, the quantities a user needs are multivariate structure, subgroup calibration, and repeated-run stability, each judged against the estimand-specific criteria above.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documents metric definitions, aggregate robustness checks, variable and prompt documentation, leakage checks, and domain-, item-, model-, and prompt-level diagnostics.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Caption"/>
      </w:pPr>
      <w:r>
        <w:t xml:space="preserve">Table A1. 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268"/>
        <w:gridCol w:w="2268"/>
        <w:gridCol w:w="2268"/>
        <w:gridCol w:w="2268"/>
      </w:tblGrid>
      <w:tr>
        <w:tc>
          <w:tcPr>
            <w:tcW w:w="2268" w:type="dxa"/>
            <w:tcBorders>
              <w:bottom w:val="single" w:sz="8" w:space="0" w:color="000000"/>
            </w:tcBorders>
          </w:tcPr>
          <w:p>
            <w:pPr>
              <w:pStyle w:val="Cell"/>
            </w:pPr>
            <w:r>
              <w:rPr>
                <w:b/>
              </w:rPr>
              <w:t xml:space="preserve">Variable</w:t>
            </w:r>
          </w:p>
        </w:tc>
        <w:tc>
          <w:tcPr>
            <w:tcW w:w="2268" w:type="dxa"/>
            <w:tcBorders>
              <w:bottom w:val="single" w:sz="8" w:space="0" w:color="000000"/>
            </w:tcBorders>
          </w:tcPr>
          <w:p>
            <w:pPr>
              <w:pStyle w:val="Cell"/>
            </w:pPr>
            <w:r>
              <w:rPr>
                <w:b/>
              </w:rPr>
              <w:t xml:space="preserve">Question Text</w:t>
            </w:r>
          </w:p>
        </w:tc>
        <w:tc>
          <w:tcPr>
            <w:tcW w:w="2268" w:type="dxa"/>
            <w:tcBorders>
              <w:bottom w:val="single" w:sz="8" w:space="0" w:color="000000"/>
            </w:tcBorders>
          </w:tcPr>
          <w:p>
            <w:pPr>
              <w:pStyle w:val="Cell"/>
            </w:pPr>
            <w:r>
              <w:rPr>
                <w:b/>
              </w:rPr>
              <w:t xml:space="preserve">Scale</w:t>
            </w:r>
          </w:p>
        </w:tc>
        <w:tc>
          <w:tcPr>
            <w:tcW w:w="2268" w:type="dxa"/>
            <w:tcBorders>
              <w:bottom w:val="single" w:sz="8" w:space="0" w:color="000000"/>
            </w:tcBorders>
          </w:tcPr>
          <w:p>
            <w:pPr>
              <w:pStyle w:val="Cell"/>
            </w:pPr>
            <w:r>
              <w:rPr>
                <w:b/>
              </w:rPr>
              <w:t xml:space="preserve">Domain</w:t>
            </w:r>
          </w:p>
        </w:tc>
      </w:tr>
      <w:tr>
        <w:tc>
          <w:tcPr>
            <w:tcW w:w="2268" w:type="dxa"/>
          </w:tcPr>
          <w:p>
            <w:pPr>
              <w:pStyle w:val="Cell"/>
            </w:pPr>
            <w:r>
              <w:t xml:space="preserve">health</w:t>
            </w:r>
          </w:p>
        </w:tc>
        <w:tc>
          <w:tcPr>
            <w:tcW w:w="2268" w:type="dxa"/>
          </w:tcPr>
          <w:p>
            <w:pPr>
              <w:pStyle w:val="Cell"/>
            </w:pPr>
            <w:r>
              <w:t xml:space="preserve">Subjective general health</w:t>
            </w:r>
          </w:p>
        </w:tc>
        <w:tc>
          <w:tcPr>
            <w:tcW w:w="2268" w:type="dxa"/>
          </w:tcPr>
          <w:p>
            <w:pPr>
              <w:pStyle w:val="Cell"/>
            </w:pPr>
            <w:r>
              <w:t xml:space="preserve">1-5</w:t>
            </w:r>
          </w:p>
        </w:tc>
        <w:tc>
          <w:tcPr>
            <w:tcW w:w="2268" w:type="dxa"/>
          </w:tcPr>
          <w:p>
            <w:pPr>
              <w:pStyle w:val="Cell"/>
            </w:pPr>
            <w:r>
              <w:t xml:space="preserve">Health</w:t>
            </w:r>
          </w:p>
        </w:tc>
      </w:tr>
      <w:tr>
        <w:tc>
          <w:tcPr>
            <w:tcW w:w="2268" w:type="dxa"/>
          </w:tcPr>
          <w:p>
            <w:pPr>
              <w:pStyle w:val="Cell"/>
            </w:pPr>
            <w:r>
              <w:t xml:space="preserve">imbgeco</w:t>
            </w:r>
          </w:p>
        </w:tc>
        <w:tc>
          <w:tcPr>
            <w:tcW w:w="2268" w:type="dxa"/>
          </w:tcPr>
          <w:p>
            <w:pPr>
              <w:pStyle w:val="Cell"/>
            </w:pPr>
            <w:r>
              <w:t xml:space="preserve">Immigration bad or good for country's economy</w:t>
            </w:r>
          </w:p>
        </w:tc>
        <w:tc>
          <w:tcPr>
            <w:tcW w:w="2268" w:type="dxa"/>
          </w:tcPr>
          <w:p>
            <w:pPr>
              <w:pStyle w:val="Cell"/>
            </w:pPr>
            <w:r>
              <w:t xml:space="preserve">0-10</w:t>
            </w:r>
          </w:p>
        </w:tc>
        <w:tc>
          <w:tcPr>
            <w:tcW w:w="2268" w:type="dxa"/>
          </w:tcPr>
          <w:p>
            <w:pPr>
              <w:pStyle w:val="Cell"/>
            </w:pPr>
            <w:r>
              <w:t xml:space="preserve">Immigration Attitudes</w:t>
            </w:r>
          </w:p>
        </w:tc>
      </w:tr>
      <w:tr>
        <w:tc>
          <w:tcPr>
            <w:tcW w:w="2268" w:type="dxa"/>
          </w:tcPr>
          <w:p>
            <w:pPr>
              <w:pStyle w:val="Cell"/>
            </w:pPr>
            <w:r>
              <w:t xml:space="preserve">imdfetn</w:t>
            </w:r>
          </w:p>
        </w:tc>
        <w:tc>
          <w:tcPr>
            <w:tcW w:w="2268" w:type="dxa"/>
          </w:tcPr>
          <w:p>
            <w:pPr>
              <w:pStyle w:val="Cell"/>
            </w:pPr>
            <w:r>
              <w:t xml:space="preserve">Allow many/few immigrants of different race/ethnic group from majority</w:t>
            </w:r>
          </w:p>
        </w:tc>
        <w:tc>
          <w:tcPr>
            <w:tcW w:w="2268" w:type="dxa"/>
          </w:tcPr>
          <w:p>
            <w:pPr>
              <w:pStyle w:val="Cell"/>
            </w:pPr>
            <w:r>
              <w:t xml:space="preserve">1-4</w:t>
            </w:r>
          </w:p>
        </w:tc>
        <w:tc>
          <w:tcPr>
            <w:tcW w:w="2268" w:type="dxa"/>
          </w:tcPr>
          <w:p>
            <w:pPr>
              <w:pStyle w:val="Cell"/>
            </w:pPr>
            <w:r>
              <w:t xml:space="preserve">Immigration Attitudes</w:t>
            </w:r>
          </w:p>
        </w:tc>
      </w:tr>
      <w:tr>
        <w:tc>
          <w:tcPr>
            <w:tcW w:w="2268" w:type="dxa"/>
          </w:tcPr>
          <w:p>
            <w:pPr>
              <w:pStyle w:val="Cell"/>
            </w:pPr>
            <w:r>
              <w:t xml:space="preserve">impcntr</w:t>
            </w:r>
          </w:p>
        </w:tc>
        <w:tc>
          <w:tcPr>
            <w:tcW w:w="2268" w:type="dxa"/>
          </w:tcPr>
          <w:p>
            <w:pPr>
              <w:pStyle w:val="Cell"/>
            </w:pPr>
            <w:r>
              <w:t xml:space="preserve">Allow many/few immigrants from poorer countries outside Europe</w:t>
            </w:r>
          </w:p>
        </w:tc>
        <w:tc>
          <w:tcPr>
            <w:tcW w:w="2268" w:type="dxa"/>
          </w:tcPr>
          <w:p>
            <w:pPr>
              <w:pStyle w:val="Cell"/>
            </w:pPr>
            <w:r>
              <w:t xml:space="preserve">1-4</w:t>
            </w:r>
          </w:p>
        </w:tc>
        <w:tc>
          <w:tcPr>
            <w:tcW w:w="2268" w:type="dxa"/>
          </w:tcPr>
          <w:p>
            <w:pPr>
              <w:pStyle w:val="Cell"/>
            </w:pPr>
            <w:r>
              <w:t xml:space="preserve">Immigration Attitudes</w:t>
            </w:r>
          </w:p>
        </w:tc>
      </w:tr>
      <w:tr>
        <w:tc>
          <w:tcPr>
            <w:tcW w:w="2268" w:type="dxa"/>
          </w:tcPr>
          <w:p>
            <w:pPr>
              <w:pStyle w:val="Cell"/>
            </w:pPr>
            <w:r>
              <w:t xml:space="preserve">imsmetn</w:t>
            </w:r>
          </w:p>
        </w:tc>
        <w:tc>
          <w:tcPr>
            <w:tcW w:w="2268" w:type="dxa"/>
          </w:tcPr>
          <w:p>
            <w:pPr>
              <w:pStyle w:val="Cell"/>
            </w:pPr>
            <w:r>
              <w:t xml:space="preserve">Allow many/few immigrants of same race/ethnic group as majority</w:t>
            </w:r>
          </w:p>
        </w:tc>
        <w:tc>
          <w:tcPr>
            <w:tcW w:w="2268" w:type="dxa"/>
          </w:tcPr>
          <w:p>
            <w:pPr>
              <w:pStyle w:val="Cell"/>
            </w:pPr>
            <w:r>
              <w:t xml:space="preserve">1-4</w:t>
            </w:r>
          </w:p>
        </w:tc>
        <w:tc>
          <w:tcPr>
            <w:tcW w:w="2268" w:type="dxa"/>
          </w:tcPr>
          <w:p>
            <w:pPr>
              <w:pStyle w:val="Cell"/>
            </w:pPr>
            <w:r>
              <w:t xml:space="preserve">Immigration Attitudes</w:t>
            </w:r>
          </w:p>
        </w:tc>
      </w:tr>
      <w:tr>
        <w:tc>
          <w:tcPr>
            <w:tcW w:w="2268" w:type="dxa"/>
          </w:tcPr>
          <w:p>
            <w:pPr>
              <w:pStyle w:val="Cell"/>
            </w:pPr>
            <w:r>
              <w:t xml:space="preserve">imueclt</w:t>
            </w:r>
          </w:p>
        </w:tc>
        <w:tc>
          <w:tcPr>
            <w:tcW w:w="2268" w:type="dxa"/>
          </w:tcPr>
          <w:p>
            <w:pPr>
              <w:pStyle w:val="Cell"/>
            </w:pPr>
            <w:r>
              <w:t xml:space="preserve">Country's cultural life undermined or enriched by immigrants</w:t>
            </w:r>
          </w:p>
        </w:tc>
        <w:tc>
          <w:tcPr>
            <w:tcW w:w="2268" w:type="dxa"/>
          </w:tcPr>
          <w:p>
            <w:pPr>
              <w:pStyle w:val="Cell"/>
            </w:pPr>
            <w:r>
              <w:t xml:space="preserve">0-10</w:t>
            </w:r>
          </w:p>
        </w:tc>
        <w:tc>
          <w:tcPr>
            <w:tcW w:w="2268" w:type="dxa"/>
          </w:tcPr>
          <w:p>
            <w:pPr>
              <w:pStyle w:val="Cell"/>
            </w:pPr>
            <w:r>
              <w:t xml:space="preserve">Immigration Attitudes</w:t>
            </w:r>
          </w:p>
        </w:tc>
      </w:tr>
      <w:tr>
        <w:tc>
          <w:tcPr>
            <w:tcW w:w="2268" w:type="dxa"/>
          </w:tcPr>
          <w:p>
            <w:pPr>
              <w:pStyle w:val="Cell"/>
            </w:pPr>
            <w:r>
              <w:t xml:space="preserve">imwbcnt</w:t>
            </w:r>
          </w:p>
        </w:tc>
        <w:tc>
          <w:tcPr>
            <w:tcW w:w="2268" w:type="dxa"/>
          </w:tcPr>
          <w:p>
            <w:pPr>
              <w:pStyle w:val="Cell"/>
            </w:pPr>
            <w:r>
              <w:t xml:space="preserve">Immigrants make country worse or better place to live</w:t>
            </w:r>
          </w:p>
        </w:tc>
        <w:tc>
          <w:tcPr>
            <w:tcW w:w="2268" w:type="dxa"/>
          </w:tcPr>
          <w:p>
            <w:pPr>
              <w:pStyle w:val="Cell"/>
            </w:pPr>
            <w:r>
              <w:t xml:space="preserve">0-10</w:t>
            </w:r>
          </w:p>
        </w:tc>
        <w:tc>
          <w:tcPr>
            <w:tcW w:w="2268" w:type="dxa"/>
          </w:tcPr>
          <w:p>
            <w:pPr>
              <w:pStyle w:val="Cell"/>
            </w:pPr>
            <w:r>
              <w:t xml:space="preserve">Immigration Attitudes</w:t>
            </w:r>
          </w:p>
        </w:tc>
      </w:tr>
      <w:tr>
        <w:tc>
          <w:tcPr>
            <w:tcW w:w="2268" w:type="dxa"/>
          </w:tcPr>
          <w:p>
            <w:pPr>
              <w:pStyle w:val="Cell"/>
            </w:pPr>
            <w:r>
              <w:t xml:space="preserve">hincfel</w:t>
            </w:r>
          </w:p>
        </w:tc>
        <w:tc>
          <w:tcPr>
            <w:tcW w:w="2268" w:type="dxa"/>
          </w:tcPr>
          <w:p>
            <w:pPr>
              <w:pStyle w:val="Cell"/>
            </w:pPr>
            <w:r>
              <w:t xml:space="preserve">Feeling about household's income nowadays</w:t>
            </w:r>
          </w:p>
        </w:tc>
        <w:tc>
          <w:tcPr>
            <w:tcW w:w="2268" w:type="dxa"/>
          </w:tcPr>
          <w:p>
            <w:pPr>
              <w:pStyle w:val="Cell"/>
            </w:pPr>
            <w:r>
              <w:t xml:space="preserve">1-4</w:t>
            </w:r>
          </w:p>
        </w:tc>
        <w:tc>
          <w:tcPr>
            <w:tcW w:w="2268" w:type="dxa"/>
          </w:tcPr>
          <w:p>
            <w:pPr>
              <w:pStyle w:val="Cell"/>
            </w:pPr>
            <w:r>
              <w:t xml:space="preserve">Income</w:t>
            </w:r>
          </w:p>
        </w:tc>
      </w:tr>
      <w:tr>
        <w:tc>
          <w:tcPr>
            <w:tcW w:w="2268" w:type="dxa"/>
          </w:tcPr>
          <w:p>
            <w:pPr>
              <w:pStyle w:val="Cell"/>
            </w:pPr>
            <w:r>
              <w:t xml:space="preserve">trstep</w:t>
            </w:r>
          </w:p>
        </w:tc>
        <w:tc>
          <w:tcPr>
            <w:tcW w:w="2268" w:type="dxa"/>
          </w:tcPr>
          <w:p>
            <w:pPr>
              <w:pStyle w:val="Cell"/>
            </w:pPr>
            <w:r>
              <w:t xml:space="preserve">Trust in the European Parliament</w:t>
            </w:r>
          </w:p>
        </w:tc>
        <w:tc>
          <w:tcPr>
            <w:tcW w:w="2268" w:type="dxa"/>
          </w:tcPr>
          <w:p>
            <w:pPr>
              <w:pStyle w:val="Cell"/>
            </w:pPr>
            <w:r>
              <w:t xml:space="preserve">0-10</w:t>
            </w:r>
          </w:p>
        </w:tc>
        <w:tc>
          <w:tcPr>
            <w:tcW w:w="2268" w:type="dxa"/>
          </w:tcPr>
          <w:p>
            <w:pPr>
              <w:pStyle w:val="Cell"/>
            </w:pPr>
            <w:r>
              <w:t xml:space="preserve">Institutional Trust</w:t>
            </w:r>
          </w:p>
        </w:tc>
      </w:tr>
      <w:tr>
        <w:tc>
          <w:tcPr>
            <w:tcW w:w="2268" w:type="dxa"/>
          </w:tcPr>
          <w:p>
            <w:pPr>
              <w:pStyle w:val="Cell"/>
            </w:pPr>
            <w:r>
              <w:t xml:space="preserve">trstlgl</w:t>
            </w:r>
          </w:p>
        </w:tc>
        <w:tc>
          <w:tcPr>
            <w:tcW w:w="2268" w:type="dxa"/>
          </w:tcPr>
          <w:p>
            <w:pPr>
              <w:pStyle w:val="Cell"/>
            </w:pPr>
            <w:r>
              <w:t xml:space="preserve">Trust in the legal system</w:t>
            </w:r>
          </w:p>
        </w:tc>
        <w:tc>
          <w:tcPr>
            <w:tcW w:w="2268" w:type="dxa"/>
          </w:tcPr>
          <w:p>
            <w:pPr>
              <w:pStyle w:val="Cell"/>
            </w:pPr>
            <w:r>
              <w:t xml:space="preserve">0-10</w:t>
            </w:r>
          </w:p>
        </w:tc>
        <w:tc>
          <w:tcPr>
            <w:tcW w:w="2268" w:type="dxa"/>
          </w:tcPr>
          <w:p>
            <w:pPr>
              <w:pStyle w:val="Cell"/>
            </w:pPr>
            <w:r>
              <w:t xml:space="preserve">Institutional Trust</w:t>
            </w:r>
          </w:p>
        </w:tc>
      </w:tr>
      <w:tr>
        <w:tc>
          <w:tcPr>
            <w:tcW w:w="2268" w:type="dxa"/>
          </w:tcPr>
          <w:p>
            <w:pPr>
              <w:pStyle w:val="Cell"/>
            </w:pPr>
            <w:r>
              <w:t xml:space="preserve">trstplc</w:t>
            </w:r>
          </w:p>
        </w:tc>
        <w:tc>
          <w:tcPr>
            <w:tcW w:w="2268" w:type="dxa"/>
          </w:tcPr>
          <w:p>
            <w:pPr>
              <w:pStyle w:val="Cell"/>
            </w:pPr>
            <w:r>
              <w:t xml:space="preserve">Trust in the police</w:t>
            </w:r>
          </w:p>
        </w:tc>
        <w:tc>
          <w:tcPr>
            <w:tcW w:w="2268" w:type="dxa"/>
          </w:tcPr>
          <w:p>
            <w:pPr>
              <w:pStyle w:val="Cell"/>
            </w:pPr>
            <w:r>
              <w:t xml:space="preserve">0-10</w:t>
            </w:r>
          </w:p>
        </w:tc>
        <w:tc>
          <w:tcPr>
            <w:tcW w:w="2268" w:type="dxa"/>
          </w:tcPr>
          <w:p>
            <w:pPr>
              <w:pStyle w:val="Cell"/>
            </w:pPr>
            <w:r>
              <w:t xml:space="preserve">Institutional Trust</w:t>
            </w:r>
          </w:p>
        </w:tc>
      </w:tr>
      <w:tr>
        <w:tc>
          <w:tcPr>
            <w:tcW w:w="2268" w:type="dxa"/>
          </w:tcPr>
          <w:p>
            <w:pPr>
              <w:pStyle w:val="Cell"/>
            </w:pPr>
            <w:r>
              <w:t xml:space="preserve">trstplt</w:t>
            </w:r>
          </w:p>
        </w:tc>
        <w:tc>
          <w:tcPr>
            <w:tcW w:w="2268" w:type="dxa"/>
          </w:tcPr>
          <w:p>
            <w:pPr>
              <w:pStyle w:val="Cell"/>
            </w:pPr>
            <w:r>
              <w:t xml:space="preserve">Trust in politicians</w:t>
            </w:r>
          </w:p>
        </w:tc>
        <w:tc>
          <w:tcPr>
            <w:tcW w:w="2268" w:type="dxa"/>
          </w:tcPr>
          <w:p>
            <w:pPr>
              <w:pStyle w:val="Cell"/>
            </w:pPr>
            <w:r>
              <w:t xml:space="preserve">0-10</w:t>
            </w:r>
          </w:p>
        </w:tc>
        <w:tc>
          <w:tcPr>
            <w:tcW w:w="2268" w:type="dxa"/>
          </w:tcPr>
          <w:p>
            <w:pPr>
              <w:pStyle w:val="Cell"/>
            </w:pPr>
            <w:r>
              <w:t xml:space="preserve">Institutional Trust</w:t>
            </w:r>
          </w:p>
        </w:tc>
      </w:tr>
      <w:tr>
        <w:tc>
          <w:tcPr>
            <w:tcW w:w="2268" w:type="dxa"/>
          </w:tcPr>
          <w:p>
            <w:pPr>
              <w:pStyle w:val="Cell"/>
            </w:pPr>
            <w:r>
              <w:t xml:space="preserve">trstprl</w:t>
            </w:r>
          </w:p>
        </w:tc>
        <w:tc>
          <w:tcPr>
            <w:tcW w:w="2268" w:type="dxa"/>
          </w:tcPr>
          <w:p>
            <w:pPr>
              <w:pStyle w:val="Cell"/>
            </w:pPr>
            <w:r>
              <w:t xml:space="preserve">Trust in country's parliament</w:t>
            </w:r>
          </w:p>
        </w:tc>
        <w:tc>
          <w:tcPr>
            <w:tcW w:w="2268" w:type="dxa"/>
          </w:tcPr>
          <w:p>
            <w:pPr>
              <w:pStyle w:val="Cell"/>
            </w:pPr>
            <w:r>
              <w:t xml:space="preserve">0-10</w:t>
            </w:r>
          </w:p>
        </w:tc>
        <w:tc>
          <w:tcPr>
            <w:tcW w:w="2268" w:type="dxa"/>
          </w:tcPr>
          <w:p>
            <w:pPr>
              <w:pStyle w:val="Cell"/>
            </w:pPr>
            <w:r>
              <w:t xml:space="preserve">Institutional Trust</w:t>
            </w:r>
          </w:p>
        </w:tc>
      </w:tr>
      <w:tr>
        <w:tc>
          <w:tcPr>
            <w:tcW w:w="2268" w:type="dxa"/>
          </w:tcPr>
          <w:p>
            <w:pPr>
              <w:pStyle w:val="Cell"/>
            </w:pPr>
            <w:r>
              <w:t xml:space="preserve">trstprt</w:t>
            </w:r>
          </w:p>
        </w:tc>
        <w:tc>
          <w:tcPr>
            <w:tcW w:w="2268" w:type="dxa"/>
          </w:tcPr>
          <w:p>
            <w:pPr>
              <w:pStyle w:val="Cell"/>
            </w:pPr>
            <w:r>
              <w:t xml:space="preserve">Trust in political parties</w:t>
            </w:r>
          </w:p>
        </w:tc>
        <w:tc>
          <w:tcPr>
            <w:tcW w:w="2268" w:type="dxa"/>
          </w:tcPr>
          <w:p>
            <w:pPr>
              <w:pStyle w:val="Cell"/>
            </w:pPr>
            <w:r>
              <w:t xml:space="preserve">0-10</w:t>
            </w:r>
          </w:p>
        </w:tc>
        <w:tc>
          <w:tcPr>
            <w:tcW w:w="2268" w:type="dxa"/>
          </w:tcPr>
          <w:p>
            <w:pPr>
              <w:pStyle w:val="Cell"/>
            </w:pPr>
            <w:r>
              <w:t xml:space="preserve">Institutional Trust</w:t>
            </w:r>
          </w:p>
        </w:tc>
      </w:tr>
      <w:tr>
        <w:tc>
          <w:tcPr>
            <w:tcW w:w="2268" w:type="dxa"/>
          </w:tcPr>
          <w:p>
            <w:pPr>
              <w:pStyle w:val="Cell"/>
            </w:pPr>
            <w:r>
              <w:t xml:space="preserve">trstun</w:t>
            </w:r>
          </w:p>
        </w:tc>
        <w:tc>
          <w:tcPr>
            <w:tcW w:w="2268" w:type="dxa"/>
          </w:tcPr>
          <w:p>
            <w:pPr>
              <w:pStyle w:val="Cell"/>
            </w:pPr>
            <w:r>
              <w:t xml:space="preserve">Trust in the United Nations</w:t>
            </w:r>
          </w:p>
        </w:tc>
        <w:tc>
          <w:tcPr>
            <w:tcW w:w="2268" w:type="dxa"/>
          </w:tcPr>
          <w:p>
            <w:pPr>
              <w:pStyle w:val="Cell"/>
            </w:pPr>
            <w:r>
              <w:t xml:space="preserve">0-10</w:t>
            </w:r>
          </w:p>
        </w:tc>
        <w:tc>
          <w:tcPr>
            <w:tcW w:w="2268" w:type="dxa"/>
          </w:tcPr>
          <w:p>
            <w:pPr>
              <w:pStyle w:val="Cell"/>
            </w:pPr>
            <w:r>
              <w:t xml:space="preserve">Institutional Trust</w:t>
            </w:r>
          </w:p>
        </w:tc>
      </w:tr>
      <w:tr>
        <w:tc>
          <w:tcPr>
            <w:tcW w:w="2268" w:type="dxa"/>
          </w:tcPr>
          <w:p>
            <w:pPr>
              <w:pStyle w:val="Cell"/>
            </w:pPr>
            <w:r>
              <w:t xml:space="preserve">atchctr</w:t>
            </w:r>
          </w:p>
        </w:tc>
        <w:tc>
          <w:tcPr>
            <w:tcW w:w="2268" w:type="dxa"/>
          </w:tcPr>
          <w:p>
            <w:pPr>
              <w:pStyle w:val="Cell"/>
            </w:pPr>
            <w:r>
              <w:t xml:space="preserve">How emotionally attached to country</w:t>
            </w:r>
          </w:p>
        </w:tc>
        <w:tc>
          <w:tcPr>
            <w:tcW w:w="2268" w:type="dxa"/>
          </w:tcPr>
          <w:p>
            <w:pPr>
              <w:pStyle w:val="Cell"/>
            </w:pPr>
            <w:r>
              <w:t xml:space="preserve">0-10</w:t>
            </w:r>
          </w:p>
        </w:tc>
        <w:tc>
          <w:tcPr>
            <w:tcW w:w="2268" w:type="dxa"/>
          </w:tcPr>
          <w:p>
            <w:pPr>
              <w:pStyle w:val="Cell"/>
            </w:pPr>
            <w:r>
              <w:t xml:space="preserve">National Attachment</w:t>
            </w:r>
          </w:p>
        </w:tc>
      </w:tr>
      <w:tr>
        <w:tc>
          <w:tcPr>
            <w:tcW w:w="2268" w:type="dxa"/>
          </w:tcPr>
          <w:p>
            <w:pPr>
              <w:pStyle w:val="Cell"/>
            </w:pPr>
            <w:r>
              <w:t xml:space="preserve">atcherp</w:t>
            </w:r>
          </w:p>
        </w:tc>
        <w:tc>
          <w:tcPr>
            <w:tcW w:w="2268" w:type="dxa"/>
          </w:tcPr>
          <w:p>
            <w:pPr>
              <w:pStyle w:val="Cell"/>
            </w:pPr>
            <w:r>
              <w:t xml:space="preserve">How emotionally attached to Europe</w:t>
            </w:r>
          </w:p>
        </w:tc>
        <w:tc>
          <w:tcPr>
            <w:tcW w:w="2268" w:type="dxa"/>
          </w:tcPr>
          <w:p>
            <w:pPr>
              <w:pStyle w:val="Cell"/>
            </w:pPr>
            <w:r>
              <w:t xml:space="preserve">0-10</w:t>
            </w:r>
          </w:p>
        </w:tc>
        <w:tc>
          <w:tcPr>
            <w:tcW w:w="2268" w:type="dxa"/>
          </w:tcPr>
          <w:p>
            <w:pPr>
              <w:pStyle w:val="Cell"/>
            </w:pPr>
            <w:r>
              <w:t xml:space="preserve">National Attachment</w:t>
            </w:r>
          </w:p>
        </w:tc>
      </w:tr>
      <w:tr>
        <w:tc>
          <w:tcPr>
            <w:tcW w:w="2268" w:type="dxa"/>
          </w:tcPr>
          <w:p>
            <w:pPr>
              <w:pStyle w:val="Cell"/>
            </w:pPr>
            <w:r>
              <w:t xml:space="preserve">polintr</w:t>
            </w:r>
          </w:p>
        </w:tc>
        <w:tc>
          <w:tcPr>
            <w:tcW w:w="2268" w:type="dxa"/>
          </w:tcPr>
          <w:p>
            <w:pPr>
              <w:pStyle w:val="Cell"/>
            </w:pPr>
            <w:r>
              <w:t xml:space="preserve">How interested in politics</w:t>
            </w:r>
          </w:p>
        </w:tc>
        <w:tc>
          <w:tcPr>
            <w:tcW w:w="2268" w:type="dxa"/>
          </w:tcPr>
          <w:p>
            <w:pPr>
              <w:pStyle w:val="Cell"/>
            </w:pPr>
            <w:r>
              <w:t xml:space="preserve">1-4</w:t>
            </w:r>
          </w:p>
        </w:tc>
        <w:tc>
          <w:tcPr>
            <w:tcW w:w="2268" w:type="dxa"/>
          </w:tcPr>
          <w:p>
            <w:pPr>
              <w:pStyle w:val="Cell"/>
            </w:pPr>
            <w:r>
              <w:t xml:space="preserve">Political Attitudes</w:t>
            </w:r>
          </w:p>
        </w:tc>
      </w:tr>
      <w:tr>
        <w:tc>
          <w:tcPr>
            <w:tcW w:w="2268" w:type="dxa"/>
          </w:tcPr>
          <w:p>
            <w:pPr>
              <w:pStyle w:val="Cell"/>
            </w:pPr>
            <w:r>
              <w:t xml:space="preserve">psppipla</w:t>
            </w:r>
          </w:p>
        </w:tc>
        <w:tc>
          <w:tcPr>
            <w:tcW w:w="2268" w:type="dxa"/>
          </w:tcPr>
          <w:p>
            <w:pPr>
              <w:pStyle w:val="Cell"/>
            </w:pPr>
            <w:r>
              <w:t xml:space="preserve">Political system allows people to have influence on politics</w:t>
            </w:r>
          </w:p>
        </w:tc>
        <w:tc>
          <w:tcPr>
            <w:tcW w:w="2268" w:type="dxa"/>
          </w:tcPr>
          <w:p>
            <w:pPr>
              <w:pStyle w:val="Cell"/>
            </w:pPr>
            <w:r>
              <w:t xml:space="preserve">1-5</w:t>
            </w:r>
          </w:p>
        </w:tc>
        <w:tc>
          <w:tcPr>
            <w:tcW w:w="2268" w:type="dxa"/>
          </w:tcPr>
          <w:p>
            <w:pPr>
              <w:pStyle w:val="Cell"/>
            </w:pPr>
            <w:r>
              <w:t xml:space="preserve">Political Attitudes</w:t>
            </w:r>
          </w:p>
        </w:tc>
      </w:tr>
      <w:tr>
        <w:tc>
          <w:tcPr>
            <w:tcW w:w="2268" w:type="dxa"/>
          </w:tcPr>
          <w:p>
            <w:pPr>
              <w:pStyle w:val="Cell"/>
            </w:pPr>
            <w:r>
              <w:t xml:space="preserve">psppsgva</w:t>
            </w:r>
          </w:p>
        </w:tc>
        <w:tc>
          <w:tcPr>
            <w:tcW w:w="2268" w:type="dxa"/>
          </w:tcPr>
          <w:p>
            <w:pPr>
              <w:pStyle w:val="Cell"/>
            </w:pPr>
            <w:r>
              <w:t xml:space="preserve">Political system allows people to have a say in what government does</w:t>
            </w:r>
          </w:p>
        </w:tc>
        <w:tc>
          <w:tcPr>
            <w:tcW w:w="2268" w:type="dxa"/>
          </w:tcPr>
          <w:p>
            <w:pPr>
              <w:pStyle w:val="Cell"/>
            </w:pPr>
            <w:r>
              <w:t xml:space="preserve">1-5</w:t>
            </w:r>
          </w:p>
        </w:tc>
        <w:tc>
          <w:tcPr>
            <w:tcW w:w="2268" w:type="dxa"/>
          </w:tcPr>
          <w:p>
            <w:pPr>
              <w:pStyle w:val="Cell"/>
            </w:pPr>
            <w:r>
              <w:t xml:space="preserve">Political Attitudes</w:t>
            </w:r>
          </w:p>
        </w:tc>
      </w:tr>
      <w:tr>
        <w:tc>
          <w:tcPr>
            <w:tcW w:w="2268" w:type="dxa"/>
          </w:tcPr>
          <w:p>
            <w:pPr>
              <w:pStyle w:val="Cell"/>
            </w:pPr>
            <w:r>
              <w:t xml:space="preserve">stfdem</w:t>
            </w:r>
          </w:p>
        </w:tc>
        <w:tc>
          <w:tcPr>
            <w:tcW w:w="2268" w:type="dxa"/>
          </w:tcPr>
          <w:p>
            <w:pPr>
              <w:pStyle w:val="Cell"/>
            </w:pPr>
            <w:r>
              <w:t xml:space="preserve">How satisfied with the way democracy works in country</w:t>
            </w:r>
          </w:p>
        </w:tc>
        <w:tc>
          <w:tcPr>
            <w:tcW w:w="2268" w:type="dxa"/>
          </w:tcPr>
          <w:p>
            <w:pPr>
              <w:pStyle w:val="Cell"/>
            </w:pPr>
            <w:r>
              <w:t xml:space="preserve">0-10</w:t>
            </w:r>
          </w:p>
        </w:tc>
        <w:tc>
          <w:tcPr>
            <w:tcW w:w="2268" w:type="dxa"/>
          </w:tcPr>
          <w:p>
            <w:pPr>
              <w:pStyle w:val="Cell"/>
            </w:pPr>
            <w:r>
              <w:t xml:space="preserve">Political Attitudes</w:t>
            </w:r>
          </w:p>
        </w:tc>
      </w:tr>
      <w:tr>
        <w:tc>
          <w:tcPr>
            <w:tcW w:w="2268" w:type="dxa"/>
          </w:tcPr>
          <w:p>
            <w:pPr>
              <w:pStyle w:val="Cell"/>
            </w:pPr>
            <w:r>
              <w:t xml:space="preserve">vote</w:t>
            </w:r>
          </w:p>
        </w:tc>
        <w:tc>
          <w:tcPr>
            <w:tcW w:w="2268" w:type="dxa"/>
          </w:tcPr>
          <w:p>
            <w:pPr>
              <w:pStyle w:val="Cell"/>
            </w:pPr>
            <w:r>
              <w:t xml:space="preserve">Voted last national election</w:t>
            </w:r>
          </w:p>
        </w:tc>
        <w:tc>
          <w:tcPr>
            <w:tcW w:w="2268" w:type="dxa"/>
          </w:tcPr>
          <w:p>
            <w:pPr>
              <w:pStyle w:val="Cell"/>
            </w:pPr>
            <w:r>
              <w:t xml:space="preserve">1-3</w:t>
            </w:r>
          </w:p>
        </w:tc>
        <w:tc>
          <w:tcPr>
            <w:tcW w:w="2268" w:type="dxa"/>
          </w:tcPr>
          <w:p>
            <w:pPr>
              <w:pStyle w:val="Cell"/>
            </w:pPr>
            <w:r>
              <w:t xml:space="preserve">Political Attitudes</w:t>
            </w:r>
          </w:p>
        </w:tc>
      </w:tr>
      <w:tr>
        <w:tc>
          <w:tcPr>
            <w:tcW w:w="2268" w:type="dxa"/>
          </w:tcPr>
          <w:p>
            <w:pPr>
              <w:pStyle w:val="Cell"/>
            </w:pPr>
            <w:r>
              <w:t xml:space="preserve">actrolga</w:t>
            </w:r>
          </w:p>
        </w:tc>
        <w:tc>
          <w:tcPr>
            <w:tcW w:w="2268" w:type="dxa"/>
          </w:tcPr>
          <w:p>
            <w:pPr>
              <w:pStyle w:val="Cell"/>
            </w:pPr>
            <w:r>
              <w:t xml:space="preserve">Able to take active role in political group</w:t>
            </w:r>
          </w:p>
        </w:tc>
        <w:tc>
          <w:tcPr>
            <w:tcW w:w="2268" w:type="dxa"/>
          </w:tcPr>
          <w:p>
            <w:pPr>
              <w:pStyle w:val="Cell"/>
            </w:pPr>
            <w:r>
              <w:t xml:space="preserve">1-5</w:t>
            </w:r>
          </w:p>
        </w:tc>
        <w:tc>
          <w:tcPr>
            <w:tcW w:w="2268" w:type="dxa"/>
          </w:tcPr>
          <w:p>
            <w:pPr>
              <w:pStyle w:val="Cell"/>
            </w:pPr>
            <w:r>
              <w:t xml:space="preserve">Political Efficacy</w:t>
            </w:r>
          </w:p>
        </w:tc>
      </w:tr>
      <w:tr>
        <w:tc>
          <w:tcPr>
            <w:tcW w:w="2268" w:type="dxa"/>
          </w:tcPr>
          <w:p>
            <w:pPr>
              <w:pStyle w:val="Cell"/>
            </w:pPr>
            <w:r>
              <w:t xml:space="preserve">cptppola</w:t>
            </w:r>
          </w:p>
        </w:tc>
        <w:tc>
          <w:tcPr>
            <w:tcW w:w="2268" w:type="dxa"/>
          </w:tcPr>
          <w:p>
            <w:pPr>
              <w:pStyle w:val="Cell"/>
            </w:pPr>
            <w:r>
              <w:t xml:space="preserve">Confident in own ability to participate in politics</w:t>
            </w:r>
          </w:p>
        </w:tc>
        <w:tc>
          <w:tcPr>
            <w:tcW w:w="2268" w:type="dxa"/>
          </w:tcPr>
          <w:p>
            <w:pPr>
              <w:pStyle w:val="Cell"/>
            </w:pPr>
            <w:r>
              <w:t xml:space="preserve">1-5</w:t>
            </w:r>
          </w:p>
        </w:tc>
        <w:tc>
          <w:tcPr>
            <w:tcW w:w="2268" w:type="dxa"/>
          </w:tcPr>
          <w:p>
            <w:pPr>
              <w:pStyle w:val="Cell"/>
            </w:pPr>
            <w:r>
              <w:t xml:space="preserve">Political Efficacy</w:t>
            </w:r>
          </w:p>
        </w:tc>
      </w:tr>
      <w:tr>
        <w:tc>
          <w:tcPr>
            <w:tcW w:w="2268" w:type="dxa"/>
          </w:tcPr>
          <w:p>
            <w:pPr>
              <w:pStyle w:val="Cell"/>
            </w:pPr>
            <w:r>
              <w:t xml:space="preserve">rlgatnd</w:t>
            </w:r>
          </w:p>
        </w:tc>
        <w:tc>
          <w:tcPr>
            <w:tcW w:w="2268" w:type="dxa"/>
          </w:tcPr>
          <w:p>
            <w:pPr>
              <w:pStyle w:val="Cell"/>
            </w:pPr>
            <w:r>
              <w:t xml:space="preserve">How often attend religious services apart from special occasions</w:t>
            </w:r>
          </w:p>
        </w:tc>
        <w:tc>
          <w:tcPr>
            <w:tcW w:w="2268" w:type="dxa"/>
          </w:tcPr>
          <w:p>
            <w:pPr>
              <w:pStyle w:val="Cell"/>
            </w:pPr>
            <w:r>
              <w:t xml:space="preserve">1-7</w:t>
            </w:r>
          </w:p>
        </w:tc>
        <w:tc>
          <w:tcPr>
            <w:tcW w:w="2268" w:type="dxa"/>
          </w:tcPr>
          <w:p>
            <w:pPr>
              <w:pStyle w:val="Cell"/>
            </w:pPr>
            <w:r>
              <w:t xml:space="preserve">Religion</w:t>
            </w:r>
          </w:p>
        </w:tc>
      </w:tr>
      <w:tr>
        <w:tc>
          <w:tcPr>
            <w:tcW w:w="2268" w:type="dxa"/>
          </w:tcPr>
          <w:p>
            <w:pPr>
              <w:pStyle w:val="Cell"/>
            </w:pPr>
            <w:r>
              <w:t xml:space="preserve">aesfdrk</w:t>
            </w:r>
          </w:p>
        </w:tc>
        <w:tc>
          <w:tcPr>
            <w:tcW w:w="2268" w:type="dxa"/>
          </w:tcPr>
          <w:p>
            <w:pPr>
              <w:pStyle w:val="Cell"/>
            </w:pPr>
            <w:r>
              <w:t xml:space="preserve">Feeling of safety of walking alone in local area after dark</w:t>
            </w:r>
          </w:p>
        </w:tc>
        <w:tc>
          <w:tcPr>
            <w:tcW w:w="2268" w:type="dxa"/>
          </w:tcPr>
          <w:p>
            <w:pPr>
              <w:pStyle w:val="Cell"/>
            </w:pPr>
            <w:r>
              <w:t xml:space="preserve">1-4</w:t>
            </w:r>
          </w:p>
        </w:tc>
        <w:tc>
          <w:tcPr>
            <w:tcW w:w="2268" w:type="dxa"/>
          </w:tcPr>
          <w:p>
            <w:pPr>
              <w:pStyle w:val="Cell"/>
            </w:pPr>
            <w:r>
              <w:t xml:space="preserve">Safety</w:t>
            </w:r>
          </w:p>
        </w:tc>
      </w:tr>
      <w:tr>
        <w:tc>
          <w:tcPr>
            <w:tcW w:w="2268" w:type="dxa"/>
          </w:tcPr>
          <w:p>
            <w:pPr>
              <w:pStyle w:val="Cell"/>
            </w:pPr>
            <w:r>
              <w:t xml:space="preserve">inprdsc</w:t>
            </w:r>
          </w:p>
        </w:tc>
        <w:tc>
          <w:tcPr>
            <w:tcW w:w="2268" w:type="dxa"/>
          </w:tcPr>
          <w:p>
            <w:pPr>
              <w:pStyle w:val="Cell"/>
            </w:pPr>
            <w:r>
              <w:t xml:space="preserve">How many people with whom you can discuss intimate and personal matters</w:t>
            </w:r>
          </w:p>
        </w:tc>
        <w:tc>
          <w:tcPr>
            <w:tcW w:w="2268" w:type="dxa"/>
          </w:tcPr>
          <w:p>
            <w:pPr>
              <w:pStyle w:val="Cell"/>
            </w:pPr>
            <w:r>
              <w:t xml:space="preserve">0-6</w:t>
            </w:r>
          </w:p>
        </w:tc>
        <w:tc>
          <w:tcPr>
            <w:tcW w:w="2268" w:type="dxa"/>
          </w:tcPr>
          <w:p>
            <w:pPr>
              <w:pStyle w:val="Cell"/>
            </w:pPr>
            <w:r>
              <w:t xml:space="preserve">Social Trust</w:t>
            </w:r>
          </w:p>
        </w:tc>
      </w:tr>
      <w:tr>
        <w:tc>
          <w:tcPr>
            <w:tcW w:w="2268" w:type="dxa"/>
          </w:tcPr>
          <w:p>
            <w:pPr>
              <w:pStyle w:val="Cell"/>
            </w:pPr>
            <w:r>
              <w:t xml:space="preserve">pplfair</w:t>
            </w:r>
          </w:p>
        </w:tc>
        <w:tc>
          <w:tcPr>
            <w:tcW w:w="2268" w:type="dxa"/>
          </w:tcPr>
          <w:p>
            <w:pPr>
              <w:pStyle w:val="Cell"/>
            </w:pPr>
            <w:r>
              <w:t xml:space="preserve">Most people try to take advantage of you, or try to be fair</w:t>
            </w:r>
          </w:p>
        </w:tc>
        <w:tc>
          <w:tcPr>
            <w:tcW w:w="2268" w:type="dxa"/>
          </w:tcPr>
          <w:p>
            <w:pPr>
              <w:pStyle w:val="Cell"/>
            </w:pPr>
            <w:r>
              <w:t xml:space="preserve">0-10</w:t>
            </w:r>
          </w:p>
        </w:tc>
        <w:tc>
          <w:tcPr>
            <w:tcW w:w="2268" w:type="dxa"/>
          </w:tcPr>
          <w:p>
            <w:pPr>
              <w:pStyle w:val="Cell"/>
            </w:pPr>
            <w:r>
              <w:t xml:space="preserve">Social Trust</w:t>
            </w:r>
          </w:p>
        </w:tc>
      </w:tr>
      <w:tr>
        <w:tc>
          <w:tcPr>
            <w:tcW w:w="2268" w:type="dxa"/>
          </w:tcPr>
          <w:p>
            <w:pPr>
              <w:pStyle w:val="Cell"/>
            </w:pPr>
            <w:r>
              <w:t xml:space="preserve">pplhlp</w:t>
            </w:r>
          </w:p>
        </w:tc>
        <w:tc>
          <w:tcPr>
            <w:tcW w:w="2268" w:type="dxa"/>
          </w:tcPr>
          <w:p>
            <w:pPr>
              <w:pStyle w:val="Cell"/>
            </w:pPr>
            <w:r>
              <w:t xml:space="preserve">Most of the time people are helpful or mostly looking out for themselves</w:t>
            </w:r>
          </w:p>
        </w:tc>
        <w:tc>
          <w:tcPr>
            <w:tcW w:w="2268" w:type="dxa"/>
          </w:tcPr>
          <w:p>
            <w:pPr>
              <w:pStyle w:val="Cell"/>
            </w:pPr>
            <w:r>
              <w:t xml:space="preserve">0-10</w:t>
            </w:r>
          </w:p>
        </w:tc>
        <w:tc>
          <w:tcPr>
            <w:tcW w:w="2268" w:type="dxa"/>
          </w:tcPr>
          <w:p>
            <w:pPr>
              <w:pStyle w:val="Cell"/>
            </w:pPr>
            <w:r>
              <w:t xml:space="preserve">Social Trust</w:t>
            </w:r>
          </w:p>
        </w:tc>
      </w:tr>
      <w:tr>
        <w:tc>
          <w:tcPr>
            <w:tcW w:w="2268" w:type="dxa"/>
          </w:tcPr>
          <w:p>
            <w:pPr>
              <w:pStyle w:val="Cell"/>
            </w:pPr>
            <w:r>
              <w:t xml:space="preserve">ppltrst</w:t>
            </w:r>
          </w:p>
        </w:tc>
        <w:tc>
          <w:tcPr>
            <w:tcW w:w="2268" w:type="dxa"/>
          </w:tcPr>
          <w:p>
            <w:pPr>
              <w:pStyle w:val="Cell"/>
            </w:pPr>
            <w:r>
              <w:t xml:space="preserve">Most people can be trusted, or you can't be too careful</w:t>
            </w:r>
          </w:p>
        </w:tc>
        <w:tc>
          <w:tcPr>
            <w:tcW w:w="2268" w:type="dxa"/>
          </w:tcPr>
          <w:p>
            <w:pPr>
              <w:pStyle w:val="Cell"/>
            </w:pPr>
            <w:r>
              <w:t xml:space="preserve">0-10</w:t>
            </w:r>
          </w:p>
        </w:tc>
        <w:tc>
          <w:tcPr>
            <w:tcW w:w="2268" w:type="dxa"/>
          </w:tcPr>
          <w:p>
            <w:pPr>
              <w:pStyle w:val="Cell"/>
            </w:pPr>
            <w:r>
              <w:t xml:space="preserve">Social Trust</w:t>
            </w:r>
          </w:p>
        </w:tc>
      </w:tr>
      <w:tr>
        <w:tc>
          <w:tcPr>
            <w:tcW w:w="2268" w:type="dxa"/>
          </w:tcPr>
          <w:p>
            <w:pPr>
              <w:pStyle w:val="Cell"/>
            </w:pPr>
            <w:r>
              <w:t xml:space="preserve">sclmeet</w:t>
            </w:r>
          </w:p>
        </w:tc>
        <w:tc>
          <w:tcPr>
            <w:tcW w:w="2268" w:type="dxa"/>
          </w:tcPr>
          <w:p>
            <w:pPr>
              <w:pStyle w:val="Cell"/>
            </w:pPr>
            <w:r>
              <w:t xml:space="preserve">How often socially meet with friends, relatives or colleagues</w:t>
            </w:r>
          </w:p>
        </w:tc>
        <w:tc>
          <w:tcPr>
            <w:tcW w:w="2268" w:type="dxa"/>
          </w:tcPr>
          <w:p>
            <w:pPr>
              <w:pStyle w:val="Cell"/>
            </w:pPr>
            <w:r>
              <w:t xml:space="preserve">1-7</w:t>
            </w:r>
          </w:p>
        </w:tc>
        <w:tc>
          <w:tcPr>
            <w:tcW w:w="2268" w:type="dxa"/>
          </w:tcPr>
          <w:p>
            <w:pPr>
              <w:pStyle w:val="Cell"/>
            </w:pPr>
            <w:r>
              <w:t xml:space="preserve">Social Trust</w:t>
            </w:r>
          </w:p>
        </w:tc>
      </w:tr>
      <w:tr>
        <w:tc>
          <w:tcPr>
            <w:tcW w:w="2268" w:type="dxa"/>
          </w:tcPr>
          <w:p>
            <w:pPr>
              <w:pStyle w:val="Cell"/>
            </w:pPr>
            <w:r>
              <w:t xml:space="preserve">euftf</w:t>
            </w:r>
          </w:p>
        </w:tc>
        <w:tc>
          <w:tcPr>
            <w:tcW w:w="2268" w:type="dxa"/>
          </w:tcPr>
          <w:p>
            <w:pPr>
              <w:pStyle w:val="Cell"/>
            </w:pPr>
            <w:r>
              <w:t xml:space="preserve">European unification go further or gone too far</w:t>
            </w:r>
          </w:p>
        </w:tc>
        <w:tc>
          <w:tcPr>
            <w:tcW w:w="2268" w:type="dxa"/>
          </w:tcPr>
          <w:p>
            <w:pPr>
              <w:pStyle w:val="Cell"/>
            </w:pPr>
            <w:r>
              <w:t xml:space="preserve">0-10</w:t>
            </w:r>
          </w:p>
        </w:tc>
        <w:tc>
          <w:tcPr>
            <w:tcW w:w="2268" w:type="dxa"/>
          </w:tcPr>
          <w:p>
            <w:pPr>
              <w:pStyle w:val="Cell"/>
            </w:pPr>
            <w:r>
              <w:t xml:space="preserve">Social Values</w:t>
            </w:r>
          </w:p>
        </w:tc>
      </w:tr>
      <w:tr>
        <w:tc>
          <w:tcPr>
            <w:tcW w:w="2268" w:type="dxa"/>
          </w:tcPr>
          <w:p>
            <w:pPr>
              <w:pStyle w:val="Cell"/>
            </w:pPr>
            <w:r>
              <w:t xml:space="preserve">freehms</w:t>
            </w:r>
          </w:p>
        </w:tc>
        <w:tc>
          <w:tcPr>
            <w:tcW w:w="2268" w:type="dxa"/>
          </w:tcPr>
          <w:p>
            <w:pPr>
              <w:pStyle w:val="Cell"/>
            </w:pPr>
            <w:r>
              <w:t xml:space="preserve">Gay men and lesbians free to live life as they wish</w:t>
            </w:r>
          </w:p>
        </w:tc>
        <w:tc>
          <w:tcPr>
            <w:tcW w:w="2268" w:type="dxa"/>
          </w:tcPr>
          <w:p>
            <w:pPr>
              <w:pStyle w:val="Cell"/>
            </w:pPr>
            <w:r>
              <w:t xml:space="preserve">1-5</w:t>
            </w:r>
          </w:p>
        </w:tc>
        <w:tc>
          <w:tcPr>
            <w:tcW w:w="2268" w:type="dxa"/>
          </w:tcPr>
          <w:p>
            <w:pPr>
              <w:pStyle w:val="Cell"/>
            </w:pPr>
            <w:r>
              <w:t xml:space="preserve">Social Values</w:t>
            </w:r>
          </w:p>
        </w:tc>
      </w:tr>
      <w:tr>
        <w:tc>
          <w:tcPr>
            <w:tcW w:w="2268" w:type="dxa"/>
          </w:tcPr>
          <w:p>
            <w:pPr>
              <w:pStyle w:val="Cell"/>
            </w:pPr>
            <w:r>
              <w:t xml:space="preserve">gincdif</w:t>
            </w:r>
          </w:p>
        </w:tc>
        <w:tc>
          <w:tcPr>
            <w:tcW w:w="2268" w:type="dxa"/>
          </w:tcPr>
          <w:p>
            <w:pPr>
              <w:pStyle w:val="Cell"/>
            </w:pPr>
            <w:r>
              <w:t xml:space="preserve">Government should reduce differences in income levels</w:t>
            </w:r>
          </w:p>
        </w:tc>
        <w:tc>
          <w:tcPr>
            <w:tcW w:w="2268" w:type="dxa"/>
          </w:tcPr>
          <w:p>
            <w:pPr>
              <w:pStyle w:val="Cell"/>
            </w:pPr>
            <w:r>
              <w:t xml:space="preserve">1-5</w:t>
            </w:r>
          </w:p>
        </w:tc>
        <w:tc>
          <w:tcPr>
            <w:tcW w:w="2268" w:type="dxa"/>
          </w:tcPr>
          <w:p>
            <w:pPr>
              <w:pStyle w:val="Cell"/>
            </w:pPr>
            <w:r>
              <w:t xml:space="preserve">Social Values</w:t>
            </w:r>
          </w:p>
        </w:tc>
      </w:tr>
      <w:tr>
        <w:tc>
          <w:tcPr>
            <w:tcW w:w="2268" w:type="dxa"/>
          </w:tcPr>
          <w:p>
            <w:pPr>
              <w:pStyle w:val="Cell"/>
            </w:pPr>
            <w:r>
              <w:t xml:space="preserve">hmsacld</w:t>
            </w:r>
          </w:p>
        </w:tc>
        <w:tc>
          <w:tcPr>
            <w:tcW w:w="2268" w:type="dxa"/>
          </w:tcPr>
          <w:p>
            <w:pPr>
              <w:pStyle w:val="Cell"/>
            </w:pPr>
            <w:r>
              <w:t xml:space="preserve">Gay male and lesbian couples should have right to adopt children</w:t>
            </w:r>
          </w:p>
        </w:tc>
        <w:tc>
          <w:tcPr>
            <w:tcW w:w="2268" w:type="dxa"/>
          </w:tcPr>
          <w:p>
            <w:pPr>
              <w:pStyle w:val="Cell"/>
            </w:pPr>
            <w:r>
              <w:t xml:space="preserve">1-5</w:t>
            </w:r>
          </w:p>
        </w:tc>
        <w:tc>
          <w:tcPr>
            <w:tcW w:w="2268" w:type="dxa"/>
          </w:tcPr>
          <w:p>
            <w:pPr>
              <w:pStyle w:val="Cell"/>
            </w:pPr>
            <w:r>
              <w:t xml:space="preserve">Social Values</w:t>
            </w:r>
          </w:p>
        </w:tc>
      </w:tr>
      <w:tr>
        <w:tc>
          <w:tcPr>
            <w:tcW w:w="2268" w:type="dxa"/>
          </w:tcPr>
          <w:p>
            <w:pPr>
              <w:pStyle w:val="Cell"/>
            </w:pPr>
            <w:r>
              <w:t xml:space="preserve">hmsfmlsh</w:t>
            </w:r>
          </w:p>
        </w:tc>
        <w:tc>
          <w:tcPr>
            <w:tcW w:w="2268" w:type="dxa"/>
          </w:tcPr>
          <w:p>
            <w:pPr>
              <w:pStyle w:val="Cell"/>
            </w:pPr>
            <w:r>
              <w:t xml:space="preserve">Ashamed if close family member is gay or lesbian</w:t>
            </w:r>
          </w:p>
        </w:tc>
        <w:tc>
          <w:tcPr>
            <w:tcW w:w="2268" w:type="dxa"/>
          </w:tcPr>
          <w:p>
            <w:pPr>
              <w:pStyle w:val="Cell"/>
            </w:pPr>
            <w:r>
              <w:t xml:space="preserve">1-5</w:t>
            </w:r>
          </w:p>
        </w:tc>
        <w:tc>
          <w:tcPr>
            <w:tcW w:w="2268" w:type="dxa"/>
          </w:tcPr>
          <w:p>
            <w:pPr>
              <w:pStyle w:val="Cell"/>
            </w:pPr>
            <w:r>
              <w:t xml:space="preserve">Social Values</w:t>
            </w:r>
          </w:p>
        </w:tc>
      </w:tr>
      <w:tr>
        <w:tc>
          <w:tcPr>
            <w:tcW w:w="2268" w:type="dxa"/>
          </w:tcPr>
          <w:p>
            <w:pPr>
              <w:pStyle w:val="Cell"/>
            </w:pPr>
            <w:r>
              <w:t xml:space="preserve">happy</w:t>
            </w:r>
          </w:p>
        </w:tc>
        <w:tc>
          <w:tcPr>
            <w:tcW w:w="2268" w:type="dxa"/>
          </w:tcPr>
          <w:p>
            <w:pPr>
              <w:pStyle w:val="Cell"/>
            </w:pPr>
            <w:r>
              <w:t xml:space="preserve">How happy are you</w:t>
            </w:r>
          </w:p>
        </w:tc>
        <w:tc>
          <w:tcPr>
            <w:tcW w:w="2268" w:type="dxa"/>
          </w:tcPr>
          <w:p>
            <w:pPr>
              <w:pStyle w:val="Cell"/>
            </w:pPr>
            <w:r>
              <w:t xml:space="preserve">0-10</w:t>
            </w:r>
          </w:p>
        </w:tc>
        <w:tc>
          <w:tcPr>
            <w:tcW w:w="2268" w:type="dxa"/>
          </w:tcPr>
          <w:p>
            <w:pPr>
              <w:pStyle w:val="Cell"/>
            </w:pPr>
            <w:r>
              <w:t xml:space="preserve">Subjective Well-being</w:t>
            </w:r>
          </w:p>
        </w:tc>
      </w:tr>
      <w:tr>
        <w:tc>
          <w:tcPr>
            <w:tcW w:w="2268" w:type="dxa"/>
          </w:tcPr>
          <w:p>
            <w:pPr>
              <w:pStyle w:val="Cell"/>
            </w:pPr>
            <w:r>
              <w:t xml:space="preserve">stfeco</w:t>
            </w:r>
          </w:p>
        </w:tc>
        <w:tc>
          <w:tcPr>
            <w:tcW w:w="2268" w:type="dxa"/>
          </w:tcPr>
          <w:p>
            <w:pPr>
              <w:pStyle w:val="Cell"/>
            </w:pPr>
            <w:r>
              <w:t xml:space="preserve">How satisfied with present state of economy in country</w:t>
            </w:r>
          </w:p>
        </w:tc>
        <w:tc>
          <w:tcPr>
            <w:tcW w:w="2268" w:type="dxa"/>
          </w:tcPr>
          <w:p>
            <w:pPr>
              <w:pStyle w:val="Cell"/>
            </w:pPr>
            <w:r>
              <w:t xml:space="preserve">0-10</w:t>
            </w:r>
          </w:p>
        </w:tc>
        <w:tc>
          <w:tcPr>
            <w:tcW w:w="2268" w:type="dxa"/>
          </w:tcPr>
          <w:p>
            <w:pPr>
              <w:pStyle w:val="Cell"/>
            </w:pPr>
            <w:r>
              <w:t xml:space="preserve">Subjective Well-being</w:t>
            </w:r>
          </w:p>
        </w:tc>
      </w:tr>
      <w:tr>
        <w:tc>
          <w:tcPr>
            <w:tcW w:w="2268" w:type="dxa"/>
          </w:tcPr>
          <w:p>
            <w:pPr>
              <w:pStyle w:val="Cell"/>
            </w:pPr>
            <w:r>
              <w:t xml:space="preserve">stfedu</w:t>
            </w:r>
          </w:p>
        </w:tc>
        <w:tc>
          <w:tcPr>
            <w:tcW w:w="2268" w:type="dxa"/>
          </w:tcPr>
          <w:p>
            <w:pPr>
              <w:pStyle w:val="Cell"/>
            </w:pPr>
            <w:r>
              <w:t xml:space="preserve">State of education in country nowadays</w:t>
            </w:r>
          </w:p>
        </w:tc>
        <w:tc>
          <w:tcPr>
            <w:tcW w:w="2268" w:type="dxa"/>
          </w:tcPr>
          <w:p>
            <w:pPr>
              <w:pStyle w:val="Cell"/>
            </w:pPr>
            <w:r>
              <w:t xml:space="preserve">0-10</w:t>
            </w:r>
          </w:p>
        </w:tc>
        <w:tc>
          <w:tcPr>
            <w:tcW w:w="2268" w:type="dxa"/>
          </w:tcPr>
          <w:p>
            <w:pPr>
              <w:pStyle w:val="Cell"/>
            </w:pPr>
            <w:r>
              <w:t xml:space="preserve">Subjective Well-being</w:t>
            </w:r>
          </w:p>
        </w:tc>
      </w:tr>
      <w:tr>
        <w:tc>
          <w:tcPr>
            <w:tcW w:w="2268" w:type="dxa"/>
          </w:tcPr>
          <w:p>
            <w:pPr>
              <w:pStyle w:val="Cell"/>
            </w:pPr>
            <w:r>
              <w:t xml:space="preserve">stfgov</w:t>
            </w:r>
          </w:p>
        </w:tc>
        <w:tc>
          <w:tcPr>
            <w:tcW w:w="2268" w:type="dxa"/>
          </w:tcPr>
          <w:p>
            <w:pPr>
              <w:pStyle w:val="Cell"/>
            </w:pPr>
            <w:r>
              <w:t xml:space="preserve">How satisfied with the national government</w:t>
            </w:r>
          </w:p>
        </w:tc>
        <w:tc>
          <w:tcPr>
            <w:tcW w:w="2268" w:type="dxa"/>
          </w:tcPr>
          <w:p>
            <w:pPr>
              <w:pStyle w:val="Cell"/>
            </w:pPr>
            <w:r>
              <w:t xml:space="preserve">0-10</w:t>
            </w:r>
          </w:p>
        </w:tc>
        <w:tc>
          <w:tcPr>
            <w:tcW w:w="2268" w:type="dxa"/>
          </w:tcPr>
          <w:p>
            <w:pPr>
              <w:pStyle w:val="Cell"/>
            </w:pPr>
            <w:r>
              <w:t xml:space="preserve">Subjective Well-being</w:t>
            </w:r>
          </w:p>
        </w:tc>
      </w:tr>
      <w:tr>
        <w:tc>
          <w:tcPr>
            <w:tcW w:w="2268" w:type="dxa"/>
          </w:tcPr>
          <w:p>
            <w:pPr>
              <w:pStyle w:val="Cell"/>
            </w:pPr>
            <w:r>
              <w:t xml:space="preserve">stfhlth</w:t>
            </w:r>
          </w:p>
        </w:tc>
        <w:tc>
          <w:tcPr>
            <w:tcW w:w="2268" w:type="dxa"/>
          </w:tcPr>
          <w:p>
            <w:pPr>
              <w:pStyle w:val="Cell"/>
            </w:pPr>
            <w:r>
              <w:t xml:space="preserve">State of health services in country nowadays</w:t>
            </w:r>
          </w:p>
        </w:tc>
        <w:tc>
          <w:tcPr>
            <w:tcW w:w="2268" w:type="dxa"/>
          </w:tcPr>
          <w:p>
            <w:pPr>
              <w:pStyle w:val="Cell"/>
            </w:pPr>
            <w:r>
              <w:t xml:space="preserve">0-10</w:t>
            </w:r>
          </w:p>
        </w:tc>
        <w:tc>
          <w:tcPr>
            <w:tcW w:w="2268" w:type="dxa"/>
          </w:tcPr>
          <w:p>
            <w:pPr>
              <w:pStyle w:val="Cell"/>
            </w:pPr>
            <w:r>
              <w:t xml:space="preserve">Subjective Well-being</w:t>
            </w:r>
          </w:p>
        </w:tc>
      </w:tr>
      <w:tr>
        <w:tc>
          <w:tcPr>
            <w:tcW w:w="2268" w:type="dxa"/>
          </w:tcPr>
          <w:p>
            <w:pPr>
              <w:pStyle w:val="Cell"/>
            </w:pPr>
            <w:r>
              <w:t xml:space="preserve">stflife</w:t>
            </w:r>
          </w:p>
        </w:tc>
        <w:tc>
          <w:tcPr>
            <w:tcW w:w="2268" w:type="dxa"/>
          </w:tcPr>
          <w:p>
            <w:pPr>
              <w:pStyle w:val="Cell"/>
            </w:pPr>
            <w:r>
              <w:t xml:space="preserve">How satisfied with life as a whole</w:t>
            </w:r>
          </w:p>
        </w:tc>
        <w:tc>
          <w:tcPr>
            <w:tcW w:w="2268" w:type="dxa"/>
          </w:tcPr>
          <w:p>
            <w:pPr>
              <w:pStyle w:val="Cell"/>
            </w:pPr>
            <w:r>
              <w:t xml:space="preserve">0-10</w:t>
            </w:r>
          </w:p>
        </w:tc>
        <w:tc>
          <w:tcPr>
            <w:tcW w:w="2268" w:type="dxa"/>
          </w:tcPr>
          <w:p>
            <w:pPr>
              <w:pStyle w:val="Cell"/>
            </w:pPr>
            <w:r>
              <w:t xml:space="preserve">Subjective Well-being</w:t>
            </w:r>
          </w:p>
        </w:tc>
      </w:tr>
    </w:tbl>
    <w:p>
      <w:pPr>
        <w:pStyle w:val="H3"/>
      </w:pPr>
      <w:r>
        <w:t xml:space="preserve">Example prompt (abbreviated)</w:t>
      </w:r>
    </w:p>
    <w:p>
      <w:pPr>
        <w:pStyle w:val="Body"/>
      </w:pPr>
      <w:r>
        <w:t xml:space="preserve">The abbreviated example illustrates the first-person framing;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H3"/>
      </w:pPr>
      <w:r>
        <w:t xml:space="preserve">Scale: 0-10</w:t>
      </w:r>
    </w:p>
    <w:p>
      <w:pPr>
        <w:pStyle w:val="Body"/>
      </w:pPr>
      <w:r>
        <w:t xml:space="preserve">Respond with ONLY a single number within the scale range. No explanation.</w:t>
      </w:r>
    </w:p>
    <w:p>
      <w:pPr>
        <w:pStyle w:val="Body"/>
      </w:pPr>
      <w:r>
        <w:t xml:space="preserve">Table A2 shows how removing leaked outcome information changes the seven affected items; its final column distinguishes direct echoes from attenuated inverse mappings.</w:t>
      </w:r>
    </w:p>
    <w:p>
      <w:pPr>
        <w:pStyle w:val="Caption"/>
      </w:pPr>
      <w:r>
        <w:t xml:space="preserve">Table A2. Backstory leakage comparison for 7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814"/>
        <w:gridCol w:w="1814"/>
        <w:gridCol w:w="1814"/>
        <w:gridCol w:w="1814"/>
        <w:gridCol w:w="1814"/>
      </w:tblGrid>
      <w:tr>
        <w:tc>
          <w:tcPr>
            <w:tcW w:w="1814" w:type="dxa"/>
            <w:tcBorders>
              <w:bottom w:val="single" w:sz="8" w:space="0" w:color="000000"/>
            </w:tcBorders>
          </w:tcPr>
          <w:p>
            <w:pPr>
              <w:pStyle w:val="Cell"/>
            </w:pPr>
            <w:r>
              <w:rPr>
                <w:b/>
              </w:rPr>
              <w:t xml:space="preserve">Variable</w:t>
            </w:r>
          </w:p>
        </w:tc>
        <w:tc>
          <w:tcPr>
            <w:tcW w:w="1814" w:type="dxa"/>
            <w:tcBorders>
              <w:bottom w:val="single" w:sz="8" w:space="0" w:color="000000"/>
            </w:tcBorders>
          </w:tcPr>
          <w:p>
            <w:pPr>
              <w:pStyle w:val="Cell"/>
            </w:pPr>
            <w:r>
              <w:rPr>
                <w:b/>
              </w:rPr>
              <w:t xml:space="preserve">rind (leaked)</w:t>
            </w:r>
          </w:p>
        </w:tc>
        <w:tc>
          <w:tcPr>
            <w:tcW w:w="1814" w:type="dxa"/>
            <w:tcBorders>
              <w:bottom w:val="single" w:sz="8" w:space="0" w:color="000000"/>
            </w:tcBorders>
          </w:tcPr>
          <w:p>
            <w:pPr>
              <w:pStyle w:val="Cell"/>
            </w:pPr>
            <w:r>
              <w:rPr>
                <w:b/>
              </w:rPr>
              <w:t xml:space="preserve">rind (clean)</w:t>
            </w:r>
          </w:p>
        </w:tc>
        <w:tc>
          <w:tcPr>
            <w:tcW w:w="1814" w:type="dxa"/>
            <w:tcBorders>
              <w:bottom w:val="single" w:sz="8" w:space="0" w:color="000000"/>
            </w:tcBorders>
          </w:tcPr>
          <w:p>
            <w:pPr>
              <w:pStyle w:val="Cell"/>
            </w:pPr>
            <w:r>
              <w:rPr>
                <w:b/>
              </w:rPr>
              <w:t xml:space="preserve">Difference</w:t>
            </w:r>
          </w:p>
        </w:tc>
        <w:tc>
          <w:tcPr>
            <w:tcW w:w="1814" w:type="dxa"/>
            <w:tcBorders>
              <w:bottom w:val="single" w:sz="8" w:space="0" w:color="000000"/>
            </w:tcBorders>
          </w:tcPr>
          <w:p>
            <w:pPr>
              <w:pStyle w:val="Cell"/>
            </w:pPr>
            <w:r>
              <w:rPr>
                <w:b/>
              </w:rPr>
              <w:t xml:space="preserve">Interpretation</w:t>
            </w:r>
          </w:p>
        </w:tc>
      </w:tr>
      <w:tr>
        <w:tc>
          <w:tcPr>
            <w:tcW w:w="1814" w:type="dxa"/>
          </w:tcPr>
          <w:p>
            <w:pPr>
              <w:pStyle w:val="Cell"/>
            </w:pPr>
            <w:r>
              <w:t xml:space="preserve">inprdsc</w:t>
            </w:r>
          </w:p>
        </w:tc>
        <w:tc>
          <w:tcPr>
            <w:tcW w:w="1814" w:type="dxa"/>
          </w:tcPr>
          <w:p>
            <w:pPr>
              <w:pStyle w:val="Cell"/>
            </w:pPr>
            <w:r>
              <w:t xml:space="preserve">0.854</w:t>
            </w:r>
          </w:p>
        </w:tc>
        <w:tc>
          <w:tcPr>
            <w:tcW w:w="1814" w:type="dxa"/>
          </w:tcPr>
          <w:p>
            <w:pPr>
              <w:pStyle w:val="Cell"/>
            </w:pPr>
            <w:r>
              <w:t xml:space="preserve">0.038</w:t>
            </w:r>
          </w:p>
        </w:tc>
        <w:tc>
          <w:tcPr>
            <w:tcW w:w="1814" w:type="dxa"/>
          </w:tcPr>
          <w:p>
            <w:pPr>
              <w:pStyle w:val="Cell"/>
            </w:pPr>
            <w:r>
              <w:t xml:space="preserve">−0.817</w:t>
            </w:r>
          </w:p>
        </w:tc>
        <w:tc>
          <w:tcPr>
            <w:tcW w:w="1814" w:type="dxa"/>
          </w:tcPr>
          <w:p>
            <w:pPr>
              <w:pStyle w:val="Cell"/>
            </w:pPr>
            <w:r>
              <w:t xml:space="preserve">Echo removed</w:t>
            </w:r>
          </w:p>
        </w:tc>
      </w:tr>
      <w:tr>
        <w:tc>
          <w:tcPr>
            <w:tcW w:w="1814" w:type="dxa"/>
          </w:tcPr>
          <w:p>
            <w:pPr>
              <w:pStyle w:val="Cell"/>
            </w:pPr>
            <w:r>
              <w:t xml:space="preserve">sclmeet</w:t>
            </w:r>
          </w:p>
        </w:tc>
        <w:tc>
          <w:tcPr>
            <w:tcW w:w="1814" w:type="dxa"/>
          </w:tcPr>
          <w:p>
            <w:pPr>
              <w:pStyle w:val="Cell"/>
            </w:pPr>
            <w:r>
              <w:t xml:space="preserve">0.291</w:t>
            </w:r>
          </w:p>
        </w:tc>
        <w:tc>
          <w:tcPr>
            <w:tcW w:w="1814" w:type="dxa"/>
          </w:tcPr>
          <w:p>
            <w:pPr>
              <w:pStyle w:val="Cell"/>
            </w:pPr>
            <w:r>
              <w:t xml:space="preserve">0.035</w:t>
            </w:r>
          </w:p>
        </w:tc>
        <w:tc>
          <w:tcPr>
            <w:tcW w:w="1814" w:type="dxa"/>
          </w:tcPr>
          <w:p>
            <w:pPr>
              <w:pStyle w:val="Cell"/>
            </w:pPr>
            <w:r>
              <w:t xml:space="preserve">−0.256</w:t>
            </w:r>
          </w:p>
        </w:tc>
        <w:tc>
          <w:tcPr>
            <w:tcW w:w="1814" w:type="dxa"/>
          </w:tcPr>
          <w:p>
            <w:pPr>
              <w:pStyle w:val="Cell"/>
            </w:pPr>
            <w:r>
              <w:t xml:space="preserve">Echo removed</w:t>
            </w:r>
          </w:p>
        </w:tc>
      </w:tr>
      <w:tr>
        <w:tc>
          <w:tcPr>
            <w:tcW w:w="1814" w:type="dxa"/>
          </w:tcPr>
          <w:p>
            <w:pPr>
              <w:pStyle w:val="Cell"/>
            </w:pPr>
            <w:r>
              <w:t xml:space="preserve">vote</w:t>
            </w:r>
          </w:p>
        </w:tc>
        <w:tc>
          <w:tcPr>
            <w:tcW w:w="1814" w:type="dxa"/>
          </w:tcPr>
          <w:p>
            <w:pPr>
              <w:pStyle w:val="Cell"/>
            </w:pPr>
            <w:r>
              <w:t xml:space="preserve">0.142</w:t>
            </w:r>
          </w:p>
        </w:tc>
        <w:tc>
          <w:tcPr>
            <w:tcW w:w="1814" w:type="dxa"/>
          </w:tcPr>
          <w:p>
            <w:pPr>
              <w:pStyle w:val="Cell"/>
            </w:pPr>
            <w:r>
              <w:t xml:space="preserve">−0.037</w:t>
            </w:r>
          </w:p>
        </w:tc>
        <w:tc>
          <w:tcPr>
            <w:tcW w:w="1814" w:type="dxa"/>
          </w:tcPr>
          <w:p>
            <w:pPr>
              <w:pStyle w:val="Cell"/>
            </w:pPr>
            <w:r>
              <w:t xml:space="preserve">−0.179</w:t>
            </w:r>
          </w:p>
        </w:tc>
        <w:tc>
          <w:tcPr>
            <w:tcW w:w="1814" w:type="dxa"/>
          </w:tcPr>
          <w:p>
            <w:pPr>
              <w:pStyle w:val="Cell"/>
            </w:pPr>
            <w:r>
              <w:t xml:space="preserve">Echo removed</w:t>
            </w:r>
          </w:p>
        </w:tc>
      </w:tr>
      <w:tr>
        <w:tc>
          <w:tcPr>
            <w:tcW w:w="1814" w:type="dxa"/>
          </w:tcPr>
          <w:p>
            <w:pPr>
              <w:pStyle w:val="Cell"/>
            </w:pPr>
            <w:r>
              <w:t xml:space="preserve">hincfel</w:t>
            </w:r>
          </w:p>
        </w:tc>
        <w:tc>
          <w:tcPr>
            <w:tcW w:w="1814" w:type="dxa"/>
          </w:tcPr>
          <w:p>
            <w:pPr>
              <w:pStyle w:val="Cell"/>
            </w:pPr>
            <w:r>
              <w:t xml:space="preserve">−0.184</w:t>
            </w:r>
          </w:p>
        </w:tc>
        <w:tc>
          <w:tcPr>
            <w:tcW w:w="1814" w:type="dxa"/>
          </w:tcPr>
          <w:p>
            <w:pPr>
              <w:pStyle w:val="Cell"/>
            </w:pPr>
            <w:r>
              <w:t xml:space="preserve">−0.164</w:t>
            </w:r>
          </w:p>
        </w:tc>
        <w:tc>
          <w:tcPr>
            <w:tcW w:w="1814" w:type="dxa"/>
          </w:tcPr>
          <w:p>
            <w:pPr>
              <w:pStyle w:val="Cell"/>
            </w:pPr>
            <w:r>
              <w:t xml:space="preserve">+0.020</w:t>
            </w:r>
          </w:p>
        </w:tc>
        <w:tc>
          <w:tcPr>
            <w:tcW w:w="1814" w:type="dxa"/>
          </w:tcPr>
          <w:p>
            <w:pPr>
              <w:pStyle w:val="Cell"/>
            </w:pPr>
            <w:r>
              <w:t xml:space="preserve">Attenuated</w:t>
            </w:r>
          </w:p>
        </w:tc>
      </w:tr>
      <w:tr>
        <w:tc>
          <w:tcPr>
            <w:tcW w:w="1814" w:type="dxa"/>
          </w:tcPr>
          <w:p>
            <w:pPr>
              <w:pStyle w:val="Cell"/>
            </w:pPr>
            <w:r>
              <w:t xml:space="preserve">health</w:t>
            </w:r>
          </w:p>
        </w:tc>
        <w:tc>
          <w:tcPr>
            <w:tcW w:w="1814" w:type="dxa"/>
          </w:tcPr>
          <w:p>
            <w:pPr>
              <w:pStyle w:val="Cell"/>
            </w:pPr>
            <w:r>
              <w:t xml:space="preserve">−0.327</w:t>
            </w:r>
          </w:p>
        </w:tc>
        <w:tc>
          <w:tcPr>
            <w:tcW w:w="1814" w:type="dxa"/>
          </w:tcPr>
          <w:p>
            <w:pPr>
              <w:pStyle w:val="Cell"/>
            </w:pPr>
            <w:r>
              <w:t xml:space="preserve">−0.093</w:t>
            </w:r>
          </w:p>
        </w:tc>
        <w:tc>
          <w:tcPr>
            <w:tcW w:w="1814" w:type="dxa"/>
          </w:tcPr>
          <w:p>
            <w:pPr>
              <w:pStyle w:val="Cell"/>
            </w:pPr>
            <w:r>
              <w:t xml:space="preserve">+0.234</w:t>
            </w:r>
          </w:p>
        </w:tc>
        <w:tc>
          <w:tcPr>
            <w:tcW w:w="1814" w:type="dxa"/>
          </w:tcPr>
          <w:p>
            <w:pPr>
              <w:pStyle w:val="Cell"/>
            </w:pPr>
            <w:r>
              <w:t xml:space="preserve">Attenuated</w:t>
            </w:r>
          </w:p>
        </w:tc>
      </w:tr>
      <w:tr>
        <w:tc>
          <w:tcPr>
            <w:tcW w:w="1814" w:type="dxa"/>
          </w:tcPr>
          <w:p>
            <w:pPr>
              <w:pStyle w:val="Cell"/>
            </w:pPr>
            <w:r>
              <w:t xml:space="preserve">rlgatnd</w:t>
            </w:r>
          </w:p>
        </w:tc>
        <w:tc>
          <w:tcPr>
            <w:tcW w:w="1814" w:type="dxa"/>
          </w:tcPr>
          <w:p>
            <w:pPr>
              <w:pStyle w:val="Cell"/>
            </w:pPr>
            <w:r>
              <w:t xml:space="preserve">−0.371</w:t>
            </w:r>
          </w:p>
        </w:tc>
        <w:tc>
          <w:tcPr>
            <w:tcW w:w="1814" w:type="dxa"/>
          </w:tcPr>
          <w:p>
            <w:pPr>
              <w:pStyle w:val="Cell"/>
            </w:pPr>
            <w:r>
              <w:t xml:space="preserve">0.014</w:t>
            </w:r>
          </w:p>
        </w:tc>
        <w:tc>
          <w:tcPr>
            <w:tcW w:w="1814" w:type="dxa"/>
          </w:tcPr>
          <w:p>
            <w:pPr>
              <w:pStyle w:val="Cell"/>
            </w:pPr>
            <w:r>
              <w:t xml:space="preserve">+0.385</w:t>
            </w:r>
          </w:p>
        </w:tc>
        <w:tc>
          <w:tcPr>
            <w:tcW w:w="1814" w:type="dxa"/>
          </w:tcPr>
          <w:p>
            <w:pPr>
              <w:pStyle w:val="Cell"/>
            </w:pPr>
            <w:r>
              <w:t xml:space="preserve">Attenuated</w:t>
            </w:r>
          </w:p>
        </w:tc>
      </w:tr>
      <w:tr>
        <w:tc>
          <w:tcPr>
            <w:tcW w:w="1814" w:type="dxa"/>
          </w:tcPr>
          <w:p>
            <w:pPr>
              <w:pStyle w:val="Cell"/>
            </w:pPr>
            <w:r>
              <w:t xml:space="preserve">polintr</w:t>
            </w:r>
          </w:p>
        </w:tc>
        <w:tc>
          <w:tcPr>
            <w:tcW w:w="1814" w:type="dxa"/>
          </w:tcPr>
          <w:p>
            <w:pPr>
              <w:pStyle w:val="Cell"/>
            </w:pPr>
            <w:r>
              <w:t xml:space="preserve">−0.265</w:t>
            </w:r>
          </w:p>
        </w:tc>
        <w:tc>
          <w:tcPr>
            <w:tcW w:w="1814" w:type="dxa"/>
          </w:tcPr>
          <w:p>
            <w:pPr>
              <w:pStyle w:val="Cell"/>
            </w:pPr>
            <w:r>
              <w:t xml:space="preserve">−0.092</w:t>
            </w:r>
          </w:p>
        </w:tc>
        <w:tc>
          <w:tcPr>
            <w:tcW w:w="1814" w:type="dxa"/>
          </w:tcPr>
          <w:p>
            <w:pPr>
              <w:pStyle w:val="Cell"/>
            </w:pPr>
            <w:r>
              <w:t xml:space="preserve">+0.173</w:t>
            </w:r>
          </w:p>
        </w:tc>
        <w:tc>
          <w:tcPr>
            <w:tcW w:w="1814" w:type="dxa"/>
          </w:tcPr>
          <w:p>
            <w:pPr>
              <w:pStyle w:val="Cell"/>
            </w:pPr>
            <w:r>
              <w:t xml:space="preserve">Attenuated</w:t>
            </w:r>
          </w:p>
        </w:tc>
      </w:tr>
    </w:tbl>
    <w:p>
      <w:pPr>
        <w:pStyle w:val="Body"/>
      </w:pPr>
      <w:r>
        <w:t xml:space="preserve">Note. “Echo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w:t>
      </w:r>
      <w:r>
        <w:rPr>
          <w:i/>
        </w:rPr>
        <w:t>r</w:t>
      </w:r>
      <w:r>
        <w:rPr>
          <w:i/>
          <w:vertAlign w:val="subscript"/>
        </w:rPr>
        <w:t>ind</w:t>
      </w:r>
      <w:r>
        <w:t xml:space="preserve">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3"/>
      </w:pPr>
      <w:r>
        <w:t xml:space="preserve">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w:t>
      </w:r>
      <w:r>
        <w:rPr>
          <w:i/>
        </w:rPr>
        <w:t>r</w:t>
      </w:r>
      <w:r>
        <w:rPr>
          <w:i/>
          <w:vertAlign w:val="subscript"/>
        </w:rPr>
        <w:t>ind</w:t>
      </w:r>
      <w:r>
        <w:t xml:space="preserve">. Because pooling respondents combines within-country correspondence with between-country covariance, </w:t>
      </w:r>
      <w:r>
        <w:rPr>
          <w:i/>
        </w:rPr>
        <w:t>r</w:t>
      </w:r>
      <w:r>
        <w:rPr>
          <w:i/>
          <w:vertAlign w:val="subscript"/>
        </w:rPr>
        <w:t>ind</w:t>
      </w:r>
      <w:r>
        <w:t xml:space="preserve">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Body"/>
      </w:pPr>
      <w:r>
        <w:t xml:space="preserve">Figure A1 reports the full per-item country-level recovery summarized by domain in Figure 3(a).</w:t>
      </w:r>
    </w:p>
    <w:p>
      <w:pPr>
        <w:pStyle w:val="Fig"/>
      </w:pPr>
      <w:r>
        <w:drawing>
          <wp:inline distT="0" distB="0" distL="0" distR="0">
            <wp:extent cx="5760720" cy="611110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111108"/>
                    </a:xfrm>
                    <a:prstGeom prst="rect">
                      <a:avLst/>
                    </a:prstGeom>
                  </pic:spPr>
                </pic:pic>
              </a:graphicData>
            </a:graphic>
          </wp:inline>
        </w:drawing>
      </w:r>
    </w:p>
    <w:p>
      <w:pPr>
        <w:pStyle w:val="Caption"/>
      </w:pPr>
      <w:r>
        <w:t xml:space="preserve">Figure A1. Per-item country-level recovery. </w:t>
      </w:r>
      <w:r>
        <w:rPr>
          <w:i/>
        </w:rPr>
        <w:t>r</w:t>
      </w:r>
      <w:r>
        <w:rPr>
          <w:i/>
          <w:vertAlign w:val="subscript"/>
        </w:rPr>
        <w:t>bc</w:t>
      </w:r>
      <w:r>
        <w:t xml:space="preserve"> for all 42 ESS items under Qwen 1P, ranked from most positive to most negative.</w:t>
      </w:r>
    </w:p>
    <w:p>
      <w:pPr>
        <w:pStyle w:val="Body"/>
      </w:pPr>
      <w:r>
        <w:t xml:space="preserve">Item-level recovery can reflect either an accurate country ordering or a systematic inversion, while compressing cross-national differences in both cases. Appendix Figure A2 contrasts these outcomes. For trust in police (trstplc, </w:t>
      </w:r>
      <w:r>
        <w:rPr>
          <w:i/>
        </w:rPr>
        <w:t>r</w:t>
      </w:r>
      <w:r>
        <w:rPr>
          <w:i/>
          <w:vertAlign w:val="subscript"/>
        </w:rPr>
        <w:t>bc</w:t>
      </w:r>
      <w:r>
        <w:t xml:space="preserve"> = 0.82), the model largely preserves the human country ranking. For attitudes toward homosexuality (freehms, </w:t>
      </w:r>
      <w:r>
        <w:rPr>
          <w:i/>
        </w:rPr>
        <w:t>r</w:t>
      </w:r>
      <w:r>
        <w:rPr>
          <w:i/>
          <w:vertAlign w:val="subscript"/>
        </w:rPr>
        <w:t>bc</w:t>
      </w:r>
      <w:r>
        <w:t xml:space="preserve"> = −0.82), it compresses scores into a narrow band and reverses the ordering.</w:t>
      </w:r>
    </w:p>
    <w:p>
      <w:pPr>
        <w:pStyle w:val="Fig"/>
      </w:pPr>
      <w:r>
        <w:drawing>
          <wp:inline distT="0" distB="0" distL="0" distR="0">
            <wp:extent cx="5760720" cy="3027317"/>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7317"/>
                    </a:xfrm>
                    <a:prstGeom prst="rect">
                      <a:avLst/>
                    </a:prstGeom>
                  </pic:spPr>
                </pic:pic>
              </a:graphicData>
            </a:graphic>
          </wp:inline>
        </w:drawing>
      </w:r>
    </w:p>
    <w:p>
      <w:pPr>
        <w:pStyle w:val="Caption"/>
      </w:pPr>
      <w:r>
        <w:t xml:space="preserve">Figure A2. Country-level scatter for two contrasting items under Qwen 1P. 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OLS fits; dotted lines show the 45-degree reference for perfect recovery.</w:t>
      </w:r>
    </w:p>
    <w:p>
      <w:pPr>
        <w:pStyle w:val="H3"/>
      </w:pPr>
      <w:r>
        <w:t xml:space="preserve">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 The failure is not attributable to an absence of demographic signal in the human data.</w:t>
      </w:r>
    </w:p>
    <w:p>
      <w:pPr>
        <w:pStyle w:val="Body"/>
      </w:pPr>
      <w:r>
        <w:t xml:space="preserve">Figure 3(b) and Table A3 break individual-level recovery down by domain: political efficacy, institutional trust, and subjective well-being recover best, while income, health, and safety are negative. The pattern remains weak across model–prompt conditions.</w:t>
      </w:r>
    </w:p>
    <w:p>
      <w:pPr>
        <w:pStyle w:val="Caption"/>
      </w:pPr>
      <w:r>
        <w:t xml:space="preserve">Table A3. 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814"/>
        <w:gridCol w:w="1814"/>
        <w:gridCol w:w="1814"/>
        <w:gridCol w:w="1814"/>
        <w:gridCol w:w="1814"/>
      </w:tblGrid>
      <w:tr>
        <w:tc>
          <w:tcPr>
            <w:tcW w:w="1814" w:type="dxa"/>
            <w:tcBorders>
              <w:bottom w:val="single" w:sz="8" w:space="0" w:color="000000"/>
            </w:tcBorders>
          </w:tcPr>
          <w:p>
            <w:pPr>
              <w:pStyle w:val="Cell"/>
            </w:pPr>
            <w:r>
              <w:rPr>
                <w:b/>
              </w:rPr>
              <w:t xml:space="preserve">Domain</w:t>
            </w:r>
          </w:p>
        </w:tc>
        <w:tc>
          <w:tcPr>
            <w:tcW w:w="1814" w:type="dxa"/>
            <w:tcBorders>
              <w:bottom w:val="single" w:sz="8" w:space="0" w:color="000000"/>
            </w:tcBorders>
          </w:tcPr>
          <w:p>
            <w:pPr>
              <w:pStyle w:val="Cell"/>
            </w:pPr>
            <w:r>
              <w:rPr>
                <w:b/>
              </w:rPr>
              <w:t xml:space="preserve">Qwen 1P</w:t>
            </w:r>
          </w:p>
        </w:tc>
        <w:tc>
          <w:tcPr>
            <w:tcW w:w="1814" w:type="dxa"/>
            <w:tcBorders>
              <w:bottom w:val="single" w:sz="8" w:space="0" w:color="000000"/>
            </w:tcBorders>
          </w:tcPr>
          <w:p>
            <w:pPr>
              <w:pStyle w:val="Cell"/>
            </w:pPr>
            <w:r>
              <w:rPr>
                <w:b/>
              </w:rPr>
              <w:t xml:space="preserve">Qwen 3P</w:t>
            </w:r>
          </w:p>
        </w:tc>
        <w:tc>
          <w:tcPr>
            <w:tcW w:w="1814" w:type="dxa"/>
            <w:tcBorders>
              <w:bottom w:val="single" w:sz="8" w:space="0" w:color="000000"/>
            </w:tcBorders>
          </w:tcPr>
          <w:p>
            <w:pPr>
              <w:pStyle w:val="Cell"/>
            </w:pPr>
            <w:r>
              <w:rPr>
                <w:b/>
              </w:rPr>
              <w:t xml:space="preserve">Llama 1P</w:t>
            </w:r>
          </w:p>
        </w:tc>
        <w:tc>
          <w:tcPr>
            <w:tcW w:w="1814" w:type="dxa"/>
            <w:tcBorders>
              <w:bottom w:val="single" w:sz="8" w:space="0" w:color="000000"/>
            </w:tcBorders>
          </w:tcPr>
          <w:p>
            <w:pPr>
              <w:pStyle w:val="Cell"/>
            </w:pPr>
            <w:r>
              <w:rPr>
                <w:b/>
              </w:rPr>
              <w:t xml:space="preserve">Llama 3P</w:t>
            </w:r>
          </w:p>
        </w:tc>
      </w:tr>
      <w:tr>
        <w:tc>
          <w:tcPr>
            <w:tcW w:w="1814" w:type="dxa"/>
          </w:tcPr>
          <w:p>
            <w:pPr>
              <w:pStyle w:val="Cell"/>
            </w:pPr>
            <w:r>
              <w:t xml:space="preserve">National Attachment</w:t>
            </w:r>
          </w:p>
        </w:tc>
        <w:tc>
          <w:tcPr>
            <w:tcW w:w="1814" w:type="dxa"/>
          </w:tcPr>
          <w:p>
            <w:pPr>
              <w:pStyle w:val="Cell"/>
            </w:pPr>
            <w:r>
              <w:t xml:space="preserve">0.036</w:t>
            </w:r>
          </w:p>
        </w:tc>
        <w:tc>
          <w:tcPr>
            <w:tcW w:w="1814" w:type="dxa"/>
          </w:tcPr>
          <w:p>
            <w:pPr>
              <w:pStyle w:val="Cell"/>
            </w:pPr>
            <w:r>
              <w:t xml:space="preserve">0.103</w:t>
            </w:r>
          </w:p>
        </w:tc>
        <w:tc>
          <w:tcPr>
            <w:tcW w:w="1814" w:type="dxa"/>
          </w:tcPr>
          <w:p>
            <w:pPr>
              <w:pStyle w:val="Cell"/>
            </w:pPr>
            <w:r>
              <w:t xml:space="preserve">0.021</w:t>
            </w:r>
          </w:p>
        </w:tc>
        <w:tc>
          <w:tcPr>
            <w:tcW w:w="1814" w:type="dxa"/>
          </w:tcPr>
          <w:p>
            <w:pPr>
              <w:pStyle w:val="Cell"/>
            </w:pPr>
            <w:r>
              <w:t xml:space="preserve">0.006</w:t>
            </w:r>
          </w:p>
        </w:tc>
      </w:tr>
      <w:tr>
        <w:tc>
          <w:tcPr>
            <w:tcW w:w="1814" w:type="dxa"/>
          </w:tcPr>
          <w:p>
            <w:pPr>
              <w:pStyle w:val="Cell"/>
            </w:pPr>
            <w:r>
              <w:t xml:space="preserve">Political Efficacy</w:t>
            </w:r>
          </w:p>
        </w:tc>
        <w:tc>
          <w:tcPr>
            <w:tcW w:w="1814" w:type="dxa"/>
          </w:tcPr>
          <w:p>
            <w:pPr>
              <w:pStyle w:val="Cell"/>
            </w:pPr>
            <w:r>
              <w:t xml:space="preserve">0.088</w:t>
            </w:r>
          </w:p>
        </w:tc>
        <w:tc>
          <w:tcPr>
            <w:tcW w:w="1814" w:type="dxa"/>
          </w:tcPr>
          <w:p>
            <w:pPr>
              <w:pStyle w:val="Cell"/>
            </w:pPr>
            <w:r>
              <w:t xml:space="preserve">0.125</w:t>
            </w:r>
          </w:p>
        </w:tc>
        <w:tc>
          <w:tcPr>
            <w:tcW w:w="1814" w:type="dxa"/>
          </w:tcPr>
          <w:p>
            <w:pPr>
              <w:pStyle w:val="Cell"/>
            </w:pPr>
            <w:r>
              <w:t xml:space="preserve">0.027</w:t>
            </w:r>
          </w:p>
        </w:tc>
        <w:tc>
          <w:tcPr>
            <w:tcW w:w="1814" w:type="dxa"/>
          </w:tcPr>
          <w:p>
            <w:pPr>
              <w:pStyle w:val="Cell"/>
            </w:pPr>
            <w:r>
              <w:t xml:space="preserve">0.070</w:t>
            </w:r>
          </w:p>
        </w:tc>
      </w:tr>
      <w:tr>
        <w:tc>
          <w:tcPr>
            <w:tcW w:w="1814" w:type="dxa"/>
          </w:tcPr>
          <w:p>
            <w:pPr>
              <w:pStyle w:val="Cell"/>
            </w:pPr>
            <w:r>
              <w:t xml:space="preserve">Health</w:t>
            </w:r>
          </w:p>
        </w:tc>
        <w:tc>
          <w:tcPr>
            <w:tcW w:w="1814" w:type="dxa"/>
          </w:tcPr>
          <w:p>
            <w:pPr>
              <w:pStyle w:val="Cell"/>
            </w:pPr>
            <w:r>
              <w:t xml:space="preserve">-0.078</w:t>
            </w:r>
          </w:p>
        </w:tc>
        <w:tc>
          <w:tcPr>
            <w:tcW w:w="1814" w:type="dxa"/>
          </w:tcPr>
          <w:p>
            <w:pPr>
              <w:pStyle w:val="Cell"/>
            </w:pPr>
            <w:r>
              <w:t xml:space="preserve">-0.056</w:t>
            </w:r>
          </w:p>
        </w:tc>
        <w:tc>
          <w:tcPr>
            <w:tcW w:w="1814" w:type="dxa"/>
          </w:tcPr>
          <w:p>
            <w:pPr>
              <w:pStyle w:val="Cell"/>
            </w:pPr>
            <w:r>
              <w:t xml:space="preserve">-0.046</w:t>
            </w:r>
          </w:p>
        </w:tc>
        <w:tc>
          <w:tcPr>
            <w:tcW w:w="1814" w:type="dxa"/>
          </w:tcPr>
          <w:p>
            <w:pPr>
              <w:pStyle w:val="Cell"/>
            </w:pPr>
            <w:r>
              <w:t xml:space="preserve">-0.021</w:t>
            </w:r>
          </w:p>
        </w:tc>
      </w:tr>
      <w:tr>
        <w:tc>
          <w:tcPr>
            <w:tcW w:w="1814" w:type="dxa"/>
          </w:tcPr>
          <w:p>
            <w:pPr>
              <w:pStyle w:val="Cell"/>
            </w:pPr>
            <w:r>
              <w:t xml:space="preserve">Immigration Attitudes</w:t>
            </w:r>
          </w:p>
        </w:tc>
        <w:tc>
          <w:tcPr>
            <w:tcW w:w="1814" w:type="dxa"/>
          </w:tcPr>
          <w:p>
            <w:pPr>
              <w:pStyle w:val="Cell"/>
            </w:pPr>
            <w:r>
              <w:t xml:space="preserve">0.008</w:t>
            </w:r>
          </w:p>
        </w:tc>
        <w:tc>
          <w:tcPr>
            <w:tcW w:w="1814" w:type="dxa"/>
          </w:tcPr>
          <w:p>
            <w:pPr>
              <w:pStyle w:val="Cell"/>
            </w:pPr>
            <w:r>
              <w:t xml:space="preserve">0.000</w:t>
            </w:r>
          </w:p>
        </w:tc>
        <w:tc>
          <w:tcPr>
            <w:tcW w:w="1814" w:type="dxa"/>
          </w:tcPr>
          <w:p>
            <w:pPr>
              <w:pStyle w:val="Cell"/>
            </w:pPr>
            <w:r>
              <w:t xml:space="preserve">-0.005</w:t>
            </w:r>
          </w:p>
        </w:tc>
        <w:tc>
          <w:tcPr>
            <w:tcW w:w="1814" w:type="dxa"/>
          </w:tcPr>
          <w:p>
            <w:pPr>
              <w:pStyle w:val="Cell"/>
            </w:pPr>
            <w:r>
              <w:t xml:space="preserve">-0.007</w:t>
            </w:r>
          </w:p>
        </w:tc>
      </w:tr>
      <w:tr>
        <w:tc>
          <w:tcPr>
            <w:tcW w:w="1814" w:type="dxa"/>
          </w:tcPr>
          <w:p>
            <w:pPr>
              <w:pStyle w:val="Cell"/>
            </w:pPr>
            <w:r>
              <w:t xml:space="preserve">Income</w:t>
            </w:r>
          </w:p>
        </w:tc>
        <w:tc>
          <w:tcPr>
            <w:tcW w:w="1814" w:type="dxa"/>
          </w:tcPr>
          <w:p>
            <w:pPr>
              <w:pStyle w:val="Cell"/>
            </w:pPr>
            <w:r>
              <w:t xml:space="preserve">-0.148</w:t>
            </w:r>
          </w:p>
        </w:tc>
        <w:tc>
          <w:tcPr>
            <w:tcW w:w="1814" w:type="dxa"/>
          </w:tcPr>
          <w:p>
            <w:pPr>
              <w:pStyle w:val="Cell"/>
            </w:pPr>
            <w:r>
              <w:t xml:space="preserve">-0.133</w:t>
            </w:r>
          </w:p>
        </w:tc>
        <w:tc>
          <w:tcPr>
            <w:tcW w:w="1814" w:type="dxa"/>
          </w:tcPr>
          <w:p>
            <w:pPr>
              <w:pStyle w:val="Cell"/>
            </w:pPr>
            <w:r>
              <w:t xml:space="preserve">-0.052</w:t>
            </w:r>
          </w:p>
        </w:tc>
        <w:tc>
          <w:tcPr>
            <w:tcW w:w="1814" w:type="dxa"/>
          </w:tcPr>
          <w:p>
            <w:pPr>
              <w:pStyle w:val="Cell"/>
            </w:pPr>
            <w:r>
              <w:t xml:space="preserve">-0.022</w:t>
            </w:r>
          </w:p>
        </w:tc>
      </w:tr>
      <w:tr>
        <w:tc>
          <w:tcPr>
            <w:tcW w:w="1814" w:type="dxa"/>
          </w:tcPr>
          <w:p>
            <w:pPr>
              <w:pStyle w:val="Cell"/>
            </w:pPr>
            <w:r>
              <w:t xml:space="preserve">Institutional Trust</w:t>
            </w:r>
          </w:p>
        </w:tc>
        <w:tc>
          <w:tcPr>
            <w:tcW w:w="1814" w:type="dxa"/>
          </w:tcPr>
          <w:p>
            <w:pPr>
              <w:pStyle w:val="Cell"/>
            </w:pPr>
            <w:r>
              <w:t xml:space="preserve">0.069</w:t>
            </w:r>
          </w:p>
        </w:tc>
        <w:tc>
          <w:tcPr>
            <w:tcW w:w="1814" w:type="dxa"/>
          </w:tcPr>
          <w:p>
            <w:pPr>
              <w:pStyle w:val="Cell"/>
            </w:pPr>
            <w:r>
              <w:t xml:space="preserve">0.068</w:t>
            </w:r>
          </w:p>
        </w:tc>
        <w:tc>
          <w:tcPr>
            <w:tcW w:w="1814" w:type="dxa"/>
          </w:tcPr>
          <w:p>
            <w:pPr>
              <w:pStyle w:val="Cell"/>
            </w:pPr>
            <w:r>
              <w:t xml:space="preserve">0.017</w:t>
            </w:r>
          </w:p>
        </w:tc>
        <w:tc>
          <w:tcPr>
            <w:tcW w:w="1814" w:type="dxa"/>
          </w:tcPr>
          <w:p>
            <w:pPr>
              <w:pStyle w:val="Cell"/>
            </w:pPr>
            <w:r>
              <w:t xml:space="preserve">0.008</w:t>
            </w:r>
          </w:p>
        </w:tc>
      </w:tr>
      <w:tr>
        <w:tc>
          <w:tcPr>
            <w:tcW w:w="1814" w:type="dxa"/>
          </w:tcPr>
          <w:p>
            <w:pPr>
              <w:pStyle w:val="Cell"/>
            </w:pPr>
            <w:r>
              <w:t xml:space="preserve">Political Attitudes</w:t>
            </w:r>
          </w:p>
        </w:tc>
        <w:tc>
          <w:tcPr>
            <w:tcW w:w="1814" w:type="dxa"/>
          </w:tcPr>
          <w:p>
            <w:pPr>
              <w:pStyle w:val="Cell"/>
            </w:pPr>
            <w:r>
              <w:t xml:space="preserve">0.013</w:t>
            </w:r>
          </w:p>
        </w:tc>
        <w:tc>
          <w:tcPr>
            <w:tcW w:w="1814" w:type="dxa"/>
          </w:tcPr>
          <w:p>
            <w:pPr>
              <w:pStyle w:val="Cell"/>
            </w:pPr>
            <w:r>
              <w:t xml:space="preserve">0.009</w:t>
            </w:r>
          </w:p>
        </w:tc>
        <w:tc>
          <w:tcPr>
            <w:tcW w:w="1814" w:type="dxa"/>
          </w:tcPr>
          <w:p>
            <w:pPr>
              <w:pStyle w:val="Cell"/>
            </w:pPr>
            <w:r>
              <w:t xml:space="preserve">0.008</w:t>
            </w:r>
          </w:p>
        </w:tc>
        <w:tc>
          <w:tcPr>
            <w:tcW w:w="1814" w:type="dxa"/>
          </w:tcPr>
          <w:p>
            <w:pPr>
              <w:pStyle w:val="Cell"/>
            </w:pPr>
            <w:r>
              <w:t xml:space="preserve">0.014</w:t>
            </w:r>
          </w:p>
        </w:tc>
      </w:tr>
      <w:tr>
        <w:tc>
          <w:tcPr>
            <w:tcW w:w="1814" w:type="dxa"/>
          </w:tcPr>
          <w:p>
            <w:pPr>
              <w:pStyle w:val="Cell"/>
            </w:pPr>
            <w:r>
              <w:t xml:space="preserve">Religion</w:t>
            </w:r>
          </w:p>
        </w:tc>
        <w:tc>
          <w:tcPr>
            <w:tcW w:w="1814" w:type="dxa"/>
          </w:tcPr>
          <w:p>
            <w:pPr>
              <w:pStyle w:val="Cell"/>
            </w:pPr>
            <w:r>
              <w:t xml:space="preserve">0.012</w:t>
            </w:r>
          </w:p>
        </w:tc>
        <w:tc>
          <w:tcPr>
            <w:tcW w:w="1814" w:type="dxa"/>
          </w:tcPr>
          <w:p>
            <w:pPr>
              <w:pStyle w:val="Cell"/>
            </w:pPr>
            <w:r>
              <w:t xml:space="preserve">-0.062</w:t>
            </w:r>
          </w:p>
        </w:tc>
        <w:tc>
          <w:tcPr>
            <w:tcW w:w="1814" w:type="dxa"/>
          </w:tcPr>
          <w:p>
            <w:pPr>
              <w:pStyle w:val="Cell"/>
            </w:pPr>
            <w:r>
              <w:t xml:space="preserve">-0.008</w:t>
            </w:r>
          </w:p>
        </w:tc>
        <w:tc>
          <w:tcPr>
            <w:tcW w:w="1814" w:type="dxa"/>
          </w:tcPr>
          <w:p>
            <w:pPr>
              <w:pStyle w:val="Cell"/>
            </w:pPr>
            <w:r>
              <w:t xml:space="preserve">0.018</w:t>
            </w:r>
          </w:p>
        </w:tc>
      </w:tr>
      <w:tr>
        <w:tc>
          <w:tcPr>
            <w:tcW w:w="1814" w:type="dxa"/>
          </w:tcPr>
          <w:p>
            <w:pPr>
              <w:pStyle w:val="Cell"/>
            </w:pPr>
            <w:r>
              <w:t xml:space="preserve">Safety</w:t>
            </w:r>
          </w:p>
        </w:tc>
        <w:tc>
          <w:tcPr>
            <w:tcW w:w="1814" w:type="dxa"/>
          </w:tcPr>
          <w:p>
            <w:pPr>
              <w:pStyle w:val="Cell"/>
            </w:pPr>
            <w:r>
              <w:t xml:space="preserve">-0.037</w:t>
            </w:r>
          </w:p>
        </w:tc>
        <w:tc>
          <w:tcPr>
            <w:tcW w:w="1814" w:type="dxa"/>
          </w:tcPr>
          <w:p>
            <w:pPr>
              <w:pStyle w:val="Cell"/>
            </w:pPr>
            <w:r>
              <w:t xml:space="preserve">-0.050</w:t>
            </w:r>
          </w:p>
        </w:tc>
        <w:tc>
          <w:tcPr>
            <w:tcW w:w="1814" w:type="dxa"/>
          </w:tcPr>
          <w:p>
            <w:pPr>
              <w:pStyle w:val="Cell"/>
            </w:pPr>
            <w:r>
              <w:t xml:space="preserve">-0.002</w:t>
            </w:r>
          </w:p>
        </w:tc>
        <w:tc>
          <w:tcPr>
            <w:tcW w:w="1814" w:type="dxa"/>
          </w:tcPr>
          <w:p>
            <w:pPr>
              <w:pStyle w:val="Cell"/>
            </w:pPr>
            <w:r>
              <w:t xml:space="preserve">-0.002</w:t>
            </w:r>
          </w:p>
        </w:tc>
      </w:tr>
      <w:tr>
        <w:tc>
          <w:tcPr>
            <w:tcW w:w="1814" w:type="dxa"/>
          </w:tcPr>
          <w:p>
            <w:pPr>
              <w:pStyle w:val="Cell"/>
            </w:pPr>
            <w:r>
              <w:t xml:space="preserve">Social Trust</w:t>
            </w:r>
          </w:p>
        </w:tc>
        <w:tc>
          <w:tcPr>
            <w:tcW w:w="1814" w:type="dxa"/>
          </w:tcPr>
          <w:p>
            <w:pPr>
              <w:pStyle w:val="Cell"/>
            </w:pPr>
            <w:r>
              <w:t xml:space="preserve">0.043</w:t>
            </w:r>
          </w:p>
        </w:tc>
        <w:tc>
          <w:tcPr>
            <w:tcW w:w="1814" w:type="dxa"/>
          </w:tcPr>
          <w:p>
            <w:pPr>
              <w:pStyle w:val="Cell"/>
            </w:pPr>
            <w:r>
              <w:t xml:space="preserve">0.024</w:t>
            </w:r>
          </w:p>
        </w:tc>
        <w:tc>
          <w:tcPr>
            <w:tcW w:w="1814" w:type="dxa"/>
          </w:tcPr>
          <w:p>
            <w:pPr>
              <w:pStyle w:val="Cell"/>
            </w:pPr>
            <w:r>
              <w:t xml:space="preserve">0.021</w:t>
            </w:r>
          </w:p>
        </w:tc>
        <w:tc>
          <w:tcPr>
            <w:tcW w:w="1814" w:type="dxa"/>
          </w:tcPr>
          <w:p>
            <w:pPr>
              <w:pStyle w:val="Cell"/>
            </w:pPr>
            <w:r>
              <w:t xml:space="preserve">0.013</w:t>
            </w:r>
          </w:p>
        </w:tc>
      </w:tr>
      <w:tr>
        <w:tc>
          <w:tcPr>
            <w:tcW w:w="1814" w:type="dxa"/>
          </w:tcPr>
          <w:p>
            <w:pPr>
              <w:pStyle w:val="Cell"/>
            </w:pPr>
            <w:r>
              <w:t xml:space="preserve">Social Values</w:t>
            </w:r>
          </w:p>
        </w:tc>
        <w:tc>
          <w:tcPr>
            <w:tcW w:w="1814" w:type="dxa"/>
          </w:tcPr>
          <w:p>
            <w:pPr>
              <w:pStyle w:val="Cell"/>
            </w:pPr>
            <w:r>
              <w:t xml:space="preserve">-0.011</w:t>
            </w:r>
          </w:p>
        </w:tc>
        <w:tc>
          <w:tcPr>
            <w:tcW w:w="1814" w:type="dxa"/>
          </w:tcPr>
          <w:p>
            <w:pPr>
              <w:pStyle w:val="Cell"/>
            </w:pPr>
            <w:r>
              <w:t xml:space="preserve">-0.016</w:t>
            </w:r>
          </w:p>
        </w:tc>
        <w:tc>
          <w:tcPr>
            <w:tcW w:w="1814" w:type="dxa"/>
          </w:tcPr>
          <w:p>
            <w:pPr>
              <w:pStyle w:val="Cell"/>
            </w:pPr>
            <w:r>
              <w:t xml:space="preserve">-0.008</w:t>
            </w:r>
          </w:p>
        </w:tc>
        <w:tc>
          <w:tcPr>
            <w:tcW w:w="1814" w:type="dxa"/>
          </w:tcPr>
          <w:p>
            <w:pPr>
              <w:pStyle w:val="Cell"/>
            </w:pPr>
            <w:r>
              <w:t xml:space="preserve">-0.006</w:t>
            </w:r>
          </w:p>
        </w:tc>
      </w:tr>
      <w:tr>
        <w:tc>
          <w:tcPr>
            <w:tcW w:w="1814" w:type="dxa"/>
          </w:tcPr>
          <w:p>
            <w:pPr>
              <w:pStyle w:val="Cell"/>
            </w:pPr>
            <w:r>
              <w:t xml:space="preserve">Subjective Well-being</w:t>
            </w:r>
          </w:p>
        </w:tc>
        <w:tc>
          <w:tcPr>
            <w:tcW w:w="1814" w:type="dxa"/>
          </w:tcPr>
          <w:p>
            <w:pPr>
              <w:pStyle w:val="Cell"/>
            </w:pPr>
            <w:r>
              <w:t xml:space="preserve">0.066</w:t>
            </w:r>
          </w:p>
        </w:tc>
        <w:tc>
          <w:tcPr>
            <w:tcW w:w="1814" w:type="dxa"/>
          </w:tcPr>
          <w:p>
            <w:pPr>
              <w:pStyle w:val="Cell"/>
            </w:pPr>
            <w:r>
              <w:t xml:space="preserve">0.082</w:t>
            </w:r>
          </w:p>
        </w:tc>
        <w:tc>
          <w:tcPr>
            <w:tcW w:w="1814" w:type="dxa"/>
          </w:tcPr>
          <w:p>
            <w:pPr>
              <w:pStyle w:val="Cell"/>
            </w:pPr>
            <w:r>
              <w:t xml:space="preserve">0.034</w:t>
            </w:r>
          </w:p>
        </w:tc>
        <w:tc>
          <w:tcPr>
            <w:tcW w:w="1814" w:type="dxa"/>
          </w:tcPr>
          <w:p>
            <w:pPr>
              <w:pStyle w:val="Cell"/>
            </w:pPr>
            <w:r>
              <w:t xml:space="preserve">0.000</w:t>
            </w:r>
          </w:p>
        </w:tc>
      </w:tr>
    </w:tbl>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A3).</w:t>
      </w:r>
    </w:p>
    <w:p>
      <w:pPr>
        <w:pStyle w:val="Body"/>
      </w:pPr>
      <w:r>
        <w:t xml:space="preserve">Figure A3 reports the full per-item individual-level recovery, the individual-level counterpart of Figure A1.</w:t>
      </w:r>
    </w:p>
    <w:p>
      <w:pPr>
        <w:pStyle w:val="Fig"/>
      </w:pPr>
      <w:r>
        <w:drawing>
          <wp:inline distT="0" distB="0" distL="0" distR="0">
            <wp:extent cx="5760720" cy="6218321"/>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760720" cy="6218321"/>
                    </a:xfrm>
                    <a:prstGeom prst="rect">
                      <a:avLst/>
                    </a:prstGeom>
                  </pic:spPr>
                </pic:pic>
              </a:graphicData>
            </a:graphic>
          </wp:inline>
        </w:drawing>
      </w:r>
    </w:p>
    <w:p>
      <w:pPr>
        <w:pStyle w:val="Caption"/>
      </w:pPr>
      <w:r>
        <w:t xml:space="preserve">Figure A3. Per-item individual-level recovery. Mean within-country </w:t>
      </w:r>
      <w:r>
        <w:rPr>
          <w:i/>
        </w:rPr>
        <w:t>r</w:t>
      </w:r>
      <w:r>
        <w:rPr>
          <w:i/>
          <w:vertAlign w:val="subscript"/>
        </w:rPr>
        <w:t>wc</w:t>
      </w:r>
      <w:r>
        <w:t xml:space="preserve"> for all 42 ESS items under Qwen 1P, ranked from most positive to most negative.</w:t>
      </w:r>
    </w:p>
    <w:p>
      <w:pPr>
        <w:pStyle w:val="Body"/>
      </w:pPr>
      <w:r>
        <w:t xml:space="preserve">Figure A4 reports the country-label contrast item by item, the per-item form of the block effect in Figure 4.</w:t>
      </w:r>
    </w:p>
    <w:p>
      <w:pPr>
        <w:pStyle w:val="Fig"/>
      </w:pPr>
      <w:r>
        <w:drawing>
          <wp:inline distT="0" distB="0" distL="0" distR="0">
            <wp:extent cx="5628146" cy="676656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628146" cy="6766560"/>
                    </a:xfrm>
                    <a:prstGeom prst="rect">
                      <a:avLst/>
                    </a:prstGeom>
                  </pic:spPr>
                </pic:pic>
              </a:graphicData>
            </a:graphic>
          </wp:inline>
        </w:drawing>
      </w:r>
    </w:p>
    <w:p>
      <w:pPr>
        <w:pStyle w:val="Caption"/>
      </w:pPr>
      <w:r>
        <w:t xml:space="preserve">Figure A4. The country-label contrast, item by item, Qwen 1P.</w:t>
      </w:r>
    </w:p>
    <w:p>
      <w:pPr>
        <w:pStyle w:val="Body"/>
      </w:pPr>
      <w:r>
        <w:t xml:space="preserve">Note. The change in </w:t>
      </w:r>
      <w:r>
        <w:rPr>
          <w:i/>
        </w:rPr>
        <w:t>r</w:t>
      </w:r>
      <w:r>
        <w:rPr>
          <w:i/>
          <w:vertAlign w:val="subscript"/>
        </w:rPr>
        <w:t>bc</w:t>
      </w:r>
      <w:r>
        <w:t xml:space="preserve"> (Fisher z) for each of the 42 items when the country sentence is present in an otherwise identical rich profile, the contrast Figure 4 summarizes as one bar. Items are ranked within wording direction. The shaded band is run-to-run noise.</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 The Qwen–Llama gap survives the four-test Bonferroni correction under first-person framing and falls short under third-person framing.</w:t>
      </w:r>
    </w:p>
    <w:p>
      <w:pPr>
        <w:pStyle w:val="Caption"/>
      </w:pPr>
      <w:r>
        <w:t xml:space="preserve">Table A4. Paired t-tests for model and prompt comparisons on the per-item mean </w:t>
      </w:r>
      <w:r>
        <w:rPr>
          <w:i/>
        </w:rPr>
        <w:t>r</w:t>
      </w:r>
      <w:r>
        <w:rPr>
          <w:i/>
          <w:vertAlign w:val="subscript"/>
        </w:rPr>
        <w:t>wc</w:t>
      </w:r>
      <w:r>
        <w:t xml:space="preserve"> (N = 42 items). After Bonferroni correction for four tests (α = 0.0125), the first-person Qwen–Llama contrast reaches the adjusted threshold; the other three do not. Reported p values are unadjusted.</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296"/>
        <w:gridCol w:w="1296"/>
        <w:gridCol w:w="1296"/>
        <w:gridCol w:w="1296"/>
        <w:gridCol w:w="1296"/>
        <w:gridCol w:w="1296"/>
        <w:gridCol w:w="1296"/>
      </w:tblGrid>
      <w:tr>
        <w:tc>
          <w:tcPr>
            <w:tcW w:w="1296" w:type="dxa"/>
            <w:tcBorders>
              <w:bottom w:val="single" w:sz="8" w:space="0" w:color="000000"/>
            </w:tcBorders>
          </w:tcPr>
          <w:p>
            <w:pPr>
              <w:pStyle w:val="Cell"/>
            </w:pPr>
            <w:r>
              <w:rPr>
                <w:b/>
              </w:rPr>
              <w:t xml:space="preserve">Comparison</w:t>
            </w:r>
          </w:p>
        </w:tc>
        <w:tc>
          <w:tcPr>
            <w:tcW w:w="1296" w:type="dxa"/>
            <w:tcBorders>
              <w:bottom w:val="single" w:sz="8" w:space="0" w:color="000000"/>
            </w:tcBorders>
          </w:tcPr>
          <w:p>
            <w:pPr>
              <w:pStyle w:val="Cell"/>
            </w:pPr>
            <w:r>
              <w:rPr>
                <w:b/>
              </w:rPr>
              <w:t xml:space="preserve">rwc (A)</w:t>
            </w:r>
          </w:p>
        </w:tc>
        <w:tc>
          <w:tcPr>
            <w:tcW w:w="1296" w:type="dxa"/>
            <w:tcBorders>
              <w:bottom w:val="single" w:sz="8" w:space="0" w:color="000000"/>
            </w:tcBorders>
          </w:tcPr>
          <w:p>
            <w:pPr>
              <w:pStyle w:val="Cell"/>
            </w:pPr>
            <w:r>
              <w:rPr>
                <w:b/>
              </w:rPr>
              <w:t xml:space="preserve">rwc (B)</w:t>
            </w:r>
          </w:p>
        </w:tc>
        <w:tc>
          <w:tcPr>
            <w:tcW w:w="1296" w:type="dxa"/>
            <w:tcBorders>
              <w:bottom w:val="single" w:sz="8" w:space="0" w:color="000000"/>
            </w:tcBorders>
          </w:tcPr>
          <w:p>
            <w:pPr>
              <w:pStyle w:val="Cell"/>
            </w:pPr>
            <w:r>
              <w:rPr>
                <w:b/>
              </w:rPr>
              <w:t xml:space="preserve">Diff</w:t>
            </w:r>
          </w:p>
        </w:tc>
        <w:tc>
          <w:tcPr>
            <w:tcW w:w="1296" w:type="dxa"/>
            <w:tcBorders>
              <w:bottom w:val="single" w:sz="8" w:space="0" w:color="000000"/>
            </w:tcBorders>
          </w:tcPr>
          <w:p>
            <w:pPr>
              <w:pStyle w:val="Cell"/>
            </w:pPr>
            <w:r>
              <w:rPr>
                <w:b/>
              </w:rPr>
              <w:t xml:space="preserve">SE</w:t>
            </w:r>
          </w:p>
        </w:tc>
        <w:tc>
          <w:tcPr>
            <w:tcW w:w="1296" w:type="dxa"/>
            <w:tcBorders>
              <w:bottom w:val="single" w:sz="8" w:space="0" w:color="000000"/>
            </w:tcBorders>
          </w:tcPr>
          <w:p>
            <w:pPr>
              <w:pStyle w:val="Cell"/>
            </w:pPr>
            <w:r>
              <w:rPr>
                <w:b/>
              </w:rPr>
              <w:t xml:space="preserve">t</w:t>
            </w:r>
          </w:p>
        </w:tc>
        <w:tc>
          <w:tcPr>
            <w:tcW w:w="1296" w:type="dxa"/>
            <w:tcBorders>
              <w:bottom w:val="single" w:sz="8" w:space="0" w:color="000000"/>
            </w:tcBorders>
          </w:tcPr>
          <w:p>
            <w:pPr>
              <w:pStyle w:val="Cell"/>
            </w:pPr>
            <w:r>
              <w:rPr>
                <w:b/>
              </w:rPr>
              <w:t xml:space="preserve">p</w:t>
            </w:r>
          </w:p>
        </w:tc>
      </w:tr>
      <w:tr>
        <w:tc>
          <w:tcPr>
            <w:tcW w:w="1296" w:type="dxa"/>
          </w:tcPr>
          <w:p>
            <w:pPr>
              <w:pStyle w:val="Cell"/>
            </w:pPr>
            <w:r>
              <w:t xml:space="preserve">Qwen: 1P vs 3P</w:t>
            </w:r>
          </w:p>
        </w:tc>
        <w:tc>
          <w:tcPr>
            <w:tcW w:w="1296" w:type="dxa"/>
          </w:tcPr>
          <w:p>
            <w:pPr>
              <w:pStyle w:val="Cell"/>
            </w:pPr>
            <w:r>
              <w:t xml:space="preserve">0.027</w:t>
            </w:r>
          </w:p>
        </w:tc>
        <w:tc>
          <w:tcPr>
            <w:tcW w:w="1296" w:type="dxa"/>
          </w:tcPr>
          <w:p>
            <w:pPr>
              <w:pStyle w:val="Cell"/>
            </w:pPr>
            <w:r>
              <w:t xml:space="preserve">0.029</w:t>
            </w:r>
          </w:p>
        </w:tc>
        <w:tc>
          <w:tcPr>
            <w:tcW w:w="1296" w:type="dxa"/>
          </w:tcPr>
          <w:p>
            <w:pPr>
              <w:pStyle w:val="Cell"/>
            </w:pPr>
            <w:r>
              <w:t xml:space="preserve">-0.002</w:t>
            </w:r>
          </w:p>
        </w:tc>
        <w:tc>
          <w:tcPr>
            <w:tcW w:w="1296" w:type="dxa"/>
          </w:tcPr>
          <w:p>
            <w:pPr>
              <w:pStyle w:val="Cell"/>
            </w:pPr>
            <w:r>
              <w:t xml:space="preserve">0.006</w:t>
            </w:r>
          </w:p>
        </w:tc>
        <w:tc>
          <w:tcPr>
            <w:tcW w:w="1296" w:type="dxa"/>
          </w:tcPr>
          <w:p>
            <w:pPr>
              <w:pStyle w:val="Cell"/>
            </w:pPr>
            <w:r>
              <w:t xml:space="preserve">-0.28</w:t>
            </w:r>
          </w:p>
        </w:tc>
        <w:tc>
          <w:tcPr>
            <w:tcW w:w="1296" w:type="dxa"/>
          </w:tcPr>
          <w:p>
            <w:pPr>
              <w:pStyle w:val="Cell"/>
            </w:pPr>
            <w:r>
              <w:t xml:space="preserve">0.785</w:t>
            </w:r>
          </w:p>
        </w:tc>
      </w:tr>
      <w:tr>
        <w:tc>
          <w:tcPr>
            <w:tcW w:w="1296" w:type="dxa"/>
          </w:tcPr>
          <w:p>
            <w:pPr>
              <w:pStyle w:val="Cell"/>
            </w:pPr>
            <w:r>
              <w:t xml:space="preserve">Llama: 1P vs 3P</w:t>
            </w:r>
          </w:p>
        </w:tc>
        <w:tc>
          <w:tcPr>
            <w:tcW w:w="1296" w:type="dxa"/>
          </w:tcPr>
          <w:p>
            <w:pPr>
              <w:pStyle w:val="Cell"/>
            </w:pPr>
            <w:r>
              <w:t xml:space="preserve">0.009</w:t>
            </w:r>
          </w:p>
        </w:tc>
        <w:tc>
          <w:tcPr>
            <w:tcW w:w="1296" w:type="dxa"/>
          </w:tcPr>
          <w:p>
            <w:pPr>
              <w:pStyle w:val="Cell"/>
            </w:pPr>
            <w:r>
              <w:t xml:space="preserve">0.006</w:t>
            </w:r>
          </w:p>
        </w:tc>
        <w:tc>
          <w:tcPr>
            <w:tcW w:w="1296" w:type="dxa"/>
          </w:tcPr>
          <w:p>
            <w:pPr>
              <w:pStyle w:val="Cell"/>
            </w:pPr>
            <w:r>
              <w:t xml:space="preserve">+0.004</w:t>
            </w:r>
          </w:p>
        </w:tc>
        <w:tc>
          <w:tcPr>
            <w:tcW w:w="1296" w:type="dxa"/>
          </w:tcPr>
          <w:p>
            <w:pPr>
              <w:pStyle w:val="Cell"/>
            </w:pPr>
            <w:r>
              <w:t xml:space="preserve">0.004</w:t>
            </w:r>
          </w:p>
        </w:tc>
        <w:tc>
          <w:tcPr>
            <w:tcW w:w="1296" w:type="dxa"/>
          </w:tcPr>
          <w:p>
            <w:pPr>
              <w:pStyle w:val="Cell"/>
            </w:pPr>
            <w:r>
              <w:t xml:space="preserve">0.99</w:t>
            </w:r>
          </w:p>
        </w:tc>
        <w:tc>
          <w:tcPr>
            <w:tcW w:w="1296" w:type="dxa"/>
          </w:tcPr>
          <w:p>
            <w:pPr>
              <w:pStyle w:val="Cell"/>
            </w:pPr>
            <w:r>
              <w:t xml:space="preserve">0.326</w:t>
            </w:r>
          </w:p>
        </w:tc>
      </w:tr>
      <w:tr>
        <w:tc>
          <w:tcPr>
            <w:tcW w:w="1296" w:type="dxa"/>
          </w:tcPr>
          <w:p>
            <w:pPr>
              <w:pStyle w:val="Cell"/>
            </w:pPr>
            <w:r>
              <w:t xml:space="preserve">1P: Qwen vs Llama</w:t>
            </w:r>
          </w:p>
        </w:tc>
        <w:tc>
          <w:tcPr>
            <w:tcW w:w="1296" w:type="dxa"/>
          </w:tcPr>
          <w:p>
            <w:pPr>
              <w:pStyle w:val="Cell"/>
            </w:pPr>
            <w:r>
              <w:t xml:space="preserve">0.027</w:t>
            </w:r>
          </w:p>
        </w:tc>
        <w:tc>
          <w:tcPr>
            <w:tcW w:w="1296" w:type="dxa"/>
          </w:tcPr>
          <w:p>
            <w:pPr>
              <w:pStyle w:val="Cell"/>
            </w:pPr>
            <w:r>
              <w:t xml:space="preserve">0.009</w:t>
            </w:r>
          </w:p>
        </w:tc>
        <w:tc>
          <w:tcPr>
            <w:tcW w:w="1296" w:type="dxa"/>
          </w:tcPr>
          <w:p>
            <w:pPr>
              <w:pStyle w:val="Cell"/>
            </w:pPr>
            <w:r>
              <w:t xml:space="preserve">+0.018</w:t>
            </w:r>
          </w:p>
        </w:tc>
        <w:tc>
          <w:tcPr>
            <w:tcW w:w="1296" w:type="dxa"/>
          </w:tcPr>
          <w:p>
            <w:pPr>
              <w:pStyle w:val="Cell"/>
            </w:pPr>
            <w:r>
              <w:t xml:space="preserve">0.006</w:t>
            </w:r>
          </w:p>
        </w:tc>
        <w:tc>
          <w:tcPr>
            <w:tcW w:w="1296" w:type="dxa"/>
          </w:tcPr>
          <w:p>
            <w:pPr>
              <w:pStyle w:val="Cell"/>
            </w:pPr>
            <w:r>
              <w:t xml:space="preserve">2.81</w:t>
            </w:r>
          </w:p>
        </w:tc>
        <w:tc>
          <w:tcPr>
            <w:tcW w:w="1296" w:type="dxa"/>
          </w:tcPr>
          <w:p>
            <w:pPr>
              <w:pStyle w:val="Cell"/>
            </w:pPr>
            <w:r>
              <w:t xml:space="preserve">0.007</w:t>
            </w:r>
          </w:p>
        </w:tc>
      </w:tr>
      <w:tr>
        <w:tc>
          <w:tcPr>
            <w:tcW w:w="1296" w:type="dxa"/>
          </w:tcPr>
          <w:p>
            <w:pPr>
              <w:pStyle w:val="Cell"/>
            </w:pPr>
            <w:r>
              <w:t xml:space="preserve">3P: Qwen vs Llama</w:t>
            </w:r>
          </w:p>
        </w:tc>
        <w:tc>
          <w:tcPr>
            <w:tcW w:w="1296" w:type="dxa"/>
          </w:tcPr>
          <w:p>
            <w:pPr>
              <w:pStyle w:val="Cell"/>
            </w:pPr>
            <w:r>
              <w:t xml:space="preserve">0.029</w:t>
            </w:r>
          </w:p>
        </w:tc>
        <w:tc>
          <w:tcPr>
            <w:tcW w:w="1296" w:type="dxa"/>
          </w:tcPr>
          <w:p>
            <w:pPr>
              <w:pStyle w:val="Cell"/>
            </w:pPr>
            <w:r>
              <w:t xml:space="preserve">0.006</w:t>
            </w:r>
          </w:p>
        </w:tc>
        <w:tc>
          <w:tcPr>
            <w:tcW w:w="1296" w:type="dxa"/>
          </w:tcPr>
          <w:p>
            <w:pPr>
              <w:pStyle w:val="Cell"/>
            </w:pPr>
            <w:r>
              <w:t xml:space="preserve">+0.023</w:t>
            </w:r>
          </w:p>
        </w:tc>
        <w:tc>
          <w:tcPr>
            <w:tcW w:w="1296" w:type="dxa"/>
          </w:tcPr>
          <w:p>
            <w:pPr>
              <w:pStyle w:val="Cell"/>
            </w:pPr>
            <w:r>
              <w:t xml:space="preserve">0.010</w:t>
            </w:r>
          </w:p>
        </w:tc>
        <w:tc>
          <w:tcPr>
            <w:tcW w:w="1296" w:type="dxa"/>
          </w:tcPr>
          <w:p>
            <w:pPr>
              <w:pStyle w:val="Cell"/>
            </w:pPr>
            <w:r>
              <w:t xml:space="preserve">2.28</w:t>
            </w:r>
          </w:p>
        </w:tc>
        <w:tc>
          <w:tcPr>
            <w:tcW w:w="1296" w:type="dxa"/>
          </w:tcPr>
          <w:p>
            <w:pPr>
              <w:pStyle w:val="Cell"/>
            </w:pPr>
            <w:r>
              <w:t xml:space="preserve">0.028</w:t>
            </w:r>
          </w:p>
        </w:tc>
      </w:tr>
    </w:tbl>
    <w:p>
      <w:pPr>
        <w:pStyle w:val="H3"/>
      </w:pPr>
      <w:r>
        <w:t xml:space="preserve">Aggregate robustness checks</w:t>
      </w:r>
    </w:p>
    <w:p>
      <w:pPr>
        <w:pStyle w:val="Body"/>
      </w:pPr>
      <w:r>
        <w:t xml:space="preserve">Table A5 lists all sixteen checks with the quantity each moves. Three deserve comment because they concern the choice of estimator, not the data. The within-country dispersion ratio has three defensible aggregators (mean of ratios 0.61, median 0.57, ratio of means 0.59) and the offset reduction has four (59.9 to 64.2%); all three dispersion estimators fail the pre-declared 0.9–1.1 band, so no conclusion turns on the choice, but the choice is named wherever the quantity appears. Design weighting correlates the weighted and unweighted per-item coefficients at 0.999 while moving a single item by up to 0.103, so the item-level maximum is reported, not the cross-item correlation. The direction classification was frozen from the ESS codebook before any result was seen, and the direction R² rises from 0.658 to 0.746 when the three pre-declared unstable items are dropped, so the objection strengthens the result instead of weakening it.</w:t>
      </w:r>
    </w:p>
    <w:p>
      <w:pPr>
        <w:pStyle w:val="H3"/>
      </w:pPr>
      <w:r>
        <w:t xml:space="preserve">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3"/>
      </w:pPr>
      <w:r>
        <w:t xml:space="preserve">Parse failures</w:t>
      </w:r>
    </w:p>
    <w:p>
      <w:pPr>
        <w:pStyle w:val="Body"/>
      </w:pPr>
      <w:r>
        <w:t xml:space="preserve">Of the 863,100 responses scheduled in the Llama third-person arm, 77.28% parsed. Of the remainder, 5.75% fall outside the declared scale, 8.25% carry a value above 1,000, 8.71% contain no digit and one is empty. Four explanations were tested and rejected. Truncation: failed outputs have a median length of 61 characters against a maximum of 317, and none falls within two%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3"/>
      </w:pPr>
      <w:r>
        <w:t xml:space="preserve">Sensitivity to the extraction rule</w:t>
      </w:r>
    </w:p>
    <w:p>
      <w:pPr>
        <w:pStyle w:val="Body"/>
      </w:pPr>
      <w:r>
        <w:t xml:space="preserve">Every correlation reported here is computed on responses that survived a rule that takes the first number in the response text. Reading the verbatim outputs shows that this rule discards answers the model gave correctly, such as a junk number followed by a valid one. Whether that matters was tested, not assumed. All 11.3 million raw responses were re-parsed, and every rejected response in the fifteen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headline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fifteen arms.</w:t>
      </w:r>
    </w:p>
    <w:p>
      <w:pPr>
        <w:pStyle w:val="H3"/>
      </w:pPr>
      <w:r>
        <w:t xml:space="preserve">Block ablations</w:t>
      </w:r>
    </w:p>
    <w:p>
      <w:pPr>
        <w:pStyle w:val="Body"/>
      </w:pPr>
      <w:r>
        <w:t xml:space="preserve">Every block of the 20-variable partition is observed with and without, at two margins: added alone to the sparse base plus the label, and removed alone from the full profile. All arms draw the same respondents,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are directionally consistent but smaller than the difference between two identical runs, and are reported as negligible, not as effects. Across the remaining blocks the largest forward margin in either direction is +0.09, the union and internet block, and the single-variable arms attribute it to internet use. Per-block and per-item margins ship with the Figure 4 data.</w:t>
      </w:r>
    </w:p>
    <w:p>
      <w:pPr>
        <w:pStyle w:val="H3"/>
      </w:pPr>
      <w:r>
        <w:t xml:space="preserve">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r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r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H3"/>
      </w:pPr>
      <w:r>
        <w:t xml:space="preserve">Data-processing checks</w:t>
      </w:r>
    </w:p>
    <w:p>
      <w:pPr>
        <w:pStyle w:val="Body"/>
      </w:pPr>
      <w:r>
        <w:t xml:space="preserve">For RQ1, four data-processing checks leave the aggregate results unchanged. Design weighting changes the item-level coefficients little: the weighted and unweighted vectors correlate at 0.9987, and the largest single-item change is 0.103 (Table A5). Computing each country mean on the human–model valid intersection changes per-item between-country correlations by at most about 0.1 for a few items. Two further checks were run on the earlier 500-respondent round: excluding the voting item’s ‘not eligible’ category, and replacing the human subsample with the full ESS sample. Both left the per-item correlations essentially unchanged (r = 0.99) and preserved every negative correlation, and the cross-round stability check in Table A5 carries them forward to the final 685-respondent round. These checks cover weighting, coding, valid-response alignment, and subsampling.</w:t>
      </w:r>
    </w:p>
    <w:p>
      <w:pPr>
        <w:pStyle w:val="Body"/>
      </w:pPr>
      <w:r>
        <w:t xml:space="preserve">Table A5 reports every robustness check with the quantity it moves. Two change something and are discussed in Section 4.4; the rest leave every conclusion in place.</w:t>
      </w:r>
    </w:p>
    <w:p>
      <w:pPr>
        <w:pStyle w:val="Caption"/>
      </w:pPr>
      <w:r>
        <w:t xml:space="preserve">Table A5. Robustness checks (16):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268"/>
        <w:gridCol w:w="2268"/>
        <w:gridCol w:w="2268"/>
        <w:gridCol w:w="2268"/>
      </w:tblGrid>
      <w:tr>
        <w:tc>
          <w:tcPr>
            <w:tcW w:w="2268" w:type="dxa"/>
            <w:tcBorders>
              <w:bottom w:val="single" w:sz="8" w:space="0" w:color="000000"/>
            </w:tcBorders>
          </w:tcPr>
          <w:p>
            <w:pPr>
              <w:pStyle w:val="Cell"/>
            </w:pPr>
            <w:r>
              <w:rPr>
                <w:b/>
              </w:rPr>
              <w:t xml:space="preserve">Check</w:t>
            </w:r>
          </w:p>
        </w:tc>
        <w:tc>
          <w:tcPr>
            <w:tcW w:w="2268" w:type="dxa"/>
            <w:tcBorders>
              <w:bottom w:val="single" w:sz="8" w:space="0" w:color="000000"/>
            </w:tcBorders>
          </w:tcPr>
          <w:p>
            <w:pPr>
              <w:pStyle w:val="Cell"/>
            </w:pPr>
            <w:r>
              <w:rPr>
                <w:b/>
              </w:rPr>
              <w:t xml:space="preserve">What it varies</w:t>
            </w:r>
          </w:p>
        </w:tc>
        <w:tc>
          <w:tcPr>
            <w:tcW w:w="2268" w:type="dxa"/>
            <w:tcBorders>
              <w:bottom w:val="single" w:sz="8" w:space="0" w:color="000000"/>
            </w:tcBorders>
          </w:tcPr>
          <w:p>
            <w:pPr>
              <w:pStyle w:val="Cell"/>
            </w:pPr>
            <w:r>
              <w:rPr>
                <w:b/>
              </w:rPr>
              <w:t xml:space="preserve">Result</w:t>
            </w:r>
          </w:p>
        </w:tc>
        <w:tc>
          <w:tcPr>
            <w:tcW w:w="2268" w:type="dxa"/>
            <w:tcBorders>
              <w:bottom w:val="single" w:sz="8" w:space="0" w:color="000000"/>
            </w:tcBorders>
          </w:tcPr>
          <w:p>
            <w:pPr>
              <w:pStyle w:val="Cell"/>
            </w:pPr>
            <w:r>
              <w:rPr>
                <w:b/>
              </w:rPr>
              <w:t xml:space="preserve">Any conclusion change?</w:t>
            </w:r>
          </w:p>
        </w:tc>
      </w:tr>
      <w:tr>
        <w:tc>
          <w:tcPr>
            <w:tcW w:w="2268" w:type="dxa"/>
          </w:tcPr>
          <w:p>
            <w:pPr>
              <w:pStyle w:val="Cell"/>
            </w:pPr>
            <w:r>
              <w:t xml:space="preserve">Design weighting of the human benchmark</w:t>
            </w:r>
          </w:p>
        </w:tc>
        <w:tc>
          <w:tcPr>
            <w:tcW w:w="2268" w:type="dxa"/>
          </w:tcPr>
          <w:p>
            <w:pPr>
              <w:pStyle w:val="Cell"/>
            </w:pPr>
            <w:r>
              <w:t xml:space="preserve">Human country means computed unweighted instead of with pspwght</w:t>
            </w:r>
          </w:p>
        </w:tc>
        <w:tc>
          <w:tcPr>
            <w:tcW w:w="2268" w:type="dxa"/>
          </w:tcPr>
          <w:p>
            <w:pPr>
              <w:pStyle w:val="Cell"/>
            </w:pPr>
            <w:r>
              <w:t xml:space="preserve">The two coefficient vectors correlate at 0.9987; the largest item-level change is 0.103 (health)</w:t>
            </w:r>
          </w:p>
        </w:tc>
        <w:tc>
          <w:tcPr>
            <w:tcW w:w="2268" w:type="dxa"/>
          </w:tcPr>
          <w:p>
            <w:pPr>
              <w:pStyle w:val="Cell"/>
            </w:pPr>
            <w:r>
              <w:t xml:space="preserve">No. The median and the direction decomposition are unaffected.</w:t>
            </w:r>
          </w:p>
        </w:tc>
      </w:tr>
      <w:tr>
        <w:tc>
          <w:tcPr>
            <w:tcW w:w="2268" w:type="dxa"/>
          </w:tcPr>
          <w:p>
            <w:pPr>
              <w:pStyle w:val="Cell"/>
            </w:pPr>
            <w:r>
              <w:t xml:space="preserve">Direction classification of the 42 items</w:t>
            </w:r>
          </w:p>
        </w:tc>
        <w:tc>
          <w:tcPr>
            <w:tcW w:w="2268" w:type="dxa"/>
          </w:tcPr>
          <w:p>
            <w:pPr>
              <w:pStyle w:val="Cell"/>
            </w:pPr>
            <w:r>
              <w:t xml:space="preserve">The frozen classification against the four disputed codings</w:t>
            </w:r>
          </w:p>
        </w:tc>
        <w:tc>
          <w:tcPr>
            <w:tcW w:w="2268" w:type="dxa"/>
          </w:tcPr>
          <w:p>
            <w:pPr>
              <w:pStyle w:val="Cell"/>
            </w:pPr>
            <w:r>
              <w:t xml:space="preserve">R² = 0.6576 on all 42 items, 0.6531 excluding vote, 0.7455 further excluding the two screened items</w:t>
            </w:r>
          </w:p>
        </w:tc>
        <w:tc>
          <w:tcPr>
            <w:tcW w:w="2268" w:type="dxa"/>
          </w:tcPr>
          <w:p>
            <w:pPr>
              <w:pStyle w:val="Cell"/>
            </w:pPr>
            <w:r>
              <w:t xml:space="preserve">No. The effect strengthens as the least interpretable items are removed.</w:t>
            </w:r>
          </w:p>
        </w:tc>
      </w:tr>
      <w:tr>
        <w:tc>
          <w:tcPr>
            <w:tcW w:w="2268" w:type="dxa"/>
          </w:tcPr>
          <w:p>
            <w:pPr>
              <w:pStyle w:val="Cell"/>
            </w:pPr>
            <w:r>
              <w:t xml:space="preserve">Items whose silicon dispersion is near zero</w:t>
            </w:r>
          </w:p>
        </w:tc>
        <w:tc>
          <w:tcPr>
            <w:tcW w:w="2268" w:type="dxa"/>
          </w:tcPr>
          <w:p>
            <w:pPr>
              <w:pStyle w:val="Cell"/>
            </w:pPr>
            <w:r>
              <w:t xml:space="preserve">A reliability screen on the silicon side</w:t>
            </w:r>
          </w:p>
        </w:tc>
        <w:tc>
          <w:tcPr>
            <w:tcW w:w="2268" w:type="dxa"/>
          </w:tcPr>
          <w:p>
            <w:pPr>
              <w:pStyle w:val="Cell"/>
            </w:pPr>
            <w:r>
              <w:t xml:space="preserve">Two items fall below it: hmsfmlsh (reliability 0.25) and rlgatnd (0.44); inprdsc (0.615) is retained</w:t>
            </w:r>
          </w:p>
        </w:tc>
        <w:tc>
          <w:tcPr>
            <w:tcW w:w="2268" w:type="dxa"/>
          </w:tcPr>
          <w:p>
            <w:pPr>
              <w:pStyle w:val="Cell"/>
            </w:pPr>
            <w:r>
              <w:t xml:space="preserve">No. Both are pre-declared uninterpretable and the primary anchored specification excludes them.</w:t>
            </w:r>
          </w:p>
        </w:tc>
      </w:tr>
      <w:tr>
        <w:tc>
          <w:tcPr>
            <w:tcW w:w="2268" w:type="dxa"/>
          </w:tcPr>
          <w:p>
            <w:pPr>
              <w:pStyle w:val="Cell"/>
            </w:pPr>
            <w:r>
              <w:t xml:space="preserve">Item set for the anchoring experiment</w:t>
            </w:r>
          </w:p>
        </w:tc>
        <w:tc>
          <w:tcPr>
            <w:tcW w:w="2268" w:type="dxa"/>
          </w:tcPr>
          <w:p>
            <w:pPr>
              <w:pStyle w:val="Cell"/>
            </w:pPr>
            <w:r>
              <w:t xml:space="preserve">Three pre-specified reverse-item sets</w:t>
            </w:r>
          </w:p>
        </w:tc>
        <w:tc>
          <w:tcPr>
            <w:tcW w:w="2268" w:type="dxa"/>
          </w:tcPr>
          <w:p>
            <w:pPr>
              <w:pStyle w:val="Cell"/>
            </w:pPr>
            <w:r>
              <w:t xml:space="preserve">All 12 in batch: +0.4912 [+0.1515, +0.8809], 11 of 12 up; primary 10: +0.4230 [+0.1259, +0.7928], 10 of 10 up; strictest 8: +0.1636 [+0.0507, +0.2671], 8 of 8 up</w:t>
            </w:r>
          </w:p>
        </w:tc>
        <w:tc>
          <w:tcPr>
            <w:tcW w:w="2268" w:type="dxa"/>
          </w:tcPr>
          <w:p>
            <w:pPr>
              <w:pStyle w:val="Cell"/>
            </w:pPr>
            <w:r>
              <w:t xml:space="preserve">No for the sign and the interval. Yes for the gap verdict: eliminated on the primary set, narrowed with a residual on the strictest.</w:t>
            </w:r>
          </w:p>
        </w:tc>
      </w:tr>
      <w:tr>
        <w:tc>
          <w:tcPr>
            <w:tcW w:w="2268" w:type="dxa"/>
          </w:tcPr>
          <w:p>
            <w:pPr>
              <w:pStyle w:val="Cell"/>
            </w:pPr>
            <w:r>
              <w:t xml:space="preserve">Choice of forward control items</w:t>
            </w:r>
          </w:p>
        </w:tc>
        <w:tc>
          <w:tcPr>
            <w:tcW w:w="2268" w:type="dxa"/>
          </w:tcPr>
          <w:p>
            <w:pPr>
              <w:pStyle w:val="Cell"/>
            </w:pPr>
            <w:r>
              <w:t xml:space="preserve">Ten leave-one-out control sets</w:t>
            </w:r>
          </w:p>
        </w:tc>
        <w:tc>
          <w:tcPr>
            <w:tcW w:w="2268" w:type="dxa"/>
          </w:tcPr>
          <w:p>
            <w:pPr>
              <w:pStyle w:val="Cell"/>
            </w:pPr>
            <w:r>
              <w:t xml:space="preserve">The triple difference stays in [0.403, 0.455] against the primary 0.423; the largest shift is 0.032</w:t>
            </w:r>
          </w:p>
        </w:tc>
        <w:tc>
          <w:tcPr>
            <w:tcW w:w="2268" w:type="dxa"/>
          </w:tcPr>
          <w:p>
            <w:pPr>
              <w:pStyle w:val="Cell"/>
            </w:pPr>
            <w:r>
              <w:t xml:space="preserve">No.</w:t>
            </w:r>
          </w:p>
        </w:tc>
      </w:tr>
      <w:tr>
        <w:tc>
          <w:tcPr>
            <w:tcW w:w="2268" w:type="dxa"/>
          </w:tcPr>
          <w:p>
            <w:pPr>
              <w:pStyle w:val="Cell"/>
            </w:pPr>
            <w:r>
              <w:t xml:space="preserve">Run-to-run stability of the generation</w:t>
            </w:r>
          </w:p>
        </w:tc>
        <w:tc>
          <w:tcPr>
            <w:tcW w:w="2268" w:type="dxa"/>
          </w:tcPr>
          <w:p>
            <w:pPr>
              <w:pStyle w:val="Cell"/>
            </w:pPr>
            <w:r>
              <w:t xml:space="preserve">Two identical unseeded runs</w:t>
            </w:r>
          </w:p>
        </w:tc>
        <w:tc>
          <w:tcPr>
            <w:tcW w:w="2268" w:type="dxa"/>
          </w:tcPr>
          <w:p>
            <w:pPr>
              <w:pStyle w:val="Cell"/>
            </w:pPr>
            <w:r>
              <w:t xml:space="preserve">Median absolute rbc difference 0.0602 per item, maximum 0.1854, no sign reversals</w:t>
            </w:r>
          </w:p>
        </w:tc>
        <w:tc>
          <w:tcPr>
            <w:tcW w:w="2268" w:type="dxa"/>
          </w:tcPr>
          <w:p>
            <w:pPr>
              <w:pStyle w:val="Cell"/>
            </w:pPr>
            <w:r>
              <w:t xml:space="preserve">No, and it closes a stated limitation: every contrast is read against the 0.060 band.</w:t>
            </w:r>
          </w:p>
        </w:tc>
      </w:tr>
      <w:tr>
        <w:tc>
          <w:tcPr>
            <w:tcW w:w="2268" w:type="dxa"/>
          </w:tcPr>
          <w:p>
            <w:pPr>
              <w:pStyle w:val="Cell"/>
            </w:pPr>
            <w:r>
              <w:t xml:space="preserve">Deflator for the macro-covariate comparator</w:t>
            </w:r>
          </w:p>
        </w:tc>
        <w:tc>
          <w:tcPr>
            <w:tcW w:w="2268" w:type="dxa"/>
          </w:tcPr>
          <w:p>
            <w:pPr>
              <w:pStyle w:val="Cell"/>
            </w:pPr>
            <w:r>
              <w:t xml:space="preserve">Market dollars against purchasing parity</w:t>
            </w:r>
          </w:p>
        </w:tc>
        <w:tc>
          <w:tcPr>
            <w:tcW w:w="2268" w:type="dxa"/>
          </w:tcPr>
          <w:p>
            <w:pPr>
              <w:pStyle w:val="Cell"/>
            </w:pPr>
            <w:r>
              <w:t xml:space="preserve">Median r 0.6177 under dollars, 0.6317 under parity; normalized error 0.0522 and 0.0527</w:t>
            </w:r>
          </w:p>
        </w:tc>
        <w:tc>
          <w:tcPr>
            <w:tcW w:w="2268" w:type="dxa"/>
          </w:tcPr>
          <w:p>
            <w:pPr>
              <w:pStyle w:val="Cell"/>
            </w:pPr>
            <w:r>
              <w:t xml:space="preserve">No for the comparison with the model. Yes for one claim, therefore not made: the covariate-alone ranking is deflator-dependent.</w:t>
            </w:r>
          </w:p>
        </w:tc>
      </w:tr>
      <w:tr>
        <w:tc>
          <w:tcPr>
            <w:tcW w:w="2268" w:type="dxa"/>
          </w:tcPr>
          <w:p>
            <w:pPr>
              <w:pStyle w:val="Cell"/>
            </w:pPr>
            <w:r>
              <w:t xml:space="preserve">Israel as a bloc of one in the comparator</w:t>
            </w:r>
          </w:p>
        </w:tc>
        <w:tc>
          <w:tcPr>
            <w:tcW w:w="2268" w:type="dxa"/>
          </w:tcPr>
          <w:p>
            <w:pPr>
              <w:pStyle w:val="Cell"/>
            </w:pPr>
            <w:r>
              <w:t xml:space="preserve">Israel handled as its own regional bloc</w:t>
            </w:r>
          </w:p>
        </w:tc>
        <w:tc>
          <w:tcPr>
            <w:tcW w:w="2268" w:type="dxa"/>
          </w:tcPr>
          <w:p>
            <w:pPr>
              <w:pStyle w:val="Cell"/>
            </w:pPr>
            <w:r>
              <w:t xml:space="preserve">The comparator's median r moves from 0.6177 to 0.6741; the gap to the model from 0.174 to 0.177</w:t>
            </w:r>
          </w:p>
        </w:tc>
        <w:tc>
          <w:tcPr>
            <w:tcW w:w="2268" w:type="dxa"/>
          </w:tcPr>
          <w:p>
            <w:pPr>
              <w:pStyle w:val="Cell"/>
            </w:pPr>
            <w:r>
              <w:t xml:space="preserve">No.</w:t>
            </w:r>
          </w:p>
        </w:tc>
      </w:tr>
      <w:tr>
        <w:tc>
          <w:tcPr>
            <w:tcW w:w="2268" w:type="dxa"/>
          </w:tcPr>
          <w:p>
            <w:pPr>
              <w:pStyle w:val="Cell"/>
            </w:pPr>
            <w:r>
              <w:t xml:space="preserve">Influential countries in the comparator</w:t>
            </w:r>
          </w:p>
        </w:tc>
        <w:tc>
          <w:tcPr>
            <w:tcW w:w="2268" w:type="dxa"/>
          </w:tcPr>
          <w:p>
            <w:pPr>
              <w:pStyle w:val="Cell"/>
            </w:pPr>
            <w:r>
              <w:t xml:space="preserve">Leave-one-out over the 30 countries</w:t>
            </w:r>
          </w:p>
        </w:tc>
        <w:tc>
          <w:tcPr>
            <w:tcW w:w="2268" w:type="dxa"/>
          </w:tcPr>
          <w:p>
            <w:pPr>
              <w:pStyle w:val="Cell"/>
            </w:pPr>
            <w:r>
              <w:t xml:space="preserve">Excluding Ireland moves the headline by 0.001; the high-leverage country is Ukraine (mean hat 0.495)</w:t>
            </w:r>
          </w:p>
        </w:tc>
        <w:tc>
          <w:tcPr>
            <w:tcW w:w="2268" w:type="dxa"/>
          </w:tcPr>
          <w:p>
            <w:pPr>
              <w:pStyle w:val="Cell"/>
            </w:pPr>
            <w:r>
              <w:t xml:space="preserve">No.</w:t>
            </w:r>
          </w:p>
        </w:tc>
      </w:tr>
      <w:tr>
        <w:tc>
          <w:tcPr>
            <w:tcW w:w="2268" w:type="dxa"/>
          </w:tcPr>
          <w:p>
            <w:pPr>
              <w:pStyle w:val="Cell"/>
            </w:pPr>
            <w:r>
              <w:t xml:space="preserve">Coverage in the Llama third-person arm</w:t>
            </w:r>
          </w:p>
        </w:tc>
        <w:tc>
          <w:tcPr>
            <w:tcW w:w="2268" w:type="dxa"/>
          </w:tcPr>
          <w:p>
            <w:pPr>
              <w:pStyle w:val="Cell"/>
            </w:pPr>
            <w:r>
              <w:t xml:space="preserve">Restricting to items above 80% coverage</w:t>
            </w:r>
          </w:p>
        </w:tc>
        <w:tc>
          <w:tcPr>
            <w:tcW w:w="2268" w:type="dxa"/>
          </w:tcPr>
          <w:p>
            <w:pPr>
              <w:pStyle w:val="Cell"/>
            </w:pPr>
            <w:r>
              <w:t xml:space="preserve">Median rbc falls from +0.1729 on all 42 items to −0.0009 on the 19 items above the threshold</w:t>
            </w:r>
          </w:p>
        </w:tc>
        <w:tc>
          <w:tcPr>
            <w:tcW w:w="2268" w:type="dxa"/>
          </w:tcPr>
          <w:p>
            <w:pPr>
              <w:pStyle w:val="Cell"/>
            </w:pPr>
            <w:r>
              <w:t xml:space="preserve">Yes. The arm cannot identify a framing effect; the framing null rests on Qwen alone.</w:t>
            </w:r>
          </w:p>
        </w:tc>
      </w:tr>
      <w:tr>
        <w:tc>
          <w:tcPr>
            <w:tcW w:w="2268" w:type="dxa"/>
          </w:tcPr>
          <w:p>
            <w:pPr>
              <w:pStyle w:val="Cell"/>
            </w:pPr>
            <w:r>
              <w:t xml:space="preserve">Aggregator for the dispersion ratios</w:t>
            </w:r>
          </w:p>
        </w:tc>
        <w:tc>
          <w:tcPr>
            <w:tcW w:w="2268" w:type="dxa"/>
          </w:tcPr>
          <w:p>
            <w:pPr>
              <w:pStyle w:val="Cell"/>
            </w:pPr>
            <w:r>
              <w:t xml:space="preserve">Mean of ratios, median, and ratio of means</w:t>
            </w:r>
          </w:p>
        </w:tc>
        <w:tc>
          <w:tcPr>
            <w:tcW w:w="2268" w:type="dxa"/>
          </w:tcPr>
          <w:p>
            <w:pPr>
              <w:pStyle w:val="Cell"/>
            </w:pPr>
            <w:r>
              <w:t xml:space="preserve">Within-country 0.6052, 0.5727, 0.5859; between-country 0.2821 median, 0.2952 mean</w:t>
            </w:r>
          </w:p>
        </w:tc>
        <w:tc>
          <w:tcPr>
            <w:tcW w:w="2268" w:type="dxa"/>
          </w:tcPr>
          <w:p>
            <w:pPr>
              <w:pStyle w:val="Cell"/>
            </w:pPr>
            <w:r>
              <w:t xml:space="preserve">No. All three within-country estimators fail the pre-declared 0.9–1.1 band.</w:t>
            </w:r>
          </w:p>
        </w:tc>
      </w:tr>
      <w:tr>
        <w:tc>
          <w:tcPr>
            <w:tcW w:w="2268" w:type="dxa"/>
          </w:tcPr>
          <w:p>
            <w:pPr>
              <w:pStyle w:val="Cell"/>
            </w:pPr>
            <w:r>
              <w:t xml:space="preserve">Estimator for the offset reduction</w:t>
            </w:r>
          </w:p>
        </w:tc>
        <w:tc>
          <w:tcPr>
            <w:tcW w:w="2268" w:type="dxa"/>
          </w:tcPr>
          <w:p>
            <w:pPr>
              <w:pStyle w:val="Cell"/>
            </w:pPr>
            <w:r>
              <w:t xml:space="preserve">Four defensible estimators</w:t>
            </w:r>
          </w:p>
        </w:tc>
        <w:tc>
          <w:tcPr>
            <w:tcW w:w="2268" w:type="dxa"/>
          </w:tcPr>
          <w:p>
            <w:pPr>
              <w:pStyle w:val="Cell"/>
            </w:pPr>
            <w:r>
              <w:t xml:space="preserve">Ratio of medians 64.2%, ratio of means 62.9%, median of per-item reductions 59.9%, mean of per-item reductions 53.7%</w:t>
            </w:r>
          </w:p>
        </w:tc>
        <w:tc>
          <w:tcPr>
            <w:tcW w:w="2268" w:type="dxa"/>
          </w:tcPr>
          <w:p>
            <w:pPr>
              <w:pStyle w:val="Cell"/>
            </w:pPr>
            <w:r>
              <w:t xml:space="preserve">Yes for the number quoted: 59.9%, the median of the per-item reductions, named as such.</w:t>
            </w:r>
          </w:p>
        </w:tc>
      </w:tr>
      <w:tr>
        <w:tc>
          <w:tcPr>
            <w:tcW w:w="2268" w:type="dxa"/>
          </w:tcPr>
          <w:p>
            <w:pPr>
              <w:pStyle w:val="Cell"/>
            </w:pPr>
            <w:r>
              <w:t xml:space="preserve">Specification for the cross-level agreement</w:t>
            </w:r>
          </w:p>
        </w:tc>
        <w:tc>
          <w:tcPr>
            <w:tcW w:w="2268" w:type="dxa"/>
          </w:tcPr>
          <w:p>
            <w:pPr>
              <w:pStyle w:val="Cell"/>
            </w:pPr>
            <w:r>
              <w:t xml:space="preserve">As coded, forward items only, sign-aligned</w:t>
            </w:r>
          </w:p>
        </w:tc>
        <w:tc>
          <w:tcPr>
            <w:tcW w:w="2268" w:type="dxa"/>
          </w:tcPr>
          <w:p>
            <w:pPr>
              <w:pStyle w:val="Cell"/>
            </w:pPr>
            <w:r>
              <w:t xml:space="preserve">Pearson 0.9368 as coded, 0.7745 forward-only, 0.8355 sign-aligned</w:t>
            </w:r>
          </w:p>
        </w:tc>
        <w:tc>
          <w:tcPr>
            <w:tcW w:w="2268" w:type="dxa"/>
          </w:tcPr>
          <w:p>
            <w:pPr>
              <w:pStyle w:val="Cell"/>
            </w:pPr>
            <w:r>
              <w:t xml:space="preserve">No for the existence of the agreement. Yes for its description: about a third of the raw magnitude is the shared direction failure.</w:t>
            </w:r>
          </w:p>
        </w:tc>
      </w:tr>
      <w:tr>
        <w:tc>
          <w:tcPr>
            <w:tcW w:w="2268" w:type="dxa"/>
          </w:tcPr>
          <w:p>
            <w:pPr>
              <w:pStyle w:val="Cell"/>
            </w:pPr>
            <w:r>
              <w:t xml:space="preserve">Frame for country-level quantities</w:t>
            </w:r>
          </w:p>
        </w:tc>
        <w:tc>
          <w:tcPr>
            <w:tcW w:w="2268" w:type="dxa"/>
          </w:tcPr>
          <w:p>
            <w:pPr>
              <w:pStyle w:val="Cell"/>
            </w:pPr>
            <w:r>
              <w:t xml:space="preserve">Full frame against the human–model intersection</w:t>
            </w:r>
          </w:p>
        </w:tc>
        <w:tc>
          <w:tcPr>
            <w:tcW w:w="2268" w:type="dxa"/>
          </w:tcPr>
          <w:p>
            <w:pPr>
              <w:pStyle w:val="Cell"/>
            </w:pPr>
            <w:r>
              <w:t xml:space="preserve">Median rbc moves from 0.4433 to 0.4425; single items move by up to 0.109 (health)</w:t>
            </w:r>
          </w:p>
        </w:tc>
        <w:tc>
          <w:tcPr>
            <w:tcW w:w="2268" w:type="dxa"/>
          </w:tcPr>
          <w:p>
            <w:pPr>
              <w:pStyle w:val="Cell"/>
            </w:pPr>
            <w:r>
              <w:t xml:space="preserve">No for the median. The frame is fixed in one place and stated.</w:t>
            </w:r>
          </w:p>
        </w:tc>
      </w:tr>
      <w:tr>
        <w:tc>
          <w:tcPr>
            <w:tcW w:w="2268" w:type="dxa"/>
          </w:tcPr>
          <w:p>
            <w:pPr>
              <w:pStyle w:val="Cell"/>
            </w:pPr>
            <w:r>
              <w:t xml:space="preserve">Stability across rounds</w:t>
            </w:r>
          </w:p>
        </w:tc>
        <w:tc>
          <w:tcPr>
            <w:tcW w:w="2268" w:type="dxa"/>
          </w:tcPr>
          <w:p>
            <w:pPr>
              <w:pStyle w:val="Cell"/>
            </w:pPr>
            <w:r>
              <w:t xml:space="preserve">The March round against the final round</w:t>
            </w:r>
          </w:p>
        </w:tc>
        <w:tc>
          <w:tcPr>
            <w:tcW w:w="2268" w:type="dxa"/>
          </w:tcPr>
          <w:p>
            <w:pPr>
              <w:pStyle w:val="Cell"/>
            </w:pPr>
            <w:r>
              <w:t xml:space="preserve">Median absolute item-level rbc change 0.0415, against a same-round replicate median of 0.060</w:t>
            </w:r>
          </w:p>
        </w:tc>
        <w:tc>
          <w:tcPr>
            <w:tcW w:w="2268" w:type="dxa"/>
          </w:tcPr>
          <w:p>
            <w:pPr>
              <w:pStyle w:val="Cell"/>
            </w:pPr>
            <w:r>
              <w:t xml:space="preserve">No.</w:t>
            </w:r>
          </w:p>
        </w:tc>
      </w:tr>
      <w:tr>
        <w:tc>
          <w:tcPr>
            <w:tcW w:w="2268" w:type="dxa"/>
          </w:tcPr>
          <w:p>
            <w:pPr>
              <w:pStyle w:val="Cell"/>
            </w:pPr>
            <w:r>
              <w:t xml:space="preserve">Human-side missingness rule</w:t>
            </w:r>
          </w:p>
        </w:tc>
        <w:tc>
          <w:tcPr>
            <w:tcW w:w="2268" w:type="dxa"/>
          </w:tcPr>
          <w:p>
            <w:pPr>
              <w:pStyle w:val="Cell"/>
            </w:pPr>
            <w:r>
              <w:t xml:space="preserve">Correcting the missing-code set for the coarse scales</w:t>
            </w:r>
          </w:p>
        </w:tc>
        <w:tc>
          <w:tcPr>
            <w:tcW w:w="2268" w:type="dxa"/>
          </w:tcPr>
          <w:p>
            <w:pPr>
              <w:pStyle w:val="Cell"/>
            </w:pPr>
            <w:r>
              <w:t xml:space="preserve">Median rbc 0.418 to 0.431; items above 0.70 from eight to nine; inverted items from twelve to eleven; within-country dispersion ratio 0.553 to 0.605</w:t>
            </w:r>
          </w:p>
        </w:tc>
        <w:tc>
          <w:tcPr>
            <w:tcW w:w="2268" w:type="dxa"/>
          </w:tcPr>
          <w:p>
            <w:pPr>
              <w:pStyle w:val="Cell"/>
            </w:pPr>
            <w:r>
              <w:t xml:space="preserve">Yes for several reported figures, all corrected. No for any conclusion.</w:t>
            </w:r>
          </w:p>
        </w:tc>
      </w:tr>
    </w:tbl>
    <w:p>
      <w:pPr>
        <w:pStyle w:val="Caption"/>
      </w:pPr>
      <w:r>
        <w:t xml:space="preserve">Table A6. Sensitivity of the between-country correlation to the response-extraction rule, the 15 arms landed at the time of the check.</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2"/>
        <w:gridCol w:w="1512"/>
        <w:gridCol w:w="1512"/>
        <w:gridCol w:w="1512"/>
        <w:gridCol w:w="1512"/>
        <w:gridCol w:w="1512"/>
      </w:tblGrid>
      <w:tr>
        <w:tc>
          <w:tcPr>
            <w:tcW w:w="1512" w:type="dxa"/>
            <w:tcBorders>
              <w:bottom w:val="single" w:sz="8" w:space="0" w:color="000000"/>
            </w:tcBorders>
          </w:tcPr>
          <w:p>
            <w:pPr>
              <w:pStyle w:val="Cell"/>
            </w:pPr>
            <w:r>
              <w:rPr>
                <w:b/>
              </w:rPr>
              <w:t xml:space="preserve">Arm</w:t>
            </w:r>
          </w:p>
        </w:tc>
        <w:tc>
          <w:tcPr>
            <w:tcW w:w="1512" w:type="dxa"/>
            <w:tcBorders>
              <w:bottom w:val="single" w:sz="8" w:space="0" w:color="000000"/>
            </w:tcBorders>
          </w:tcPr>
          <w:p>
            <w:pPr>
              <w:pStyle w:val="Cell"/>
            </w:pPr>
            <w:r>
              <w:rPr>
                <w:b/>
              </w:rPr>
              <w:t xml:space="preserve">Responses rejected</w:t>
            </w:r>
          </w:p>
        </w:tc>
        <w:tc>
          <w:tcPr>
            <w:tcW w:w="1512" w:type="dxa"/>
            <w:tcBorders>
              <w:bottom w:val="single" w:sz="8" w:space="0" w:color="000000"/>
            </w:tcBorders>
          </w:tcPr>
          <w:p>
            <w:pPr>
              <w:pStyle w:val="Cell"/>
            </w:pPr>
            <w:r>
              <w:rPr>
                <w:b/>
              </w:rPr>
              <w:t xml:space="preserve">Of those, carry an in-range value</w:t>
            </w:r>
          </w:p>
        </w:tc>
        <w:tc>
          <w:tcPr>
            <w:tcW w:w="1512" w:type="dxa"/>
            <w:tcBorders>
              <w:bottom w:val="single" w:sz="8" w:space="0" w:color="000000"/>
            </w:tcBorders>
          </w:tcPr>
          <w:p>
            <w:pPr>
              <w:pStyle w:val="Cell"/>
            </w:pPr>
            <w:r>
              <w:rPr>
                <w:b/>
              </w:rPr>
              <w:t xml:space="preserve">Median rbc, shipped rule</w:t>
            </w:r>
          </w:p>
        </w:tc>
        <w:tc>
          <w:tcPr>
            <w:tcW w:w="1512" w:type="dxa"/>
            <w:tcBorders>
              <w:bottom w:val="single" w:sz="8" w:space="0" w:color="000000"/>
            </w:tcBorders>
          </w:tcPr>
          <w:p>
            <w:pPr>
              <w:pStyle w:val="Cell"/>
            </w:pPr>
            <w:r>
              <w:rPr>
                <w:b/>
              </w:rPr>
              <w:t xml:space="preserve">Range across the four rules</w:t>
            </w:r>
          </w:p>
        </w:tc>
        <w:tc>
          <w:tcPr>
            <w:tcW w:w="1512" w:type="dxa"/>
            <w:tcBorders>
              <w:bottom w:val="single" w:sz="8" w:space="0" w:color="000000"/>
            </w:tcBorders>
          </w:tcPr>
          <w:p>
            <w:pPr>
              <w:pStyle w:val="Cell"/>
            </w:pPr>
            <w:r>
              <w:rPr>
                <w:b/>
              </w:rPr>
              <w:t xml:space="preserve">Largest shift in any single item</w:t>
            </w:r>
          </w:p>
        </w:tc>
      </w:tr>
      <w:tr>
        <w:tc>
          <w:tcPr>
            <w:tcW w:w="1512" w:type="dxa"/>
          </w:tcPr>
          <w:p>
            <w:pPr>
              <w:pStyle w:val="Cell"/>
            </w:pPr>
            <w:r>
              <w:t xml:space="preserve">Qwen 1P</w:t>
            </w:r>
          </w:p>
        </w:tc>
        <w:tc>
          <w:tcPr>
            <w:tcW w:w="1512" w:type="dxa"/>
          </w:tcPr>
          <w:p>
            <w:pPr>
              <w:pStyle w:val="Cell"/>
            </w:pPr>
            <w:r>
              <w:t xml:space="preserve">619 (0.07%)</w:t>
            </w:r>
          </w:p>
        </w:tc>
        <w:tc>
          <w:tcPr>
            <w:tcW w:w="1512" w:type="dxa"/>
          </w:tcPr>
          <w:p>
            <w:pPr>
              <w:pStyle w:val="Cell"/>
            </w:pPr>
            <w:r>
              <w:t xml:space="preserve">0 (0.0%)</w:t>
            </w:r>
          </w:p>
        </w:tc>
        <w:tc>
          <w:tcPr>
            <w:tcW w:w="1512" w:type="dxa"/>
          </w:tcPr>
          <w:p>
            <w:pPr>
              <w:pStyle w:val="Cell"/>
            </w:pPr>
            <w:r>
              <w:t xml:space="preserve">+0.4433</w:t>
            </w:r>
          </w:p>
        </w:tc>
        <w:tc>
          <w:tcPr>
            <w:tcW w:w="1512" w:type="dxa"/>
          </w:tcPr>
          <w:p>
            <w:pPr>
              <w:pStyle w:val="Cell"/>
            </w:pPr>
            <w:r>
              <w:t xml:space="preserve">+0.4433 to +0.4433</w:t>
            </w:r>
          </w:p>
        </w:tc>
        <w:tc>
          <w:tcPr>
            <w:tcW w:w="1512" w:type="dxa"/>
          </w:tcPr>
          <w:p>
            <w:pPr>
              <w:pStyle w:val="Cell"/>
            </w:pPr>
            <w:r>
              <w:t xml:space="preserve">0.0000</w:t>
            </w:r>
          </w:p>
        </w:tc>
      </w:tr>
      <w:tr>
        <w:tc>
          <w:tcPr>
            <w:tcW w:w="1512" w:type="dxa"/>
          </w:tcPr>
          <w:p>
            <w:pPr>
              <w:pStyle w:val="Cell"/>
            </w:pPr>
            <w:r>
              <w:t xml:space="preserve">Qwen 3P</w:t>
            </w:r>
          </w:p>
        </w:tc>
        <w:tc>
          <w:tcPr>
            <w:tcW w:w="1512" w:type="dxa"/>
          </w:tcPr>
          <w:p>
            <w:pPr>
              <w:pStyle w:val="Cell"/>
            </w:pPr>
            <w:r>
              <w:t xml:space="preserve">71 (0.01%)</w:t>
            </w:r>
          </w:p>
        </w:tc>
        <w:tc>
          <w:tcPr>
            <w:tcW w:w="1512" w:type="dxa"/>
          </w:tcPr>
          <w:p>
            <w:pPr>
              <w:pStyle w:val="Cell"/>
            </w:pPr>
            <w:r>
              <w:t xml:space="preserve">5 (7.0%)</w:t>
            </w:r>
          </w:p>
        </w:tc>
        <w:tc>
          <w:tcPr>
            <w:tcW w:w="1512" w:type="dxa"/>
          </w:tcPr>
          <w:p>
            <w:pPr>
              <w:pStyle w:val="Cell"/>
            </w:pPr>
            <w:r>
              <w:t xml:space="preserve">+0.4426</w:t>
            </w:r>
          </w:p>
        </w:tc>
        <w:tc>
          <w:tcPr>
            <w:tcW w:w="1512" w:type="dxa"/>
          </w:tcPr>
          <w:p>
            <w:pPr>
              <w:pStyle w:val="Cell"/>
            </w:pPr>
            <w:r>
              <w:t xml:space="preserve">+0.4426 to +0.4426</w:t>
            </w:r>
          </w:p>
        </w:tc>
        <w:tc>
          <w:tcPr>
            <w:tcW w:w="1512" w:type="dxa"/>
          </w:tcPr>
          <w:p>
            <w:pPr>
              <w:pStyle w:val="Cell"/>
            </w:pPr>
            <w:r>
              <w:t xml:space="preserve">0.0007</w:t>
            </w:r>
          </w:p>
        </w:tc>
      </w:tr>
      <w:tr>
        <w:tc>
          <w:tcPr>
            <w:tcW w:w="1512" w:type="dxa"/>
          </w:tcPr>
          <w:p>
            <w:pPr>
              <w:pStyle w:val="Cell"/>
            </w:pPr>
            <w:r>
              <w:t xml:space="preserve">Llama 1P</w:t>
            </w:r>
          </w:p>
        </w:tc>
        <w:tc>
          <w:tcPr>
            <w:tcW w:w="1512" w:type="dxa"/>
          </w:tcPr>
          <w:p>
            <w:pPr>
              <w:pStyle w:val="Cell"/>
            </w:pPr>
            <w:r>
              <w:t xml:space="preserve">64 (0.01%)</w:t>
            </w:r>
          </w:p>
        </w:tc>
        <w:tc>
          <w:tcPr>
            <w:tcW w:w="1512" w:type="dxa"/>
          </w:tcPr>
          <w:p>
            <w:pPr>
              <w:pStyle w:val="Cell"/>
            </w:pPr>
            <w:r>
              <w:t xml:space="preserve">24 (37.5%)</w:t>
            </w:r>
          </w:p>
        </w:tc>
        <w:tc>
          <w:tcPr>
            <w:tcW w:w="1512" w:type="dxa"/>
          </w:tcPr>
          <w:p>
            <w:pPr>
              <w:pStyle w:val="Cell"/>
            </w:pPr>
            <w:r>
              <w:t xml:space="preserve">+0.3486</w:t>
            </w:r>
          </w:p>
        </w:tc>
        <w:tc>
          <w:tcPr>
            <w:tcW w:w="1512" w:type="dxa"/>
          </w:tcPr>
          <w:p>
            <w:pPr>
              <w:pStyle w:val="Cell"/>
            </w:pPr>
            <w:r>
              <w:t xml:space="preserve">+0.3486 to +0.3486</w:t>
            </w:r>
          </w:p>
        </w:tc>
        <w:tc>
          <w:tcPr>
            <w:tcW w:w="1512" w:type="dxa"/>
          </w:tcPr>
          <w:p>
            <w:pPr>
              <w:pStyle w:val="Cell"/>
            </w:pPr>
            <w:r>
              <w:t xml:space="preserve">0.0072</w:t>
            </w:r>
          </w:p>
        </w:tc>
      </w:tr>
      <w:tr>
        <w:tc>
          <w:tcPr>
            <w:tcW w:w="1512" w:type="dxa"/>
          </w:tcPr>
          <w:p>
            <w:pPr>
              <w:pStyle w:val="Cell"/>
            </w:pPr>
            <w:r>
              <w:t xml:space="preserve">Llama 3P</w:t>
            </w:r>
          </w:p>
        </w:tc>
        <w:tc>
          <w:tcPr>
            <w:tcW w:w="1512" w:type="dxa"/>
          </w:tcPr>
          <w:p>
            <w:pPr>
              <w:pStyle w:val="Cell"/>
            </w:pPr>
            <w:r>
              <w:t xml:space="preserve">196,067 (22.72%)</w:t>
            </w:r>
          </w:p>
        </w:tc>
        <w:tc>
          <w:tcPr>
            <w:tcW w:w="1512" w:type="dxa"/>
          </w:tcPr>
          <w:p>
            <w:pPr>
              <w:pStyle w:val="Cell"/>
            </w:pPr>
            <w:r>
              <w:t xml:space="preserve">44,374 (22.6%)</w:t>
            </w:r>
          </w:p>
        </w:tc>
        <w:tc>
          <w:tcPr>
            <w:tcW w:w="1512" w:type="dxa"/>
          </w:tcPr>
          <w:p>
            <w:pPr>
              <w:pStyle w:val="Cell"/>
            </w:pPr>
            <w:r>
              <w:t xml:space="preserve">+0.1729</w:t>
            </w:r>
          </w:p>
        </w:tc>
        <w:tc>
          <w:tcPr>
            <w:tcW w:w="1512" w:type="dxa"/>
          </w:tcPr>
          <w:p>
            <w:pPr>
              <w:pStyle w:val="Cell"/>
            </w:pPr>
            <w:r>
              <w:t xml:space="preserve">+0.1603 to +0.1798</w:t>
            </w:r>
          </w:p>
        </w:tc>
        <w:tc>
          <w:tcPr>
            <w:tcW w:w="1512" w:type="dxa"/>
          </w:tcPr>
          <w:p>
            <w:pPr>
              <w:pStyle w:val="Cell"/>
            </w:pPr>
            <w:r>
              <w:t xml:space="preserve">0.0596</w:t>
            </w:r>
          </w:p>
        </w:tc>
      </w:tr>
      <w:tr>
        <w:tc>
          <w:tcPr>
            <w:tcW w:w="1512" w:type="dxa"/>
          </w:tcPr>
          <w:p>
            <w:pPr>
              <w:pStyle w:val="Cell"/>
            </w:pPr>
            <w:r>
              <w:t xml:space="preserve">demographics only</w:t>
            </w:r>
          </w:p>
        </w:tc>
        <w:tc>
          <w:tcPr>
            <w:tcW w:w="1512" w:type="dxa"/>
          </w:tcPr>
          <w:p>
            <w:pPr>
              <w:pStyle w:val="Cell"/>
            </w:pPr>
            <w:r>
              <w:t xml:space="preserve">6,333 (0.73%)</w:t>
            </w:r>
          </w:p>
        </w:tc>
        <w:tc>
          <w:tcPr>
            <w:tcW w:w="1512" w:type="dxa"/>
          </w:tcPr>
          <w:p>
            <w:pPr>
              <w:pStyle w:val="Cell"/>
            </w:pPr>
            <w:r>
              <w:t xml:space="preserve">419 (6.6%)</w:t>
            </w:r>
          </w:p>
        </w:tc>
        <w:tc>
          <w:tcPr>
            <w:tcW w:w="1512" w:type="dxa"/>
          </w:tcPr>
          <w:p>
            <w:pPr>
              <w:pStyle w:val="Cell"/>
            </w:pPr>
            <w:r>
              <w:t xml:space="preserve">-0.0286</w:t>
            </w:r>
          </w:p>
        </w:tc>
        <w:tc>
          <w:tcPr>
            <w:tcW w:w="1512" w:type="dxa"/>
          </w:tcPr>
          <w:p>
            <w:pPr>
              <w:pStyle w:val="Cell"/>
            </w:pPr>
            <w:r>
              <w:t xml:space="preserve">-0.0363 to -0.0286</w:t>
            </w:r>
          </w:p>
        </w:tc>
        <w:tc>
          <w:tcPr>
            <w:tcW w:w="1512" w:type="dxa"/>
          </w:tcPr>
          <w:p>
            <w:pPr>
              <w:pStyle w:val="Cell"/>
            </w:pPr>
            <w:r>
              <w:t xml:space="preserve">0.0919</w:t>
            </w:r>
          </w:p>
        </w:tc>
      </w:tr>
      <w:tr>
        <w:tc>
          <w:tcPr>
            <w:tcW w:w="1512" w:type="dxa"/>
          </w:tcPr>
          <w:p>
            <w:pPr>
              <w:pStyle w:val="Cell"/>
            </w:pPr>
            <w:r>
              <w:t xml:space="preserve">+ country</w:t>
            </w:r>
          </w:p>
        </w:tc>
        <w:tc>
          <w:tcPr>
            <w:tcW w:w="1512" w:type="dxa"/>
          </w:tcPr>
          <w:p>
            <w:pPr>
              <w:pStyle w:val="Cell"/>
            </w:pPr>
            <w:r>
              <w:t xml:space="preserve">10,729 (1.24%)</w:t>
            </w:r>
          </w:p>
        </w:tc>
        <w:tc>
          <w:tcPr>
            <w:tcW w:w="1512" w:type="dxa"/>
          </w:tcPr>
          <w:p>
            <w:pPr>
              <w:pStyle w:val="Cell"/>
            </w:pPr>
            <w:r>
              <w:t xml:space="preserve">165 (1.5%)</w:t>
            </w:r>
          </w:p>
        </w:tc>
        <w:tc>
          <w:tcPr>
            <w:tcW w:w="1512" w:type="dxa"/>
          </w:tcPr>
          <w:p>
            <w:pPr>
              <w:pStyle w:val="Cell"/>
            </w:pPr>
            <w:r>
              <w:t xml:space="preserve">+0.5232</w:t>
            </w:r>
          </w:p>
        </w:tc>
        <w:tc>
          <w:tcPr>
            <w:tcW w:w="1512" w:type="dxa"/>
          </w:tcPr>
          <w:p>
            <w:pPr>
              <w:pStyle w:val="Cell"/>
            </w:pPr>
            <w:r>
              <w:t xml:space="preserve">+0.5232 to +0.5239</w:t>
            </w:r>
          </w:p>
        </w:tc>
        <w:tc>
          <w:tcPr>
            <w:tcW w:w="1512" w:type="dxa"/>
          </w:tcPr>
          <w:p>
            <w:pPr>
              <w:pStyle w:val="Cell"/>
            </w:pPr>
            <w:r>
              <w:t xml:space="preserve">0.0067</w:t>
            </w:r>
          </w:p>
        </w:tc>
      </w:tr>
      <w:tr>
        <w:tc>
          <w:tcPr>
            <w:tcW w:w="1512" w:type="dxa"/>
          </w:tcPr>
          <w:p>
            <w:pPr>
              <w:pStyle w:val="Cell"/>
            </w:pPr>
            <w:r>
              <w:t xml:space="preserve">+ socioeconomic</w:t>
            </w:r>
          </w:p>
        </w:tc>
        <w:tc>
          <w:tcPr>
            <w:tcW w:w="1512" w:type="dxa"/>
          </w:tcPr>
          <w:p>
            <w:pPr>
              <w:pStyle w:val="Cell"/>
            </w:pPr>
            <w:r>
              <w:t xml:space="preserve">1,716 (0.20%)</w:t>
            </w:r>
          </w:p>
        </w:tc>
        <w:tc>
          <w:tcPr>
            <w:tcW w:w="1512" w:type="dxa"/>
          </w:tcPr>
          <w:p>
            <w:pPr>
              <w:pStyle w:val="Cell"/>
            </w:pPr>
            <w:r>
              <w:t xml:space="preserve">6 (0.3%)</w:t>
            </w:r>
          </w:p>
        </w:tc>
        <w:tc>
          <w:tcPr>
            <w:tcW w:w="1512" w:type="dxa"/>
          </w:tcPr>
          <w:p>
            <w:pPr>
              <w:pStyle w:val="Cell"/>
            </w:pPr>
            <w:r>
              <w:t xml:space="preserve">+0.3967</w:t>
            </w:r>
          </w:p>
        </w:tc>
        <w:tc>
          <w:tcPr>
            <w:tcW w:w="1512" w:type="dxa"/>
          </w:tcPr>
          <w:p>
            <w:pPr>
              <w:pStyle w:val="Cell"/>
            </w:pPr>
            <w:r>
              <w:t xml:space="preserve">+0.3967 to +0.3967</w:t>
            </w:r>
          </w:p>
        </w:tc>
        <w:tc>
          <w:tcPr>
            <w:tcW w:w="1512" w:type="dxa"/>
          </w:tcPr>
          <w:p>
            <w:pPr>
              <w:pStyle w:val="Cell"/>
            </w:pPr>
            <w:r>
              <w:t xml:space="preserve">0.0005</w:t>
            </w:r>
          </w:p>
        </w:tc>
      </w:tr>
      <w:tr>
        <w:tc>
          <w:tcPr>
            <w:tcW w:w="1512" w:type="dxa"/>
          </w:tcPr>
          <w:p>
            <w:pPr>
              <w:pStyle w:val="Cell"/>
            </w:pPr>
            <w:r>
              <w:t xml:space="preserve">+ political</w:t>
            </w:r>
          </w:p>
        </w:tc>
        <w:tc>
          <w:tcPr>
            <w:tcW w:w="1512" w:type="dxa"/>
          </w:tcPr>
          <w:p>
            <w:pPr>
              <w:pStyle w:val="Cell"/>
            </w:pPr>
            <w:r>
              <w:t xml:space="preserve">1,307 (0.15%)</w:t>
            </w:r>
          </w:p>
        </w:tc>
        <w:tc>
          <w:tcPr>
            <w:tcW w:w="1512" w:type="dxa"/>
          </w:tcPr>
          <w:p>
            <w:pPr>
              <w:pStyle w:val="Cell"/>
            </w:pPr>
            <w:r>
              <w:t xml:space="preserve">2 (0.2%)</w:t>
            </w:r>
          </w:p>
        </w:tc>
        <w:tc>
          <w:tcPr>
            <w:tcW w:w="1512" w:type="dxa"/>
          </w:tcPr>
          <w:p>
            <w:pPr>
              <w:pStyle w:val="Cell"/>
            </w:pPr>
            <w:r>
              <w:t xml:space="preserve">+0.2870</w:t>
            </w:r>
          </w:p>
        </w:tc>
        <w:tc>
          <w:tcPr>
            <w:tcW w:w="1512" w:type="dxa"/>
          </w:tcPr>
          <w:p>
            <w:pPr>
              <w:pStyle w:val="Cell"/>
            </w:pPr>
            <w:r>
              <w:t xml:space="preserve">+0.2870 to +0.2870</w:t>
            </w:r>
          </w:p>
        </w:tc>
        <w:tc>
          <w:tcPr>
            <w:tcW w:w="1512" w:type="dxa"/>
          </w:tcPr>
          <w:p>
            <w:pPr>
              <w:pStyle w:val="Cell"/>
            </w:pPr>
            <w:r>
              <w:t xml:space="preserve">0.0003</w:t>
            </w:r>
          </w:p>
        </w:tc>
      </w:tr>
      <w:tr>
        <w:tc>
          <w:tcPr>
            <w:tcW w:w="1512" w:type="dxa"/>
          </w:tcPr>
          <w:p>
            <w:pPr>
              <w:pStyle w:val="Cell"/>
            </w:pPr>
            <w:r>
              <w:t xml:space="preserve">no country</w:t>
            </w:r>
          </w:p>
        </w:tc>
        <w:tc>
          <w:tcPr>
            <w:tcW w:w="1512" w:type="dxa"/>
          </w:tcPr>
          <w:p>
            <w:pPr>
              <w:pStyle w:val="Cell"/>
            </w:pPr>
            <w:r>
              <w:t xml:space="preserve">409 (0.05%)</w:t>
            </w:r>
          </w:p>
        </w:tc>
        <w:tc>
          <w:tcPr>
            <w:tcW w:w="1512" w:type="dxa"/>
          </w:tcPr>
          <w:p>
            <w:pPr>
              <w:pStyle w:val="Cell"/>
            </w:pPr>
            <w:r>
              <w:t xml:space="preserve">1 (0.2%)</w:t>
            </w:r>
          </w:p>
        </w:tc>
        <w:tc>
          <w:tcPr>
            <w:tcW w:w="1512" w:type="dxa"/>
          </w:tcPr>
          <w:p>
            <w:pPr>
              <w:pStyle w:val="Cell"/>
            </w:pPr>
            <w:r>
              <w:t xml:space="preserve">+0.3441</w:t>
            </w:r>
          </w:p>
        </w:tc>
        <w:tc>
          <w:tcPr>
            <w:tcW w:w="1512" w:type="dxa"/>
          </w:tcPr>
          <w:p>
            <w:pPr>
              <w:pStyle w:val="Cell"/>
            </w:pPr>
            <w:r>
              <w:t xml:space="preserve">+0.3441 to +0.3441</w:t>
            </w:r>
          </w:p>
        </w:tc>
        <w:tc>
          <w:tcPr>
            <w:tcW w:w="1512" w:type="dxa"/>
          </w:tcPr>
          <w:p>
            <w:pPr>
              <w:pStyle w:val="Cell"/>
            </w:pPr>
            <w:r>
              <w:t xml:space="preserve">0.0007</w:t>
            </w:r>
          </w:p>
        </w:tc>
      </w:tr>
      <w:tr>
        <w:tc>
          <w:tcPr>
            <w:tcW w:w="1512" w:type="dxa"/>
          </w:tcPr>
          <w:p>
            <w:pPr>
              <w:pStyle w:val="Cell"/>
            </w:pPr>
            <w:r>
              <w:t xml:space="preserve">no region</w:t>
            </w:r>
          </w:p>
        </w:tc>
        <w:tc>
          <w:tcPr>
            <w:tcW w:w="1512" w:type="dxa"/>
          </w:tcPr>
          <w:p>
            <w:pPr>
              <w:pStyle w:val="Cell"/>
            </w:pPr>
            <w:r>
              <w:t xml:space="preserve">648 (0.08%)</w:t>
            </w:r>
          </w:p>
        </w:tc>
        <w:tc>
          <w:tcPr>
            <w:tcW w:w="1512" w:type="dxa"/>
          </w:tcPr>
          <w:p>
            <w:pPr>
              <w:pStyle w:val="Cell"/>
            </w:pPr>
            <w:r>
              <w:t xml:space="preserve">1 (0.2%)</w:t>
            </w:r>
          </w:p>
        </w:tc>
        <w:tc>
          <w:tcPr>
            <w:tcW w:w="1512" w:type="dxa"/>
          </w:tcPr>
          <w:p>
            <w:pPr>
              <w:pStyle w:val="Cell"/>
            </w:pPr>
            <w:r>
              <w:t xml:space="preserve">+0.4157</w:t>
            </w:r>
          </w:p>
        </w:tc>
        <w:tc>
          <w:tcPr>
            <w:tcW w:w="1512" w:type="dxa"/>
          </w:tcPr>
          <w:p>
            <w:pPr>
              <w:pStyle w:val="Cell"/>
            </w:pPr>
            <w:r>
              <w:t xml:space="preserve">+0.4157 to +0.4157</w:t>
            </w:r>
          </w:p>
        </w:tc>
        <w:tc>
          <w:tcPr>
            <w:tcW w:w="1512" w:type="dxa"/>
          </w:tcPr>
          <w:p>
            <w:pPr>
              <w:pStyle w:val="Cell"/>
            </w:pPr>
            <w:r>
              <w:t xml:space="preserve">0.0000</w:t>
            </w:r>
          </w:p>
        </w:tc>
      </w:tr>
      <w:tr>
        <w:tc>
          <w:tcPr>
            <w:tcW w:w="1512" w:type="dxa"/>
          </w:tcPr>
          <w:p>
            <w:pPr>
              <w:pStyle w:val="Cell"/>
            </w:pPr>
            <w:r>
              <w:t xml:space="preserve">no political</w:t>
            </w:r>
          </w:p>
        </w:tc>
        <w:tc>
          <w:tcPr>
            <w:tcW w:w="1512" w:type="dxa"/>
          </w:tcPr>
          <w:p>
            <w:pPr>
              <w:pStyle w:val="Cell"/>
            </w:pPr>
            <w:r>
              <w:t xml:space="preserve">808 (0.09%)</w:t>
            </w:r>
          </w:p>
        </w:tc>
        <w:tc>
          <w:tcPr>
            <w:tcW w:w="1512" w:type="dxa"/>
          </w:tcPr>
          <w:p>
            <w:pPr>
              <w:pStyle w:val="Cell"/>
            </w:pPr>
            <w:r>
              <w:t xml:space="preserve">0 (0.0%)</w:t>
            </w:r>
          </w:p>
        </w:tc>
        <w:tc>
          <w:tcPr>
            <w:tcW w:w="1512" w:type="dxa"/>
          </w:tcPr>
          <w:p>
            <w:pPr>
              <w:pStyle w:val="Cell"/>
            </w:pPr>
            <w:r>
              <w:t xml:space="preserve">+0.5231</w:t>
            </w:r>
          </w:p>
        </w:tc>
        <w:tc>
          <w:tcPr>
            <w:tcW w:w="1512" w:type="dxa"/>
          </w:tcPr>
          <w:p>
            <w:pPr>
              <w:pStyle w:val="Cell"/>
            </w:pPr>
            <w:r>
              <w:t xml:space="preserve">+0.5231 to +0.5231</w:t>
            </w:r>
          </w:p>
        </w:tc>
        <w:tc>
          <w:tcPr>
            <w:tcW w:w="1512" w:type="dxa"/>
          </w:tcPr>
          <w:p>
            <w:pPr>
              <w:pStyle w:val="Cell"/>
            </w:pPr>
            <w:r>
              <w:t xml:space="preserve">0.0000</w:t>
            </w:r>
          </w:p>
        </w:tc>
      </w:tr>
      <w:tr>
        <w:tc>
          <w:tcPr>
            <w:tcW w:w="1512" w:type="dxa"/>
          </w:tcPr>
          <w:p>
            <w:pPr>
              <w:pStyle w:val="Cell"/>
            </w:pPr>
            <w:r>
              <w:t xml:space="preserve">Qwen 1P anchored</w:t>
            </w:r>
          </w:p>
        </w:tc>
        <w:tc>
          <w:tcPr>
            <w:tcW w:w="1512" w:type="dxa"/>
          </w:tcPr>
          <w:p>
            <w:pPr>
              <w:pStyle w:val="Cell"/>
            </w:pPr>
            <w:r>
              <w:t xml:space="preserve">53 (0.01%)</w:t>
            </w:r>
          </w:p>
        </w:tc>
        <w:tc>
          <w:tcPr>
            <w:tcW w:w="1512" w:type="dxa"/>
          </w:tcPr>
          <w:p>
            <w:pPr>
              <w:pStyle w:val="Cell"/>
            </w:pPr>
            <w:r>
              <w:t xml:space="preserve">0 (0.0%)</w:t>
            </w:r>
          </w:p>
        </w:tc>
        <w:tc>
          <w:tcPr>
            <w:tcW w:w="1512" w:type="dxa"/>
          </w:tcPr>
          <w:p>
            <w:pPr>
              <w:pStyle w:val="Cell"/>
            </w:pPr>
            <w:r>
              <w:t xml:space="preserve">+0.6501</w:t>
            </w:r>
          </w:p>
        </w:tc>
        <w:tc>
          <w:tcPr>
            <w:tcW w:w="1512" w:type="dxa"/>
          </w:tcPr>
          <w:p>
            <w:pPr>
              <w:pStyle w:val="Cell"/>
            </w:pPr>
            <w:r>
              <w:t xml:space="preserve">+0.6501 to +0.6501</w:t>
            </w:r>
          </w:p>
        </w:tc>
        <w:tc>
          <w:tcPr>
            <w:tcW w:w="1512" w:type="dxa"/>
          </w:tcPr>
          <w:p>
            <w:pPr>
              <w:pStyle w:val="Cell"/>
            </w:pPr>
            <w:r>
              <w:t xml:space="preserve">0.0000</w:t>
            </w:r>
          </w:p>
        </w:tc>
      </w:tr>
      <w:tr>
        <w:tc>
          <w:tcPr>
            <w:tcW w:w="1512" w:type="dxa"/>
          </w:tcPr>
          <w:p>
            <w:pPr>
              <w:pStyle w:val="Cell"/>
            </w:pPr>
            <w:r>
              <w:t xml:space="preserve">no country, anchored</w:t>
            </w:r>
          </w:p>
        </w:tc>
        <w:tc>
          <w:tcPr>
            <w:tcW w:w="1512" w:type="dxa"/>
          </w:tcPr>
          <w:p>
            <w:pPr>
              <w:pStyle w:val="Cell"/>
            </w:pPr>
            <w:r>
              <w:t xml:space="preserve">75 (0.02%)</w:t>
            </w:r>
          </w:p>
        </w:tc>
        <w:tc>
          <w:tcPr>
            <w:tcW w:w="1512" w:type="dxa"/>
          </w:tcPr>
          <w:p>
            <w:pPr>
              <w:pStyle w:val="Cell"/>
            </w:pPr>
            <w:r>
              <w:t xml:space="preserve">0 (0.0%)</w:t>
            </w:r>
          </w:p>
        </w:tc>
        <w:tc>
          <w:tcPr>
            <w:tcW w:w="1512" w:type="dxa"/>
          </w:tcPr>
          <w:p>
            <w:pPr>
              <w:pStyle w:val="Cell"/>
            </w:pPr>
            <w:r>
              <w:t xml:space="preserve">+0.3891</w:t>
            </w:r>
          </w:p>
        </w:tc>
        <w:tc>
          <w:tcPr>
            <w:tcW w:w="1512" w:type="dxa"/>
          </w:tcPr>
          <w:p>
            <w:pPr>
              <w:pStyle w:val="Cell"/>
            </w:pPr>
            <w:r>
              <w:t xml:space="preserve">+0.3891 to +0.3891</w:t>
            </w:r>
          </w:p>
        </w:tc>
        <w:tc>
          <w:tcPr>
            <w:tcW w:w="1512" w:type="dxa"/>
          </w:tcPr>
          <w:p>
            <w:pPr>
              <w:pStyle w:val="Cell"/>
            </w:pPr>
            <w:r>
              <w:t xml:space="preserve">0.0000</w:t>
            </w:r>
          </w:p>
        </w:tc>
      </w:tr>
      <w:tr>
        <w:tc>
          <w:tcPr>
            <w:tcW w:w="1512" w:type="dxa"/>
          </w:tcPr>
          <w:p>
            <w:pPr>
              <w:pStyle w:val="Cell"/>
            </w:pPr>
            <w:r>
              <w:t xml:space="preserve">no region, anchored</w:t>
            </w:r>
          </w:p>
        </w:tc>
        <w:tc>
          <w:tcPr>
            <w:tcW w:w="1512" w:type="dxa"/>
          </w:tcPr>
          <w:p>
            <w:pPr>
              <w:pStyle w:val="Cell"/>
            </w:pPr>
            <w:r>
              <w:t xml:space="preserve">46 (0.01%)</w:t>
            </w:r>
          </w:p>
        </w:tc>
        <w:tc>
          <w:tcPr>
            <w:tcW w:w="1512" w:type="dxa"/>
          </w:tcPr>
          <w:p>
            <w:pPr>
              <w:pStyle w:val="Cell"/>
            </w:pPr>
            <w:r>
              <w:t xml:space="preserve">0 (0.0%)</w:t>
            </w:r>
          </w:p>
        </w:tc>
        <w:tc>
          <w:tcPr>
            <w:tcW w:w="1512" w:type="dxa"/>
          </w:tcPr>
          <w:p>
            <w:pPr>
              <w:pStyle w:val="Cell"/>
            </w:pPr>
            <w:r>
              <w:t xml:space="preserve">+0.6369</w:t>
            </w:r>
          </w:p>
        </w:tc>
        <w:tc>
          <w:tcPr>
            <w:tcW w:w="1512" w:type="dxa"/>
          </w:tcPr>
          <w:p>
            <w:pPr>
              <w:pStyle w:val="Cell"/>
            </w:pPr>
            <w:r>
              <w:t xml:space="preserve">+0.6369 to +0.6369</w:t>
            </w:r>
          </w:p>
        </w:tc>
        <w:tc>
          <w:tcPr>
            <w:tcW w:w="1512" w:type="dxa"/>
          </w:tcPr>
          <w:p>
            <w:pPr>
              <w:pStyle w:val="Cell"/>
            </w:pPr>
            <w:r>
              <w:t xml:space="preserve">0.0000</w:t>
            </w:r>
          </w:p>
        </w:tc>
      </w:tr>
      <w:tr>
        <w:tc>
          <w:tcPr>
            <w:tcW w:w="1512" w:type="dxa"/>
          </w:tcPr>
          <w:p>
            <w:pPr>
              <w:pStyle w:val="Cell"/>
            </w:pPr>
            <w:r>
              <w:t xml:space="preserve">repeat run</w:t>
            </w:r>
          </w:p>
        </w:tc>
        <w:tc>
          <w:tcPr>
            <w:tcW w:w="1512" w:type="dxa"/>
          </w:tcPr>
          <w:p>
            <w:pPr>
              <w:pStyle w:val="Cell"/>
            </w:pPr>
            <w:r>
              <w:t xml:space="preserve">67 (0.01%)</w:t>
            </w:r>
          </w:p>
        </w:tc>
        <w:tc>
          <w:tcPr>
            <w:tcW w:w="1512" w:type="dxa"/>
          </w:tcPr>
          <w:p>
            <w:pPr>
              <w:pStyle w:val="Cell"/>
            </w:pPr>
            <w:r>
              <w:t xml:space="preserve">1 (1.5%)</w:t>
            </w:r>
          </w:p>
        </w:tc>
        <w:tc>
          <w:tcPr>
            <w:tcW w:w="1512" w:type="dxa"/>
          </w:tcPr>
          <w:p>
            <w:pPr>
              <w:pStyle w:val="Cell"/>
            </w:pPr>
            <w:r>
              <w:t xml:space="preserve">+0.3249</w:t>
            </w:r>
          </w:p>
        </w:tc>
        <w:tc>
          <w:tcPr>
            <w:tcW w:w="1512" w:type="dxa"/>
          </w:tcPr>
          <w:p>
            <w:pPr>
              <w:pStyle w:val="Cell"/>
            </w:pPr>
            <w:r>
              <w:t xml:space="preserve">+0.3249 to +0.3249</w:t>
            </w:r>
          </w:p>
        </w:tc>
        <w:tc>
          <w:tcPr>
            <w:tcW w:w="1512" w:type="dxa"/>
          </w:tcPr>
          <w:p>
            <w:pPr>
              <w:pStyle w:val="Cell"/>
            </w:pPr>
            <w:r>
              <w:t xml:space="preserve">0.0003</w:t>
            </w:r>
          </w:p>
        </w:tc>
      </w:tr>
    </w:tbl>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Caption">
    <w:name w:val="Caption"/>
    <w:pPr>
      <w:keepNext/>
      <w:spacing w:before="140" w:after="14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18"/>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