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highly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appears to use the country as a group-level prior and to largely ignore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relatively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joint evaluation of item-level country rankings, within-country individual recovery, and the label’s incremental contribution on matched respondents, the experimental identification of that prior and of the format that decides the direction it takes, and benchmarks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follows a 2 (model) × 2 (prompt) fully crossed design. Two major open-weight instruction-tuned models are tested: Qwen 2.5-7B-Instruct (Alibaba) and Llama 3.1-8B-Instruct (Meta). Both are run locally on a university HPC cluster (NVIDIA A100 GPU) using vLLM for efficient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extends to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It is added alone to the sparse base plus the country label, and it is removed alone from the otherwise complete profile. These are the extreme positions a block can occupy in any order of additions, so the two margins bound its contribution under every ordering.</w:t>
      </w:r>
    </w:p>
    <w:p>
      <w:pPr>
        <w:pStyle w:val="Body"/>
      </w:pPr>
      <w:r>
        <w:t xml:space="preserve">Three probes settle readings the margins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w:t>
      </w:r>
      <w:r>
        <w:rPr>
          <w:i/>
        </w:rPr>
        <w:t>r</w:t>
      </w:r>
      <w:r>
        <w:rPr>
          <w:i/>
          <w:vertAlign w:val="subscript"/>
        </w:rPr>
        <w:t>pw</w:t>
      </w:r>
      <w:r>
        <w:t xml:space="preserve"> pools respondents across countries after centering within country. It appears once, in Figure 6(b), where its statistical power suits the per-item display. </w:t>
      </w:r>
      <w:r>
        <w:rPr>
          <w:i/>
        </w:rPr>
        <w:t>r</w:t>
      </w:r>
      <w:r>
        <w:rPr>
          <w:i/>
          <w:vertAlign w:val="subscript"/>
        </w:rPr>
        <w:t>pool</w:t>
      </w:r>
      <w:r>
        <w:t xml:space="preserve"> runs across all 1,260 country-item cells. It is reported once,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per-item aggregate recovery is moderate but highly item-dependent. Country-profile and mean-error statistics also produce different country rankings, so no single aggregate measure captures performance.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has the highest item-level median correlation: against the pre-declared thresholds, 20 of 42 items exceed 0.5 and nine exceed 0.7. As the best-performing condition it serves as the reference for the focused analyses below.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swarm is drawn in grey because that arm loses 24% of its scheduled responses to a parse failure and is not read substantively (Section 4.4).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SD 0.06). Finland, Switzerland, Ireland, Norway, and Austria rank highest (0.88–0.91), while Bulgaria, Serbia, Ukraine, Israel, and Latvia rank lowest (0.69–0.76). The band is narrow: the worst-recovered country in the sample still scores 0.69,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(r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SD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404104" cy="4858512"/>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404104" cy="4858512"/>
                    </a:xfrm>
                    <a:prstGeom prst="rect">
                      <a:avLst/>
                    </a:prstGeom>
                  </pic:spPr>
                </pic:pic>
              </a:graphicData>
            </a:graphic>
          </wp:inline>
        </w:drawing>
      </w:r>
    </w:p>
    <w:p>
      <w:pPr>
        <w:pStyle w:val="Caption"/>
      </w:pPr>
      <w:r>
        <w:t xml:space="preserve">Figure 3.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3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versus 0.52).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model uses the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4 puts the conditions side by side.</w:t>
      </w:r>
    </w:p>
    <w:p>
      <w:pPr>
        <w:pStyle w:val="Fig"/>
      </w:pPr>
      <w:r>
        <w:drawing>
          <wp:inline distT="0" distB="0" distL="0" distR="0">
            <wp:extent cx="5279136" cy="294741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279136" cy="2947416"/>
                    </a:xfrm>
                    <a:prstGeom prst="rect">
                      <a:avLst/>
                    </a:prstGeom>
                  </pic:spPr>
                </pic:pic>
              </a:graphicData>
            </a:graphic>
          </wp:inline>
        </w:drawing>
      </w:r>
    </w:p>
    <w:p>
      <w:pPr>
        <w:pStyle w:val="Caption"/>
      </w:pPr>
      <w:r>
        <w:t xml:space="preserve">Figure 4.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reverse-coded shown separately as in Figure 3.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The inversions in Section 4.1 and the negative country-label effect above share one candidate explanation. The model may be reading the numeric scale in the wrong direction while holding correct country associations. That explanation is testable, and a 2 × 2 arm tests it on the 22-item batch (Figure 5).</w:t>
      </w:r>
    </w:p>
    <w:p>
      <w:pPr>
        <w:pStyle w:val="Body"/>
      </w:pPr>
      <w:r>
        <w:t xml:space="preserve">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grey arm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w:t>
      </w:r>
      <w:r>
        <w:rPr>
          <w:i/>
        </w:rPr>
        <w:t>r</w:t>
      </w:r>
      <w:r>
        <w:rPr>
          <w:i/>
          <w:vertAlign w:val="subscript"/>
        </w:rPr>
        <w:t>pool</w:t>
      </w:r>
      <w:r>
        <w:t xml:space="preserve">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w:t>
      </w:r>
    </w:p>
    <w:p>
      <w:pPr>
        <w:pStyle w:val="Body"/>
      </w:pPr>
      <w:r>
        <w:t xml:space="preserve">The scale manipulation of Section 4.2 also moves this level. Anchoring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At the country level, individual recovery remains uniformly weak.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(SD 0.079). Of the 1,260 cells,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Individual-level recovery has no clear regional gradient and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(90% CI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r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Coverage in the Llama third-person arm changes a conclusion.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backstory experiment identifies the country label as the largest incremental source of aggregate recovery. Richer profiles do not improve on it: the full profile sits below the label alone, and political identity and the socioeconomic block lower recovery when added (Section 4.2). A model that found respondent detail uninformative would show flat margins. Negative margins indicate that the detail is used, and used badly.</w:t>
      </w:r>
    </w:p>
    <w:p>
      <w:pPr>
        <w:pStyle w:val="Body"/>
      </w:pPr>
      <w:r>
        <w:t xml:space="preserve">The label does not work by making the country identifiable. If it did, recovery would track identifiability. Holding identifiability at its maximum, recovery still spans 0.29 to 0.52, and the sparsest profile containing the country beats every richer one (Appendix, Country identifiability). The model appears to treat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 (Section 4.2).</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A model can approximate national averages by treating the country cue as a group-level prior. It does not, however, reproduce how attitudes covary with individual attributes. The first capacity may support narrow aggregate tasks. It does not establish the second.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pooled or profile recovery would certify a battery in which a substantial minority of items has the wrong sign.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(r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and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a third constraint, and the cheapest of the three to change.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which tests whether the cue is specific to the country it names. A 2 × 2 crosses the label with the scale format, which turns the item inversions from an interpretation into a result. Recovery is reported item by item against a measured run-to-run floor, and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Six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A classifier trained on its rendered backstories recovers the country 28.7% of the time, against a 3.3% baseline. Harmonized education, marital and activity categories differ in composition across countries. No backstory names a country, so the leak is compositional, and the 0.34 median recovery of that arm is an upper bound on what composition achieves without country knowledge. Fourth, the scale experiment uses Qwen 1P only. The country-label contrast replicates under Llama (Section 4.2), and no experiment here can distinguish calibrated country knowledge from stereotype activation. Fifth, the Llama third-person arm lost 24% of scheduled responses to a format-compliance failure, not a scale-comprehension one, diagnosed in Appendix, Parse failures. It bounds what that arm can show. Finally, generation is unseeded and each arm is one run, so every item-level value carries the run-to-run variation measured in Section 4.4.</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613"/>
        <w:gridCol w:w="1583"/>
        <w:gridCol w:w="1552"/>
        <w:gridCol w:w="1583"/>
        <w:gridCol w:w="2741"/>
      </w:tblGrid>
      <w:tr>
        <w:tc>
          <w:tcPr>
            <w:tcW w:w="1613" w:type="dxa"/>
            <w:tcBorders>
              <w:bottom w:val="single" w:sz="8" w:space="0" w:color="000000"/>
            </w:tcBorders>
          </w:tcPr>
          <w:p>
            <w:pPr>
              <w:pStyle w:val="Cell"/>
            </w:pPr>
            <w:r>
              <w:rPr>
                <w:b/>
              </w:rPr>
              <w:t xml:space="preserve">Variable</w:t>
            </w:r>
          </w:p>
        </w:tc>
        <w:tc>
          <w:tcPr>
            <w:tcW w:w="1583" w:type="dxa"/>
            <w:tcBorders>
              <w:bottom w:val="single" w:sz="8" w:space="0" w:color="000000"/>
            </w:tcBorders>
          </w:tcPr>
          <w:p>
            <w:pPr>
              <w:pStyle w:val="Cell"/>
            </w:pPr>
            <w:r>
              <w:rPr>
                <w:b/>
              </w:rPr>
              <w:t xml:space="preserve">rind (leaked)</w:t>
            </w:r>
          </w:p>
        </w:tc>
        <w:tc>
          <w:tcPr>
            <w:tcW w:w="1552" w:type="dxa"/>
            <w:tcBorders>
              <w:bottom w:val="single" w:sz="8" w:space="0" w:color="000000"/>
            </w:tcBorders>
          </w:tcPr>
          <w:p>
            <w:pPr>
              <w:pStyle w:val="Cell"/>
            </w:pPr>
            <w:r>
              <w:rPr>
                <w:b/>
              </w:rPr>
              <w:t xml:space="preserve">rind (clean)</w:t>
            </w:r>
          </w:p>
        </w:tc>
        <w:tc>
          <w:tcPr>
            <w:tcW w:w="1583" w:type="dxa"/>
            <w:tcBorders>
              <w:bottom w:val="single" w:sz="8" w:space="0" w:color="000000"/>
            </w:tcBorders>
          </w:tcPr>
          <w:p>
            <w:pPr>
              <w:pStyle w:val="Cell"/>
            </w:pPr>
            <w:r>
              <w:rPr>
                <w:b/>
              </w:rPr>
              <w:t xml:space="preserve">Difference</w:t>
            </w:r>
          </w:p>
        </w:tc>
        <w:tc>
          <w:tcPr>
            <w:tcW w:w="2741" w:type="dxa"/>
            <w:tcBorders>
              <w:bottom w:val="single" w:sz="8" w:space="0" w:color="000000"/>
            </w:tcBorders>
          </w:tcPr>
          <w:p>
            <w:pPr>
              <w:pStyle w:val="Cell"/>
            </w:pPr>
            <w:r>
              <w:rPr>
                <w:b/>
              </w:rPr>
              <w:t xml:space="preserve">Interpretation</w:t>
            </w:r>
          </w:p>
        </w:tc>
      </w:tr>
      <w:tr>
        <w:tc>
          <w:tcPr>
            <w:tcW w:w="1613" w:type="dxa"/>
          </w:tcPr>
          <w:p>
            <w:pPr>
              <w:pStyle w:val="Cell"/>
            </w:pPr>
            <w:r>
              <w:t xml:space="preserve">inprdsc</w:t>
            </w:r>
          </w:p>
        </w:tc>
        <w:tc>
          <w:tcPr>
            <w:tcW w:w="1583" w:type="dxa"/>
          </w:tcPr>
          <w:p>
            <w:pPr>
              <w:pStyle w:val="Cell"/>
            </w:pPr>
            <w:r>
              <w:t xml:space="preserve">0.854</w:t>
            </w:r>
          </w:p>
        </w:tc>
        <w:tc>
          <w:tcPr>
            <w:tcW w:w="1552" w:type="dxa"/>
          </w:tcPr>
          <w:p>
            <w:pPr>
              <w:pStyle w:val="Cell"/>
            </w:pPr>
            <w:r>
              <w:t xml:space="preserve">0.038</w:t>
            </w:r>
          </w:p>
        </w:tc>
        <w:tc>
          <w:tcPr>
            <w:tcW w:w="1583" w:type="dxa"/>
          </w:tcPr>
          <w:p>
            <w:pPr>
              <w:pStyle w:val="Cell"/>
            </w:pPr>
            <w:r>
              <w:t xml:space="preserve">−0.817</w:t>
            </w:r>
          </w:p>
        </w:tc>
        <w:tc>
          <w:tcPr>
            <w:tcW w:w="2741" w:type="dxa"/>
          </w:tcPr>
          <w:p>
            <w:pPr>
              <w:pStyle w:val="Cell"/>
            </w:pPr>
            <w:r>
              <w:t xml:space="preserve">Echo removed</w:t>
            </w:r>
          </w:p>
        </w:tc>
      </w:tr>
      <w:tr>
        <w:tc>
          <w:tcPr>
            <w:tcW w:w="1613" w:type="dxa"/>
          </w:tcPr>
          <w:p>
            <w:pPr>
              <w:pStyle w:val="Cell"/>
            </w:pPr>
            <w:r>
              <w:t xml:space="preserve">sclmeet</w:t>
            </w:r>
          </w:p>
        </w:tc>
        <w:tc>
          <w:tcPr>
            <w:tcW w:w="1583" w:type="dxa"/>
          </w:tcPr>
          <w:p>
            <w:pPr>
              <w:pStyle w:val="Cell"/>
            </w:pPr>
            <w:r>
              <w:t xml:space="preserve">0.291</w:t>
            </w:r>
          </w:p>
        </w:tc>
        <w:tc>
          <w:tcPr>
            <w:tcW w:w="1552" w:type="dxa"/>
          </w:tcPr>
          <w:p>
            <w:pPr>
              <w:pStyle w:val="Cell"/>
            </w:pPr>
            <w:r>
              <w:t xml:space="preserve">0.035</w:t>
            </w:r>
          </w:p>
        </w:tc>
        <w:tc>
          <w:tcPr>
            <w:tcW w:w="1583" w:type="dxa"/>
          </w:tcPr>
          <w:p>
            <w:pPr>
              <w:pStyle w:val="Cell"/>
            </w:pPr>
            <w:r>
              <w:t xml:space="preserve">−0.256</w:t>
            </w:r>
          </w:p>
        </w:tc>
        <w:tc>
          <w:tcPr>
            <w:tcW w:w="2741" w:type="dxa"/>
          </w:tcPr>
          <w:p>
            <w:pPr>
              <w:pStyle w:val="Cell"/>
            </w:pPr>
            <w:r>
              <w:t xml:space="preserve">Echo removed</w:t>
            </w:r>
          </w:p>
        </w:tc>
      </w:tr>
      <w:tr>
        <w:tc>
          <w:tcPr>
            <w:tcW w:w="1613" w:type="dxa"/>
          </w:tcPr>
          <w:p>
            <w:pPr>
              <w:pStyle w:val="Cell"/>
            </w:pPr>
            <w:r>
              <w:t xml:space="preserve">vote</w:t>
            </w:r>
          </w:p>
        </w:tc>
        <w:tc>
          <w:tcPr>
            <w:tcW w:w="1583" w:type="dxa"/>
          </w:tcPr>
          <w:p>
            <w:pPr>
              <w:pStyle w:val="Cell"/>
            </w:pPr>
            <w:r>
              <w:t xml:space="preserve">0.142</w:t>
            </w:r>
          </w:p>
        </w:tc>
        <w:tc>
          <w:tcPr>
            <w:tcW w:w="1552" w:type="dxa"/>
          </w:tcPr>
          <w:p>
            <w:pPr>
              <w:pStyle w:val="Cell"/>
            </w:pPr>
            <w:r>
              <w:t xml:space="preserve">−0.037</w:t>
            </w:r>
          </w:p>
        </w:tc>
        <w:tc>
          <w:tcPr>
            <w:tcW w:w="1583" w:type="dxa"/>
          </w:tcPr>
          <w:p>
            <w:pPr>
              <w:pStyle w:val="Cell"/>
            </w:pPr>
            <w:r>
              <w:t xml:space="preserve">−0.179</w:t>
            </w:r>
          </w:p>
        </w:tc>
        <w:tc>
          <w:tcPr>
            <w:tcW w:w="2741" w:type="dxa"/>
          </w:tcPr>
          <w:p>
            <w:pPr>
              <w:pStyle w:val="Cell"/>
            </w:pPr>
            <w:r>
              <w:t xml:space="preserve">Echo removed</w:t>
            </w:r>
          </w:p>
        </w:tc>
      </w:tr>
      <w:tr>
        <w:tc>
          <w:tcPr>
            <w:tcW w:w="1613" w:type="dxa"/>
          </w:tcPr>
          <w:p>
            <w:pPr>
              <w:pStyle w:val="Cell"/>
            </w:pPr>
            <w:r>
              <w:t xml:space="preserve">hincfel</w:t>
            </w:r>
          </w:p>
        </w:tc>
        <w:tc>
          <w:tcPr>
            <w:tcW w:w="1583" w:type="dxa"/>
          </w:tcPr>
          <w:p>
            <w:pPr>
              <w:pStyle w:val="Cell"/>
            </w:pPr>
            <w:r>
              <w:t xml:space="preserve">−0.184</w:t>
            </w:r>
          </w:p>
        </w:tc>
        <w:tc>
          <w:tcPr>
            <w:tcW w:w="1552" w:type="dxa"/>
          </w:tcPr>
          <w:p>
            <w:pPr>
              <w:pStyle w:val="Cell"/>
            </w:pPr>
            <w:r>
              <w:t xml:space="preserve">−0.164</w:t>
            </w:r>
          </w:p>
        </w:tc>
        <w:tc>
          <w:tcPr>
            <w:tcW w:w="1583" w:type="dxa"/>
          </w:tcPr>
          <w:p>
            <w:pPr>
              <w:pStyle w:val="Cell"/>
            </w:pPr>
            <w:r>
              <w:t xml:space="preserve">+0.020</w:t>
            </w:r>
          </w:p>
        </w:tc>
        <w:tc>
          <w:tcPr>
            <w:tcW w:w="2741" w:type="dxa"/>
          </w:tcPr>
          <w:p>
            <w:pPr>
              <w:pStyle w:val="Cell"/>
            </w:pPr>
            <w:r>
              <w:t xml:space="preserve">Attenuated</w:t>
            </w:r>
          </w:p>
        </w:tc>
      </w:tr>
      <w:tr>
        <w:tc>
          <w:tcPr>
            <w:tcW w:w="1613" w:type="dxa"/>
          </w:tcPr>
          <w:p>
            <w:pPr>
              <w:pStyle w:val="Cell"/>
            </w:pPr>
            <w:r>
              <w:t xml:space="preserve">health</w:t>
            </w:r>
          </w:p>
        </w:tc>
        <w:tc>
          <w:tcPr>
            <w:tcW w:w="1583" w:type="dxa"/>
          </w:tcPr>
          <w:p>
            <w:pPr>
              <w:pStyle w:val="Cell"/>
            </w:pPr>
            <w:r>
              <w:t xml:space="preserve">−0.327</w:t>
            </w:r>
          </w:p>
        </w:tc>
        <w:tc>
          <w:tcPr>
            <w:tcW w:w="1552" w:type="dxa"/>
          </w:tcPr>
          <w:p>
            <w:pPr>
              <w:pStyle w:val="Cell"/>
            </w:pPr>
            <w:r>
              <w:t xml:space="preserve">−0.093</w:t>
            </w:r>
          </w:p>
        </w:tc>
        <w:tc>
          <w:tcPr>
            <w:tcW w:w="1583" w:type="dxa"/>
          </w:tcPr>
          <w:p>
            <w:pPr>
              <w:pStyle w:val="Cell"/>
            </w:pPr>
            <w:r>
              <w:t xml:space="preserve">+0.234</w:t>
            </w:r>
          </w:p>
        </w:tc>
        <w:tc>
          <w:tcPr>
            <w:tcW w:w="2741" w:type="dxa"/>
          </w:tcPr>
          <w:p>
            <w:pPr>
              <w:pStyle w:val="Cell"/>
            </w:pPr>
            <w:r>
              <w:t xml:space="preserve">Attenuated</w:t>
            </w:r>
          </w:p>
        </w:tc>
      </w:tr>
      <w:tr>
        <w:tc>
          <w:tcPr>
            <w:tcW w:w="1613" w:type="dxa"/>
          </w:tcPr>
          <w:p>
            <w:pPr>
              <w:pStyle w:val="Cell"/>
            </w:pPr>
            <w:r>
              <w:t xml:space="preserve">rlgatnd</w:t>
            </w:r>
          </w:p>
        </w:tc>
        <w:tc>
          <w:tcPr>
            <w:tcW w:w="1583" w:type="dxa"/>
          </w:tcPr>
          <w:p>
            <w:pPr>
              <w:pStyle w:val="Cell"/>
            </w:pPr>
            <w:r>
              <w:t xml:space="preserve">−0.371</w:t>
            </w:r>
          </w:p>
        </w:tc>
        <w:tc>
          <w:tcPr>
            <w:tcW w:w="1552" w:type="dxa"/>
          </w:tcPr>
          <w:p>
            <w:pPr>
              <w:pStyle w:val="Cell"/>
            </w:pPr>
            <w:r>
              <w:t xml:space="preserve">0.014</w:t>
            </w:r>
          </w:p>
        </w:tc>
        <w:tc>
          <w:tcPr>
            <w:tcW w:w="1583" w:type="dxa"/>
          </w:tcPr>
          <w:p>
            <w:pPr>
              <w:pStyle w:val="Cell"/>
            </w:pPr>
            <w:r>
              <w:t xml:space="preserve">+0.385</w:t>
            </w:r>
          </w:p>
        </w:tc>
        <w:tc>
          <w:tcPr>
            <w:tcW w:w="2741" w:type="dxa"/>
          </w:tcPr>
          <w:p>
            <w:pPr>
              <w:pStyle w:val="Cell"/>
            </w:pPr>
            <w:r>
              <w:t xml:space="preserve">Attenuated</w:t>
            </w:r>
          </w:p>
        </w:tc>
      </w:tr>
      <w:tr>
        <w:tc>
          <w:tcPr>
            <w:tcW w:w="1613" w:type="dxa"/>
          </w:tcPr>
          <w:p>
            <w:pPr>
              <w:pStyle w:val="Cell"/>
            </w:pPr>
            <w:r>
              <w:t xml:space="preserve">polintr</w:t>
            </w:r>
          </w:p>
        </w:tc>
        <w:tc>
          <w:tcPr>
            <w:tcW w:w="1583" w:type="dxa"/>
          </w:tcPr>
          <w:p>
            <w:pPr>
              <w:pStyle w:val="Cell"/>
            </w:pPr>
            <w:r>
              <w:t xml:space="preserve">−0.265</w:t>
            </w:r>
          </w:p>
        </w:tc>
        <w:tc>
          <w:tcPr>
            <w:tcW w:w="1552" w:type="dxa"/>
          </w:tcPr>
          <w:p>
            <w:pPr>
              <w:pStyle w:val="Cell"/>
            </w:pPr>
            <w:r>
              <w:t xml:space="preserve">−0.092</w:t>
            </w:r>
          </w:p>
        </w:tc>
        <w:tc>
          <w:tcPr>
            <w:tcW w:w="1583" w:type="dxa"/>
          </w:tcPr>
          <w:p>
            <w:pPr>
              <w:pStyle w:val="Cell"/>
            </w:pPr>
            <w:r>
              <w:t xml:space="preserve">+0.173</w:t>
            </w:r>
          </w:p>
        </w:tc>
        <w:tc>
          <w:tcPr>
            <w:tcW w:w="2741"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w:t>
      </w:r>
      <w:r>
        <w:rPr>
          <w:i/>
        </w:rPr>
        <w:t>r</w:t>
      </w:r>
      <w:r>
        <w:rPr>
          <w:i/>
          <w:vertAlign w:val="subscript"/>
        </w:rPr>
        <w:t>ind</w:t>
      </w:r>
      <w:r>
        <w:t xml:space="preserve">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w:t>
      </w:r>
      <w:r>
        <w:rPr>
          <w:i/>
        </w:rPr>
        <w:t>r</w:t>
      </w:r>
      <w:r>
        <w:rPr>
          <w:i/>
          <w:vertAlign w:val="subscript"/>
        </w:rPr>
        <w:t>ind</w:t>
      </w:r>
      <w:r>
        <w:t xml:space="preserve">. Because pooling respondents combines within-country correspondence with between-country covariance, </w:t>
      </w:r>
      <w:r>
        <w:rPr>
          <w:i/>
        </w:rPr>
        <w:t>r</w:t>
      </w:r>
      <w:r>
        <w:rPr>
          <w:i/>
          <w:vertAlign w:val="subscript"/>
        </w:rPr>
        <w:t>ind</w:t>
      </w:r>
      <w:r>
        <w:t xml:space="preserve">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under Qwen 1P.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OLS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3.</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3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007"/>
        <w:gridCol w:w="1112"/>
        <w:gridCol w:w="1112"/>
        <w:gridCol w:w="1153"/>
        <w:gridCol w:w="906"/>
        <w:gridCol w:w="889"/>
        <w:gridCol w:w="893"/>
      </w:tblGrid>
      <w:tr>
        <w:tc>
          <w:tcPr>
            <w:tcW w:w="3007" w:type="dxa"/>
            <w:tcBorders>
              <w:bottom w:val="single" w:sz="8" w:space="0" w:color="000000"/>
            </w:tcBorders>
          </w:tcPr>
          <w:p>
            <w:pPr>
              <w:pStyle w:val="Cell"/>
            </w:pPr>
            <w:r>
              <w:rPr>
                <w:b/>
              </w:rPr>
              <w:t xml:space="preserve">Comparison</w:t>
            </w:r>
          </w:p>
        </w:tc>
        <w:tc>
          <w:tcPr>
            <w:tcW w:w="1112" w:type="dxa"/>
            <w:tcBorders>
              <w:bottom w:val="single" w:sz="8" w:space="0" w:color="000000"/>
            </w:tcBorders>
          </w:tcPr>
          <w:p>
            <w:pPr>
              <w:pStyle w:val="Cell"/>
            </w:pPr>
            <w:r>
              <w:rPr>
                <w:b/>
              </w:rPr>
              <w:t xml:space="preserve">rwc (A)</w:t>
            </w:r>
          </w:p>
        </w:tc>
        <w:tc>
          <w:tcPr>
            <w:tcW w:w="1112" w:type="dxa"/>
            <w:tcBorders>
              <w:bottom w:val="single" w:sz="8" w:space="0" w:color="000000"/>
            </w:tcBorders>
          </w:tcPr>
          <w:p>
            <w:pPr>
              <w:pStyle w:val="Cell"/>
            </w:pPr>
            <w:r>
              <w:rPr>
                <w:b/>
              </w:rPr>
              <w:t xml:space="preserve">rwc (B)</w:t>
            </w:r>
          </w:p>
        </w:tc>
        <w:tc>
          <w:tcPr>
            <w:tcW w:w="1153" w:type="dxa"/>
            <w:tcBorders>
              <w:bottom w:val="single" w:sz="8" w:space="0" w:color="000000"/>
            </w:tcBorders>
          </w:tcPr>
          <w:p>
            <w:pPr>
              <w:pStyle w:val="Cell"/>
            </w:pPr>
            <w:r>
              <w:rPr>
                <w:b/>
              </w:rPr>
              <w:t xml:space="preserve">Diff</w:t>
            </w:r>
          </w:p>
        </w:tc>
        <w:tc>
          <w:tcPr>
            <w:tcW w:w="906" w:type="dxa"/>
            <w:tcBorders>
              <w:bottom w:val="single" w:sz="8" w:space="0" w:color="000000"/>
            </w:tcBorders>
          </w:tcPr>
          <w:p>
            <w:pPr>
              <w:pStyle w:val="Cell"/>
            </w:pPr>
            <w:r>
              <w:rPr>
                <w:b/>
              </w:rPr>
              <w:t xml:space="preserve">SE</w:t>
            </w:r>
          </w:p>
        </w:tc>
        <w:tc>
          <w:tcPr>
            <w:tcW w:w="889" w:type="dxa"/>
            <w:tcBorders>
              <w:bottom w:val="single" w:sz="8" w:space="0" w:color="000000"/>
            </w:tcBorders>
          </w:tcPr>
          <w:p>
            <w:pPr>
              <w:pStyle w:val="Cell"/>
            </w:pPr>
            <w:r>
              <w:rPr>
                <w:b/>
              </w:rPr>
              <w:t xml:space="preserve">t</w:t>
            </w:r>
          </w:p>
        </w:tc>
        <w:tc>
          <w:tcPr>
            <w:tcW w:w="893" w:type="dxa"/>
            <w:tcBorders>
              <w:bottom w:val="single" w:sz="8" w:space="0" w:color="000000"/>
            </w:tcBorders>
          </w:tcPr>
          <w:p>
            <w:pPr>
              <w:pStyle w:val="Cell"/>
            </w:pPr>
            <w:r>
              <w:rPr>
                <w:b/>
              </w:rPr>
              <w:t xml:space="preserve">p</w:t>
            </w:r>
          </w:p>
        </w:tc>
      </w:tr>
      <w:tr>
        <w:tc>
          <w:tcPr>
            <w:tcW w:w="3007" w:type="dxa"/>
          </w:tcPr>
          <w:p>
            <w:pPr>
              <w:pStyle w:val="Cell"/>
            </w:pPr>
            <w:r>
              <w:t xml:space="preserve">Qwen: 1P vs 3P</w:t>
            </w:r>
          </w:p>
        </w:tc>
        <w:tc>
          <w:tcPr>
            <w:tcW w:w="1112" w:type="dxa"/>
          </w:tcPr>
          <w:p>
            <w:pPr>
              <w:pStyle w:val="Cell"/>
            </w:pPr>
            <w:r>
              <w:t xml:space="preserve">0.027</w:t>
            </w:r>
          </w:p>
        </w:tc>
        <w:tc>
          <w:tcPr>
            <w:tcW w:w="1112" w:type="dxa"/>
          </w:tcPr>
          <w:p>
            <w:pPr>
              <w:pStyle w:val="Cell"/>
            </w:pPr>
            <w:r>
              <w:t xml:space="preserve">0.029</w:t>
            </w:r>
          </w:p>
        </w:tc>
        <w:tc>
          <w:tcPr>
            <w:tcW w:w="1153" w:type="dxa"/>
          </w:tcPr>
          <w:p>
            <w:pPr>
              <w:pStyle w:val="Cell"/>
            </w:pPr>
            <w:r>
              <w:t xml:space="preserve">-0.002</w:t>
            </w:r>
          </w:p>
        </w:tc>
        <w:tc>
          <w:tcPr>
            <w:tcW w:w="906" w:type="dxa"/>
          </w:tcPr>
          <w:p>
            <w:pPr>
              <w:pStyle w:val="Cell"/>
            </w:pPr>
            <w:r>
              <w:t xml:space="preserve">0.006</w:t>
            </w:r>
          </w:p>
        </w:tc>
        <w:tc>
          <w:tcPr>
            <w:tcW w:w="889" w:type="dxa"/>
          </w:tcPr>
          <w:p>
            <w:pPr>
              <w:pStyle w:val="Cell"/>
            </w:pPr>
            <w:r>
              <w:t xml:space="preserve">-0.28</w:t>
            </w:r>
          </w:p>
        </w:tc>
        <w:tc>
          <w:tcPr>
            <w:tcW w:w="893" w:type="dxa"/>
          </w:tcPr>
          <w:p>
            <w:pPr>
              <w:pStyle w:val="Cell"/>
            </w:pPr>
            <w:r>
              <w:t xml:space="preserve">0.785</w:t>
            </w:r>
          </w:p>
        </w:tc>
      </w:tr>
      <w:tr>
        <w:tc>
          <w:tcPr>
            <w:tcW w:w="3007" w:type="dxa"/>
          </w:tcPr>
          <w:p>
            <w:pPr>
              <w:pStyle w:val="Cell"/>
            </w:pPr>
            <w:r>
              <w:t xml:space="preserve">Llama: 1P vs 3P</w:t>
            </w:r>
          </w:p>
        </w:tc>
        <w:tc>
          <w:tcPr>
            <w:tcW w:w="1112" w:type="dxa"/>
          </w:tcPr>
          <w:p>
            <w:pPr>
              <w:pStyle w:val="Cell"/>
            </w:pPr>
            <w:r>
              <w:t xml:space="preserve">0.009</w:t>
            </w:r>
          </w:p>
        </w:tc>
        <w:tc>
          <w:tcPr>
            <w:tcW w:w="1112" w:type="dxa"/>
          </w:tcPr>
          <w:p>
            <w:pPr>
              <w:pStyle w:val="Cell"/>
            </w:pPr>
            <w:r>
              <w:t xml:space="preserve">0.006</w:t>
            </w:r>
          </w:p>
        </w:tc>
        <w:tc>
          <w:tcPr>
            <w:tcW w:w="1153" w:type="dxa"/>
          </w:tcPr>
          <w:p>
            <w:pPr>
              <w:pStyle w:val="Cell"/>
            </w:pPr>
            <w:r>
              <w:t xml:space="preserve">+0.004</w:t>
            </w:r>
          </w:p>
        </w:tc>
        <w:tc>
          <w:tcPr>
            <w:tcW w:w="906" w:type="dxa"/>
          </w:tcPr>
          <w:p>
            <w:pPr>
              <w:pStyle w:val="Cell"/>
            </w:pPr>
            <w:r>
              <w:t xml:space="preserve">0.004</w:t>
            </w:r>
          </w:p>
        </w:tc>
        <w:tc>
          <w:tcPr>
            <w:tcW w:w="889" w:type="dxa"/>
          </w:tcPr>
          <w:p>
            <w:pPr>
              <w:pStyle w:val="Cell"/>
            </w:pPr>
            <w:r>
              <w:t xml:space="preserve">0.99</w:t>
            </w:r>
          </w:p>
        </w:tc>
        <w:tc>
          <w:tcPr>
            <w:tcW w:w="893" w:type="dxa"/>
          </w:tcPr>
          <w:p>
            <w:pPr>
              <w:pStyle w:val="Cell"/>
            </w:pPr>
            <w:r>
              <w:t xml:space="preserve">0.326</w:t>
            </w:r>
          </w:p>
        </w:tc>
      </w:tr>
      <w:tr>
        <w:tc>
          <w:tcPr>
            <w:tcW w:w="3007" w:type="dxa"/>
          </w:tcPr>
          <w:p>
            <w:pPr>
              <w:pStyle w:val="Cell"/>
            </w:pPr>
            <w:r>
              <w:t xml:space="preserve">1P: Qwen vs Llama</w:t>
            </w:r>
          </w:p>
        </w:tc>
        <w:tc>
          <w:tcPr>
            <w:tcW w:w="1112" w:type="dxa"/>
          </w:tcPr>
          <w:p>
            <w:pPr>
              <w:pStyle w:val="Cell"/>
            </w:pPr>
            <w:r>
              <w:t xml:space="preserve">0.027</w:t>
            </w:r>
          </w:p>
        </w:tc>
        <w:tc>
          <w:tcPr>
            <w:tcW w:w="1112" w:type="dxa"/>
          </w:tcPr>
          <w:p>
            <w:pPr>
              <w:pStyle w:val="Cell"/>
            </w:pPr>
            <w:r>
              <w:t xml:space="preserve">0.009</w:t>
            </w:r>
          </w:p>
        </w:tc>
        <w:tc>
          <w:tcPr>
            <w:tcW w:w="1153" w:type="dxa"/>
          </w:tcPr>
          <w:p>
            <w:pPr>
              <w:pStyle w:val="Cell"/>
            </w:pPr>
            <w:r>
              <w:t xml:space="preserve">+0.018</w:t>
            </w:r>
          </w:p>
        </w:tc>
        <w:tc>
          <w:tcPr>
            <w:tcW w:w="906" w:type="dxa"/>
          </w:tcPr>
          <w:p>
            <w:pPr>
              <w:pStyle w:val="Cell"/>
            </w:pPr>
            <w:r>
              <w:t xml:space="preserve">0.006</w:t>
            </w:r>
          </w:p>
        </w:tc>
        <w:tc>
          <w:tcPr>
            <w:tcW w:w="889" w:type="dxa"/>
          </w:tcPr>
          <w:p>
            <w:pPr>
              <w:pStyle w:val="Cell"/>
            </w:pPr>
            <w:r>
              <w:t xml:space="preserve">2.81</w:t>
            </w:r>
          </w:p>
        </w:tc>
        <w:tc>
          <w:tcPr>
            <w:tcW w:w="893" w:type="dxa"/>
          </w:tcPr>
          <w:p>
            <w:pPr>
              <w:pStyle w:val="Cell"/>
            </w:pPr>
            <w:r>
              <w:t xml:space="preserve">0.007</w:t>
            </w:r>
          </w:p>
        </w:tc>
      </w:tr>
      <w:tr>
        <w:tc>
          <w:tcPr>
            <w:tcW w:w="3007" w:type="dxa"/>
          </w:tcPr>
          <w:p>
            <w:pPr>
              <w:pStyle w:val="Cell"/>
            </w:pPr>
            <w:r>
              <w:t xml:space="preserve">3P: Qwen vs Llama</w:t>
            </w:r>
          </w:p>
        </w:tc>
        <w:tc>
          <w:tcPr>
            <w:tcW w:w="1112" w:type="dxa"/>
          </w:tcPr>
          <w:p>
            <w:pPr>
              <w:pStyle w:val="Cell"/>
            </w:pPr>
            <w:r>
              <w:t xml:space="preserve">0.029</w:t>
            </w:r>
          </w:p>
        </w:tc>
        <w:tc>
          <w:tcPr>
            <w:tcW w:w="1112" w:type="dxa"/>
          </w:tcPr>
          <w:p>
            <w:pPr>
              <w:pStyle w:val="Cell"/>
            </w:pPr>
            <w:r>
              <w:t xml:space="preserve">0.006</w:t>
            </w:r>
          </w:p>
        </w:tc>
        <w:tc>
          <w:tcPr>
            <w:tcW w:w="1153" w:type="dxa"/>
          </w:tcPr>
          <w:p>
            <w:pPr>
              <w:pStyle w:val="Cell"/>
            </w:pPr>
            <w:r>
              <w:t xml:space="preserve">+0.023</w:t>
            </w:r>
          </w:p>
        </w:tc>
        <w:tc>
          <w:tcPr>
            <w:tcW w:w="906" w:type="dxa"/>
          </w:tcPr>
          <w:p>
            <w:pPr>
              <w:pStyle w:val="Cell"/>
            </w:pPr>
            <w:r>
              <w:t xml:space="preserve">0.010</w:t>
            </w:r>
          </w:p>
        </w:tc>
        <w:tc>
          <w:tcPr>
            <w:tcW w:w="889" w:type="dxa"/>
          </w:tcPr>
          <w:p>
            <w:pPr>
              <w:pStyle w:val="Cell"/>
            </w:pPr>
            <w:r>
              <w:t xml:space="preserve">2.28</w:t>
            </w:r>
          </w:p>
        </w:tc>
        <w:tc>
          <w:tcPr>
            <w:tcW w:w="893"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3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r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(r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