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major open-weight LLMs, two prompt framings, and a backstory-conditioning experiment. Aggregate recovery is moderate and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uses the country as a group-level prior and largely ignores respondent detail. Individual-level recovery is negligible everywhere and unrelated to aggregate recovery across countries. Naming the two endpoints of the response scale in words removes the item-level inversions and roughly triples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However, they are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Previous evaluations suggest some promise.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The evidence of limitations concerns both response distributions and the representation of groups and countries.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gaps constrain the existing silicon-sampling literature. First, most evaluations remain centered on the United States. Available cross-national studies cover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decides its direction.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To address these gaps, this study runs four tests in one design.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predictors that use no model at all.</w:t>
      </w:r>
    </w:p>
    <w:p>
      <w:pPr>
        <w:pStyle w:val="Body"/>
      </w:pPr>
      <w:r>
        <w:t xml:space="preserve">Overall, the models treat the country name as a group-level prior. The label carries most of the aggregate signal. Enriching the profile beyond it adds no consistent gain. The response format decides whether the model ranks countries the right way round or backwards. None of it amounts to individual-level recovery. The study contributes on three fronts. The empirical contribution is a joint evaluation of item-level country rankings, within-country individual recovery, and the label’s incremental contribution on the same matched respondents. The methodological one is the experimental identification of that prior and of the format that decides which way the ordering runs. The practical one is a benchmark against model-free alternatives, the comparison a prospective user needs.</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largely within one or a few countries.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 The literature supports two expectations. Recovery should be uneven across items, and part of that unevenness should follow how the response scale is presented, because option format shifts model answers independently of content (Section 2.2). A pooled correlation that mixes items of different scale lengths should overstate recovery, because much of the covariance it captures falls between items and not between countries.</w:t>
      </w:r>
    </w:p>
    <w:p>
      <w:pPr>
        <w:pStyle w:val="Body"/>
      </w:pPr>
      <w:r>
        <w:t xml:space="preserve">RQ1. How accurately does silicon sampling recover public attitudes at the aggregate level, and how far does that accuracy vary from item to item?</w:t>
      </w:r>
    </w:p>
    <w:p>
      <w:pPr>
        <w:pStyle w:val="H2"/>
      </w:pPr>
      <w:r>
        <w:t xml:space="preserve">2.2 Cultural bias and the country cue in LLM responses</w:t>
      </w:r>
    </w:p>
    <w:p>
      <w:pPr>
        <w:pStyle w:val="Body"/>
      </w:pPr>
      <w:r>
        <w:t xml:space="preserve">Before any country is named, model outputs already lean toward some populations. Cultural bias here means systematic differences in whose values and associations those default outputs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Naming a country moves the output, though not necessarily toward the population named.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Yet the resulting correspondence is ambiguous: agreement with national averages may reflect calibrated country knowledge, stereotypic associations, or both.</w:t>
      </w:r>
    </w:p>
    <w:p>
      <w:pPr>
        <w:pStyle w:val="Body"/>
      </w:pPr>
      <w:r>
        <w:t xml:space="preserve">A second, artifactual source of apparent cross-national difference is the response format, meaning how the answer scale is presented: numbers alone, or numbers whose endpoints are named in words.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This study therefore tests whether the country label adds recovery beyond demographic composition and whether richer profiles add further gains. The two readings of the label predict two different patterns.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reverse-coded items, the same country knowledge will rank countries backwards on those items and correctly elsewhere, and supplying verbal endpoints should remove the inversion without touching the model’s knowledge.</w:t>
      </w:r>
    </w:p>
    <w:p>
      <w:pPr>
        <w:pStyle w:val="Body"/>
      </w:pPr>
      <w:r>
        <w:t xml:space="preserve">RQ2. Which part of the prompt produces the aggregate signal, and why does the model rank countries backwards on some items?</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Being the person and predicting the person are two different requests. Answering in persona speaks from the profile. Predicting how the person would answer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the contrast is reported with the individual-level results.</w:t>
      </w:r>
    </w:p>
    <w:p>
      <w:pPr>
        <w:pStyle w:val="Body"/>
      </w:pPr>
      <w:r>
        <w:t xml:space="preserve">Whether richer conditioning rescues individual recovery is debated.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Both sides agree that the gains require individual data far richer than scalable demographic profiles.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both together, because the two levels have to be told apart before either can be used:</w:t>
      </w:r>
    </w:p>
    <w:p>
      <w:pPr>
        <w:pStyle w:val="Body"/>
      </w:pPr>
      <w:r>
        <w:t xml:space="preserve">RQ3. How much individual-level recovery is there,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below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Caption"/>
      </w:pPr>
      <w:r>
        <w:t xml:space="preserve">Figure 1. The simulation pipeline.</w:t>
      </w:r>
    </w:p>
    <w:p>
      <w:pPr>
        <w:pStyle w:val="Body"/>
      </w:pPr>
      <w:r>
        <w:t xml:space="preserve">Note. 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is a 2 (model: Qwen, Llama) × 2 (prompt: first person, third person) crossing. Two open-weight instruction-tuned models are tested: Qwen 2.5-7B-Instruct (Alibaba) and Llama 3.1-8B-Instruct (Meta). Both are run locally on a university high-performance computing cluster (NVIDIA A100) using vLLM for batched inference. Temperature is set to 0.7, and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on whether most people can be trusted, try to be fair, and are helpful, carry the full ESS question wording, which embeds verbal endpoint descriptions. Every other item is presented with the abbreviated codebook wording reported in Table A1. Prompts specify the numeric scale range as digits (e.g., “Scale: 0-10”) and name no scale endpoints in words.</w:t>
      </w:r>
    </w:p>
    <w:p>
      <w:pPr>
        <w:pStyle w:val="Body"/>
      </w:pPr>
      <w:r>
        <w:t xml:space="preserve">For each country, 685 respondents are randomly subsampled from the ESS, the number available in the smallest country sample. The subsample is drawn with no design weights. The human benchmark is weighted by the ESS post-stratification weight (pspwght) throughout, and the sensitivity of the results to that choice is reported in Section 4.4. The sample size is sufficient at both levels of analysis.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41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6).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and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codes from the International Organization for Standardization (ISO)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the Appendix (Example Prompt).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The same with-and-without logic runs over the whole profile. The 20 backstory variables partition into ten named blocks: the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w:t>
      </w:r>
    </w:p>
    <w:p>
      <w:pPr>
        <w:pStyle w:val="Body"/>
      </w:pPr>
      <w:r>
        <w:t xml:space="preserve">The unit is the block because single variables often repeat one another. The profile contains near-duplicate pairs: age and birth year, education level and education years, household size and children at home. Age and birth year encode the same fact, so dropping one leaves its twin in place and the contrast measures the repetition. Where a block holds no such pair, its variables are also tested one at a time.</w:t>
      </w:r>
    </w:p>
    <w:p>
      <w:pPr>
        <w:pStyle w:val="Body"/>
      </w:pPr>
      <w:r>
        <w:t xml:space="preserve">Every block is observed at the two margins that bound its contribution. It is added alone to the sparse base plus the country label, and it is removed alone from the otherwise complete profile. These are the extreme positions a block can occupy in any order of additions, so the two margins bound it under every ordering. Three probes settle what they leave open. A country-only arm carries the label with no demographics at all. Two twin arms state the same age as a number of years and as a birth year. Union membership and internet use are added one variable at a time.</w:t>
      </w:r>
    </w:p>
    <w:p>
      <w:pPr>
        <w:pStyle w:val="Body"/>
      </w:pPr>
      <w:r>
        <w:t xml:space="preserve">A falsification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Body"/>
      </w:pPr>
      <w:r>
        <w:t xml:space="preserve">A 2 (country label: present, absent) × 2 (response scale: numbers only, numbers with verbal endpoints) experiment tests whether the format decides the direction of the label’s effect. Its four arms run on a 22-item batch: twelve of the thirteen reverse-coded items (vote is excluded, because its response options carry no scale direction), six forward-coded controls (items whose numeric scale runs in the intuitive direction), and four placebo items whose endpoints the question text already describes. The reverse-item set and the two exclusions were fixed in advance.</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Each country’s 42-item aggregate profile correlation, </w:t>
      </w:r>
      <w:r>
        <w:rPr>
          <w:i/>
        </w:rPr>
        <w:t>r</w:t>
      </w:r>
      <w:r>
        <w:rPr>
          <w:i/>
          <w:vertAlign w:val="subscript"/>
        </w:rPr>
        <w:t>prof</w:t>
      </w:r>
      <w:r>
        <w:t xml:space="preserve">, carries the country-level comparison in Section 4.1. Two pooled quantities appear once each and carry no symbol. A pooled within-country correlation, taken across respondents from every country after centering within country, is used in Figure 6(b), where its statistical power suits the per-item display. A pooled correlation across all 1,260 country-item cells is reported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Evaluation metrics.</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demographic ceiling: the most any demographic profile could recover at the individual level, whatever produces the answers. The third fixes what counts as adequate at the aggregate level: recovery is judged against predictors that use no model at all, built from regional neighbors and macro covariates and reported in Section 5.3.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into </w:t>
      </w:r>
      <w:r>
        <w:rPr>
          <w:i/>
        </w:rPr>
        <w:t>r</w:t>
      </w:r>
      <w:r>
        <w:rPr>
          <w:i/>
          <w:vertAlign w:val="subscript"/>
        </w:rPr>
        <w:t>bc</w:t>
      </w:r>
      <w:r>
        <w:t xml:space="preserve"> and an accuracy term, separating rank correspondence from calibration. Model and prompt contrasts use paired t-tests across the 42 items.</w:t>
      </w:r>
    </w:p>
    <w:p>
      <w:pPr>
        <w:pStyle w:val="H1"/>
      </w:pPr>
      <w:r>
        <w:t xml:space="preserve">4 Results</w:t>
      </w:r>
    </w:p>
    <w:p>
      <w:pPr>
        <w:pStyle w:val="H2"/>
      </w:pPr>
      <w:r>
        <w:t xml:space="preserve">4.1 Silicon sampling’s aggregate recovery is moderate and item-dependent</w:t>
      </w:r>
    </w:p>
    <w:p>
      <w:pPr>
        <w:pStyle w:val="Body"/>
      </w:pPr>
      <w:r>
        <w:t xml:space="preserve">Addressing RQ1, aggregate recovery is moderate, uneven across items, and not captured by any single measure. Country-profile and mean-error statistics produce different country rankings, and the pooled correlation is a different quantity again. Figure 2(a) shows every item in every condition. The pooled correlation is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and removing each item’s mean leaves a pooled correlation of 0.515.</w:t>
      </w:r>
    </w:p>
    <w:p>
      <w:pPr>
        <w:pStyle w:val="Body"/>
      </w:pPr>
      <w:r>
        <w:t xml:space="preserve">Qwen 1P performs best and is the reference for the focused analyses below. Against the pre-declared thresholds, 20 of 42 items exceed 0.5 and nine exceed 0.7. All four conditions appear in Figures 2 and 6, so this choice does not affect the main conclusions.</w:t>
      </w:r>
    </w:p>
    <w:p>
      <w:pPr>
        <w:pStyle w:val="Fig"/>
      </w:pPr>
      <w:r>
        <w:drawing>
          <wp:inline distT="0" distB="0" distL="0" distR="0">
            <wp:extent cx="5760720" cy="649252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6492528"/>
                    </a:xfrm>
                    <a:prstGeom prst="rect">
                      <a:avLst/>
                    </a:prstGeom>
                  </pic:spPr>
                </pic:pic>
              </a:graphicData>
            </a:graphic>
          </wp:inline>
        </w:drawing>
      </w:r>
    </w:p>
    <w:p>
      <w:pPr>
        <w:pStyle w:val="Caption"/>
      </w:pPr>
      <w:r>
        <w:t xml:space="preserve">Figure 2. Aggregate recovery: by condition, and item by item.</w:t>
      </w:r>
    </w:p>
    <w:p>
      <w:pPr>
        <w:pStyle w:val="Body"/>
      </w:pPr>
      <w:r>
        <w:t xml:space="preserve">Note. Panel (a): every item’s between-country correlation in each condition, with the median across items marked. The pooled correlation is drawn once, as a labeled counterexample (all pooled p &lt; 0.001). The Llama 3P arm (†) loses 24% of its scheduled responses to a parse failure and is not read substantively (Section 4.4). The anchored arm repeats Qwen 1P with the two scale endpoints named in words, on the 22-item batch of Section 4.2. Panel (b): the same 42 items under Qwen 1P, ranked, with the highest and lowest named and reverse-coded items marked. Figure 6 is the individual-level counterpart, drawn on the scale of panel (b).</w:t>
      </w:r>
    </w:p>
    <w:p>
      <w:pPr>
        <w:pStyle w:val="Body"/>
      </w:pPr>
      <w:r>
        <w:t xml:space="preserve">Figure 2(b) ranks the same items under Qwen 1P. The full labeled rankings appear in Appendix Figures A1 and A4. Figure 6(b) draws the individual level on the same scale, and the two together make the disparity visible: the aggregate series spans 1.64 correlation units, the individual series 0.30, a ratio of 5.5.</w:t>
      </w:r>
    </w:p>
    <w:p>
      <w:pPr>
        <w:pStyle w:val="Body"/>
      </w:pPr>
      <w:r>
        <w:t xml:space="preserve">Panel (b) shows that institutional trust and subjective well-being recover best, whereas income, safety, and health invert. Trust items dominate the top (trust in the police 0.82, trust in parliament 0.79, trust in the legal system 0.78). Eleven items have negative </w:t>
      </w:r>
      <w:r>
        <w:rPr>
          <w:i/>
        </w:rPr>
        <w:t>r</w:t>
      </w:r>
      <w:r>
        <w:rPr>
          <w:i/>
          <w:vertAlign w:val="subscript"/>
        </w:rPr>
        <w:t>bc</w:t>
      </w:r>
      <w:r>
        <w:t xml:space="preserve">, meaning the model reverses their cross-national ordering, and the two most severe are whether gay men and lesbians should be free to live as they wish (−0.82) and whether same-sex couples should have the right to adopt (−0.73). Ranks beyond the top two are not reported. They exchange places between independent runs of the same condition, as the noise floor of 0.060 per item implies.</w:t>
      </w:r>
    </w:p>
    <w:p>
      <w:pPr>
        <w:pStyle w:val="Body"/>
      </w:pPr>
      <w:r>
        <w:t xml:space="preserve">Ten of the eleven inversions are reverse-coded items, and direction alone explains 66% of the variance in </w:t>
      </w:r>
      <w:r>
        <w:rPr>
          <w:i/>
        </w:rPr>
        <w:t>r</w:t>
      </w:r>
      <w:r>
        <w:rPr>
          <w:i/>
          <w:vertAlign w:val="subscript"/>
        </w:rPr>
        <w:t>bc</w:t>
      </w:r>
      <w:r>
        <w:t xml:space="preserve"> across the 42 items. One inversion is not explained by direction. Whether European unification should go further (−0.23) is forward-coded. It is a bipolar item whose numeric direction is a convention. In Figure 2(b) it is the one circle in the negative tail. Appendix Figure A2 puts a recovered item and an inverted one side by side. Section 4.2 tests the scale-direction account experimentally.</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standard deviation 0.06). Finland, Switzerland, Ireland, Norway, and Austria rank highest (0.88–0.91), while Bulgaria, Serbia, Ukraine, Israel, and Latvia rank lowest (0.69–0.76). The band is narrow,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w:t>
      </w:r>
      <w:r>
        <w:rPr>
          <w:i/>
        </w:rPr>
        <w:t>r</w:t>
      </w:r>
      <w:r>
        <w:t xml:space="preserve">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close to independent. All 30 countries have positive mean bias under Qwen 1P, from 0.36 scale points in Finland to 1.40 in Bulgaria, consistent with a shift toward higher numeric responses. Mean standard-deviation ratios range from 0.54 in Estonia to 0.68 in Portugal with no clear geographic gradient. Lin’s concordance coefficient separates ranking from calibration and shows that 87% of the agreement attainable at the observed rank correspondence is lost to bias and compression (Appendix, Concordance). A reader who wants to rank countries gets moderate performance. A reader who wants to use the number as an estimate of a country’s value gets almost nothing.</w:t>
      </w:r>
    </w:p>
    <w:p>
      <w:pPr>
        <w:pStyle w:val="H2"/>
      </w:pPr>
      <w:r>
        <w:t xml:space="preserve">4.2 The country label carries the signal, the response format its direction</w:t>
      </w:r>
    </w:p>
    <w:p>
      <w:pPr>
        <w:pStyle w:val="Body"/>
      </w:pPr>
      <w:r>
        <w:t xml:space="preserve">Addressing RQ2, the falsification arm shows that the model reads the country name it is given.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A cue the model attends to should do that.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rest of the profile still carries country information of its own. The two scorings are not mechanically coupled: under the derangement the named and the true countries’ human means correlate at a median of −0.07. Figure 3 puts the conditions side by side.</w:t>
      </w:r>
    </w:p>
    <w:p>
      <w:pPr>
        <w:pStyle w:val="Fig"/>
      </w:pPr>
      <w:r>
        <w:drawing>
          <wp:inline distT="0" distB="0" distL="0" distR="0">
            <wp:extent cx="5279136" cy="2947416"/>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279136" cy="2947416"/>
                    </a:xfrm>
                    <a:prstGeom prst="rect">
                      <a:avLst/>
                    </a:prstGeom>
                  </pic:spPr>
                </pic:pic>
              </a:graphicData>
            </a:graphic>
          </wp:inline>
        </w:drawing>
      </w:r>
    </w:p>
    <w:p>
      <w:pPr>
        <w:pStyle w:val="Caption"/>
      </w:pPr>
      <w:r>
        <w:t xml:space="preserve">Figure 3. A wrong country name costs the country the respondents came from, Qwen 1P.</w:t>
      </w:r>
    </w:p>
    <w:p>
      <w:pPr>
        <w:pStyle w:val="Body"/>
      </w:pPr>
      <w:r>
        <w:t xml:space="preserve">Note. Median </w:t>
      </w:r>
      <w:r>
        <w:rPr>
          <w:i/>
        </w:rPr>
        <w:t>r</w:t>
      </w:r>
      <w:r>
        <w:rPr>
          <w:i/>
          <w:vertAlign w:val="subscript"/>
        </w:rPr>
        <w:t>bc</w:t>
      </w:r>
      <w:r>
        <w:t xml:space="preserve"> over items, with forward- and reverse-coded items shown separately. The dashed line is the same profile with no country name in the prompt. The comparison that carries the argument is the third row against that line: a wrong name leaves the respondents’ own country worse recovered than no name does. The second row against the third is small and its interval includes zero, so the arm is not evidence that recovery transfers to the country named.</w:t>
      </w:r>
    </w:p>
    <w:p>
      <w:pPr>
        <w:pStyle w:val="Body"/>
      </w:pPr>
      <w:r>
        <w:t xml:space="preserve">How much the name contributes is the next question, and one paired contrast answers it. The country sentence is removed from an otherwise identical rich profile, holding the same respondents and items. The paired item-level correlation rises by a median 0.135 on forward-coded items, where 27 of 29 improve (p &lt; 0.001), and falls by 0.176 on reverse-coded items, where 1 of 13 improves. Of the three original removal contrasts, only the country label produces an effect that survives correction for multiplicity and exceeds the noise floor (Appendix, Block ablations).</w:t>
      </w:r>
    </w:p>
    <w:p>
      <w:pPr>
        <w:pStyle w:val="Body"/>
      </w:pPr>
      <w:r>
        <w:t xml:space="preserve">Figure 4 gives every block’s effect at both margins, and Appendix Figure A3 gives the country-label contrast item by item. Adding the country name to a backstory that already specifies gender, age, and birth year raises median </w:t>
      </w:r>
      <w:r>
        <w:rPr>
          <w:i/>
        </w:rPr>
        <w:t>r</w:t>
      </w:r>
      <w:r>
        <w:rPr>
          <w:i/>
          <w:vertAlign w:val="subscript"/>
        </w:rPr>
        <w:t>bc</w:t>
      </w:r>
      <w:r>
        <w:t xml:space="preserve"> from −0.03 to 0.52 (Fisher z +0.73 on forward items, −0.44 on reverse items). No other block approaches either of the label’s margins. Union membership and internet use is the only other block beyond the noise floor on both (+0.09 added, +0.08 removed, forward items). Added one variable at a time, that gain comes from internet use (+0.13 against union’s +0.06), itself a strong country gradient.</w:t>
      </w:r>
    </w:p>
    <w:p>
      <w:pPr>
        <w:pStyle w:val="Fig"/>
      </w:pPr>
      <w:r>
        <w:drawing>
          <wp:inline distT="0" distB="0" distL="0" distR="0">
            <wp:extent cx="5760720" cy="4543586"/>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760720" cy="4543586"/>
                    </a:xfrm>
                    <a:prstGeom prst="rect">
                      <a:avLst/>
                    </a:prstGeom>
                  </pic:spPr>
                </pic:pic>
              </a:graphicData>
            </a:graphic>
          </wp:inline>
        </w:drawing>
      </w:r>
    </w:p>
    <w:p>
      <w:pPr>
        <w:pStyle w:val="Caption"/>
      </w:pPr>
      <w:r>
        <w:t xml:space="preserve">Figure 4. Each backstory block’s effect on aggregate recovery at the two margins that bound it, Qwen 1P.</w:t>
      </w:r>
    </w:p>
    <w:p>
      <w:pPr>
        <w:pStyle w:val="Body"/>
      </w:pPr>
      <w:r>
        <w:t xml:space="preserve">Note. 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base has no add margin, because every other block is added to it. Reverse-coded items are the thirteen whose numeric scale runs against the direction of the question. They are drawn as separate bars because the effect reverses sign with wording, and one bar per block would average the forward gain against the reverse loss and read as no effect (later in this section). The shaded band is run-to-run noise, and effects inside it are left unlabeled: they are smaller than the difference between two identical runs. The same contrast item by item is in Appendix Figure A3. Per-block values ship with the figure data.</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country label alone accounts for most of the aggregate recovery. The label with no demographics at all recovers 0.52, the same as with them, and the full profile recovers less than the label on its own (0.44).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One explanation covers both the inversions of Section 4.1 and the negative label effect above, and the 2 × 2 experiment tests it (Figure 5). The model may be reading the numeric scale in the wrong direction while holding correct country associations. 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cross-national signal, and the response format decides whether the countries come out in the right order or backwards. This is one interacting mechanism, not two parallel ones, and it means the item inversions are a property of the instrument, not of the model’s country knowledge.</w:t>
      </w:r>
    </w:p>
    <w:p>
      <w:pPr>
        <w:pStyle w:val="Fig"/>
      </w:pPr>
      <w:r>
        <w:drawing>
          <wp:inline distT="0" distB="0" distL="0" distR="0">
            <wp:extent cx="5685368" cy="676656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685368" cy="6766560"/>
                    </a:xfrm>
                    <a:prstGeom prst="rect">
                      <a:avLst/>
                    </a:prstGeom>
                  </pic:spPr>
                </pic:pic>
              </a:graphicData>
            </a:graphic>
          </wp:inline>
        </w:drawing>
      </w:r>
    </w:p>
    <w:p>
      <w:pPr>
        <w:pStyle w:val="Caption"/>
      </w:pPr>
      <w:r>
        <w:t xml:space="preserve">Figure 5. The country label by the response format, 22 items, Qwen 1P.</w:t>
      </w:r>
    </w:p>
    <w:p>
      <w:pPr>
        <w:pStyle w:val="Body"/>
      </w:pPr>
      <w:r>
        <w:t xml:space="preserve">Note. A verbally anchored scale names the two endpoints of the response scale in words. The numeric arm gives the number range alone. Panel (a): the four cell means with bootstrap intervals over items. Verbal anchors flip the label’s effect on reverse-coded items from negative to positive. Panel (b): the same movement for every one of the 22 items in the batch,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even the largest implies less than 0.1% shared variance. First- and third-person framing do not differ in either model (Table A4). With 20,550 respondents per condition many of these correlations are statistically significant and substantively negligible. That weakness is not an absence of demographic signal in the human benchmark: the five-predictor ceiling is 0.210 against an achieved 0.028, so the model recovers 13.5% of what a demographic profile could in principle deliver. Figure 6 shows both cuts of the individual level: every condition against that ceiling, and the same 42 items on the scale of Figure 2(b).</w:t>
      </w:r>
    </w:p>
    <w:p>
      <w:pPr>
        <w:pStyle w:val="Fig"/>
      </w:pPr>
      <w:r>
        <w:drawing>
          <wp:inline distT="0" distB="0" distL="0" distR="0">
            <wp:extent cx="5760720" cy="5558536"/>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558536"/>
                    </a:xfrm>
                    <a:prstGeom prst="rect">
                      <a:avLst/>
                    </a:prstGeom>
                  </pic:spPr>
                </pic:pic>
              </a:graphicData>
            </a:graphic>
          </wp:inline>
        </w:drawing>
      </w:r>
    </w:p>
    <w:p>
      <w:pPr>
        <w:pStyle w:val="Caption"/>
      </w:pPr>
      <w:r>
        <w:t xml:space="preserve">Figure 6. Individual-level recovery: by condition, and item by item.</w:t>
      </w:r>
    </w:p>
    <w:p>
      <w:pPr>
        <w:pStyle w:val="Body"/>
      </w:pPr>
      <w:r>
        <w:t xml:space="preserve">Note. Panel (a): the median within-country correlation in each condition, with a bootstrap interval over country-item cells, against the demographic ceiling of 0.210. The conditions and the dagger are those of Figure 2(a), and the anchored arm is the 22-item batch of Section 4.2. Panel (b): the pooled within-country correlation for each of the 42 items, in the item order and on the scale of Figure 2(b), which is what makes the two series comparable.</w:t>
      </w:r>
    </w:p>
    <w:p>
      <w:pPr>
        <w:pStyle w:val="Body"/>
      </w:pPr>
      <w:r>
        <w:t xml:space="preserve">The two levels sit far apart. The pooled correlation lies between 0.64 and 0.83 across conditions while within-country recovery is near zero (Figures 2 and 6). The aggregate-individual dissociation is established for single-country designs. What is new is that it survives across 30 countries and that scale anchoring moves both levels together.</w:t>
      </w:r>
    </w:p>
    <w:p>
      <w:pPr>
        <w:pStyle w:val="Body"/>
      </w:pPr>
      <w:r>
        <w:t xml:space="preserve">Anchoring is the one manipulation that moves this level (Section 4.2). It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Distributional recovery is also limited. Under Qwen 1P the mean ratio of model to human standard deviations is 0.61, using the mean of the per-cell ratios. The median is 0.57 and the ratio of means 0.59, and all three fail the pre-declared 0.9–1.1 band. Llama 3P instead expands variance (1.41), showing that dispersion can fail in either direction. Aggregate rank correspondence therefore does not imply distributional recovery.</w:t>
      </w:r>
    </w:p>
    <w:p>
      <w:pPr>
        <w:pStyle w:val="Body"/>
      </w:pPr>
      <w:r>
        <w:t xml:space="preserve">Individual recovery is weak in every country. It is computed for each of the 1,260 country-item cells. Under Qwen 1P, mean </w:t>
      </w:r>
      <w:r>
        <w:rPr>
          <w:i/>
        </w:rPr>
        <w:t>r</w:t>
      </w:r>
      <w:r>
        <w:rPr>
          <w:i/>
          <w:vertAlign w:val="subscript"/>
        </w:rPr>
        <w:t>wc</w:t>
      </w:r>
      <w:r>
        <w:t xml:space="preserve"> is 0.027, with a standard deviation of 0.079. Of these, 826 are positive and 453 reach p &lt; 0.05. Even Israel, the highest country mean at 0.077, has less than 1% of individual variance explained. No country reaches a level that supports substantive individual inference.</w:t>
      </w:r>
    </w:p>
    <w:p>
      <w:pPr>
        <w:pStyle w:val="Body"/>
      </w:pPr>
      <w:r>
        <w:t xml:space="preserve">Recovery varies more by item than by country. Life satisfaction (0.146) and happiness (0.142) recover best, whereas feeling about household income (−0.148) and whether gay men and lesbians should be free to live as they wish (−0.085) are consistently negative. Eleven of the 42 items are negative at this level, the same count as at the aggregate level and largely the same items (Appendix Figure A4, and Table A3 by domain). That is the pattern a direction failure operating at both levels would produce. What is asked therefore matters more than which country is simulated.</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with a 90% confidence interval of [−0.49, 0.10]. Using range-normalized error in place of </w:t>
      </w:r>
      <w:r>
        <w:rPr>
          <w:i/>
        </w:rPr>
        <w:t>r</w:t>
      </w:r>
      <w:r>
        <w:rPr>
          <w:i/>
          <w:vertAlign w:val="subscript"/>
        </w:rPr>
        <w:t>prof</w:t>
      </w:r>
      <w:r>
        <w:t xml:space="preserve"> gives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pairwise, so counting is better than correlating: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Caption"/>
      </w:pPr>
      <w:r>
        <w:t xml:space="preserve">Figure 7. Aggregate against individual country rankings, Qwen 1P.</w:t>
      </w:r>
    </w:p>
    <w:p>
      <w:pPr>
        <w:pStyle w:val="Body"/>
      </w:pPr>
      <w:r>
        <w:t xml:space="preserve">Note. 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and 232 of the 435 country pairs reverse. Only Switzerland and Israel are drawn in black, because the text works through that pair. Every other country is drawn alike.</w:t>
      </w:r>
    </w:p>
    <w:p>
      <w:pPr>
        <w:pStyle w:val="H2"/>
      </w:pPr>
      <w:r>
        <w:t xml:space="preserve">4.4 Robustness checks</w:t>
      </w:r>
    </w:p>
    <w:p>
      <w:pPr>
        <w:pStyle w:val="Body"/>
      </w:pPr>
      <w:r>
        <w:t xml:space="preserve">Sixteen checks leave the conclusions where they stand, with one exception: parse coverage in the Llama third-person arm. Appendix Table A5 reports them all with the quantity each moves: the human benchmark (weighting, missingness, the country-mean frame), the investigator codings (item direction, item sets), estimator and aggregator choices, the comparator’s specification, parse coverage, and stability across runs and rounds. The exception is stated here, with the two checks that set the terms on which the others are read.</w:t>
      </w:r>
    </w:p>
    <w:p>
      <w:pPr>
        <w:pStyle w:val="Body"/>
      </w:pPr>
      <w:r>
        <w:t xml:space="preserve">The direction coding survives the checks that could undo it. It was fixed from the ESS codebook before any result was seen, and the same pattern appears in a second, independently trained model, where the cross-variable agreement is </w:t>
      </w:r>
      <w:r>
        <w:rPr>
          <w:i/>
        </w:rPr>
        <w:t>r</w:t>
      </w:r>
      <w:r>
        <w:t xml:space="preserve"> = 0.84.</w:t>
      </w:r>
    </w:p>
    <w:p>
      <w:pPr>
        <w:pStyle w:val="Body"/>
      </w:pPr>
      <w:r>
        <w:t xml:space="preserve">Run-to-run stability sets the band an effect has to clear.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The eight items beyond the band are led by the two the dispersion screen already declares uninterpretable. The band is kept at 0.060, which is the conservative choice.</w:t>
      </w:r>
    </w:p>
    <w:p>
      <w:pPr>
        <w:pStyle w:val="Body"/>
      </w:pPr>
      <w:r>
        <w:t xml:space="preserve">Parse coverage in the Llama third-person arm is the exception.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H1"/>
      </w:pPr>
      <w:r>
        <w:t xml:space="preserve">5 Discussion and Conclusion</w:t>
      </w:r>
    </w:p>
    <w:p>
      <w:pPr>
        <w:pStyle w:val="Body"/>
      </w:pPr>
      <w:r>
        <w:t xml:space="preserve">Read separately, the three findings look like three unrelated failures. The scale experiment shows they are not. Naming the two scale endpoints in words removes the item inversions, reverses the sign of the country-label effect on reverse-coded items, and triples individual-level recovery. One manipulation does all three. Two of the three main results therefore share a cause, and the cause lies in the measurement instrument. The third does not depend on it: the country label supplies most of the aggregate signal, richer profiles do not improve on it, and the two levels do not covary across countries.</w:t>
      </w:r>
    </w:p>
    <w:p>
      <w:pPr>
        <w:pStyle w:val="H2"/>
      </w:pPr>
      <w:r>
        <w:t xml:space="preserve">5.1 The country label acts as a group-level prior</w:t>
      </w:r>
    </w:p>
    <w:p>
      <w:pPr>
        <w:pStyle w:val="Body"/>
      </w:pPr>
      <w:r>
        <w:t xml:space="preserve">The country label carries the aggregate signal, and richer profiles do not improve on it (Section 4.2). A model that found respondent detail uninformative would show flat margins. The margins are negative, so the detail is used, and used badly.</w:t>
      </w:r>
    </w:p>
    <w:p>
      <w:pPr>
        <w:pStyle w:val="Body"/>
      </w:pPr>
      <w:r>
        <w:t xml:space="preserve">Identifiability does not explain the label’s contribution. If it were the mechanism, recovery would track it. Recovery instead varies widely among profiles that identify the country equally well, and the sparsest profile containing the country beats every richer one (Appendix, Country identifiability). The model treats the country as a group-level prior and respondent detail as noise around it. Almost none of the variation it produces within a country is respondent-specific: in a replicate arm 95% of the within-country variance is generation noise. The label is also what steers: replacing it with a wrong name costs the country the respondents came from.</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and Appendix, Concordance).</w:t>
      </w:r>
    </w:p>
    <w:p>
      <w:pPr>
        <w:pStyle w:val="Body"/>
      </w:pPr>
      <w:r>
        <w:t xml:space="preserve">Sensible cue use does not explain the pattern either. Country may be the most informative single cue available for these outcomes, so leaning on it could be cue use and not stereotype activation.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Country-conditioned differentiation is not equivalent to calibrated representation. Human national-character beliefs can be consensual yet unrelated to measured population traits (Terracciano et al., 2005), while LLM population simulations show uneven correspondence across countries (Durmus et al., 2023; Qu &amp; Wang, 2024). Even models fine-tuned to reproduce survey response distributions capture group-level patterns, not individual attitudes (Cao et al., 2025).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result separates matching a group-level pattern from simulating a population’s internal structure. Cultural-alignment research asks which national profiles models resemble (Durmus et al., 2023; Tao et al., 2024). Survey-simulation research asks whether conditioned outputs reproduce the target population (Bail, 2024; Bisbee et al., 2024). These results show that the first capacity can be present while the second is absent.</w:t>
      </w:r>
    </w:p>
    <w:p>
      <w:pPr>
        <w:pStyle w:val="H2"/>
      </w:pPr>
      <w:r>
        <w:t xml:space="preserve">5.2 Item-level failure is a property of the instrument</w:t>
      </w:r>
    </w:p>
    <w:p>
      <w:pPr>
        <w:pStyle w:val="Body"/>
      </w:pPr>
      <w:r>
        <w:t xml:space="preserve">High pooled correlations mask negative item-level country correlations by combining well-recovered and inverted items. In these data, high pooled and profile correlations coexist with eleven of the 42 items whose cross-national ordering is reversed, so a screening rule based on either would pass the battery unchanged. Item-level diagnostics are therefore necessary before pooled or profile metrics are used.</w:t>
      </w:r>
    </w:p>
    <w:p>
      <w:pPr>
        <w:pStyle w:val="Body"/>
      </w:pPr>
      <w:r>
        <w:t xml:space="preserve">The inversions are an instrument effect: the anchoring experiment of Section 4.2 removes them while holding the model, the respondents, and the items fixed. Prompt format is therefore part of the measurement instrument, and the instrument here was minimal by design, giving the model a bare numeric range where an ESS respondent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and only the anchored arm separates the two. This is a measurement-equivalence problem of the kind cross-national survey research already recognizes between human populations (King et al., 2004; Davidov et al., 2014), arising here between human and model. A validation has to report the response format it used, because the same model and the same items rank countries the other way round under another one.</w:t>
      </w:r>
    </w:p>
    <w:p>
      <w:pPr>
        <w:pStyle w:val="Body"/>
      </w:pPr>
      <w:r>
        <w:t xml:space="preserve">Direction accounts for two thirds of the variance in item-level recovery, and the remaining third has a pattern of its own. Institutional trust and subjective well-being recover best, while items about a respondent’s own circumstances (income, health, safety) invert. One reading, offered after the fact,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5.3). How safe a respondent feels walking home after dark has no comparable public ordering. The reading fits the group-level prior, and it predicts which items a country cue can carry: those already discussed at country level. Consistent with this, among forward-coded items recovery rises with the size of the true cross-national differences (</w:t>
      </w:r>
      <w:r>
        <w:rPr>
          <w:i/>
        </w:rPr>
        <w:t>r</w:t>
      </w:r>
      <w:r>
        <w:t xml:space="preserve"> = 0.46, p = 0.012 across the 29 items).</w:t>
      </w:r>
    </w:p>
    <w:p>
      <w:pPr>
        <w:pStyle w:val="H2"/>
      </w:pPr>
      <w:r>
        <w:t xml:space="preserve">5.3 Aggregate and individual recovery are different validity claims</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sociodemographic prompting alone does not reliably improve subjective judgment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the third constraint and the cheapest to change, and Section 5.2 shows it moves both levels at once.</w:t>
      </w:r>
    </w:p>
    <w:p>
      <w:pPr>
        <w:pStyle w:val="Body"/>
      </w:pPr>
      <w:r>
        <w:t xml:space="preserve">A coverage account cannot absorb these results.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One predicts each country’s item mean by the leave-one-out average of its regional neighbors, using no model at all. It gives a median </w:t>
      </w:r>
      <w:r>
        <w:rPr>
          <w:i/>
        </w:rPr>
        <w:t>r</w:t>
      </w:r>
      <w:r>
        <w:rPr>
          <w:i/>
          <w:vertAlign w:val="subscript"/>
        </w:rPr>
        <w:t>bc</w:t>
      </w:r>
      <w:r>
        <w:t xml:space="preserve"> of 0.55 against the model’s 0.44, and a median normalized error of 0.056 against 0.180. The regional average wins on level accuracy for 41 of 42 items. Adding log GDP per capita to region dummies raises the comparator to 0.62 and 0.052. Both comparators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may still support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three contributions are empirical, methodological, and practical. The empirical one is the evaluation itself: item-level country rankings, within-country individual recovery, and the country label’s incremental contribution, measured for the first time on the same matched respondents, items, and prompts. What it finds is a group-level prior: the label carries the aggregate signal, no richer profile improves on it, and none of it reaches the individual level. The methodological one is to make those readings testable. Each backstory block is observed at the two margins that bound its contribution, so no ordering of additions can be chosen after the fact. A falsification arm replaces the country name, to test whether the cue is specific to the country named. A 2 × 2 experiment crosses the country label with the response format, which turns the item inversions from an interpretation into a result. Recovery is reported item by item against a measured run-to-run floor. A pooled correlation would have hidden the inverted items. The practical one is a standard of adequacy. Recovery is judged against predictors that use no model at all and that a researcher who holds survey data already has, and on these items the regional average wins. A validation licenses only the estimand it tested: aggregate rank comparison after item-level validation, and no claim at the individual or distributional level.</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 Third, the no-country arm still carries country information in the composition of harmonized categories, where a classifier recovers the country 28.7% of the time against a 3.3% baseline, so its 0.34 median recovery bounds what composition achieves without a country name, and the arm is not a zero-information control. Fourth, the scale experiment uses Qwen 1P only, and no experiment here separates calibrated country knowledge from stereotype activation. Fifth, the Llama third-person arm lost 24% of scheduled responses to a format-compliance failure, which bounds what that arm can show (Appendix, Parse failures).</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This design has one replicate pair. Beyond the limitations, the quantities a user needs are multivariate structure and subgroup calibration, each judged against the estimand-specific criteria above.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documents metric definitions, aggregate robustness checks, variable and prompt documentation, leakage checks, and domain-, item-, model-, and prompt-level diagnostics.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Caption"/>
      </w:pPr>
      <w:r>
        <w:t xml:space="preserve">Table A1. 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Body"/>
      </w:pPr>
      <w:r>
        <w:t xml:space="preserve">Note. Scale is the numeric range supplied to the model, with no verbal endpoints except in the three social trust questions. Domain is the grouping used in the domain-level analyses.</w:t>
      </w:r>
    </w:p>
    <w:p>
      <w:pPr>
        <w:pStyle w:val="H3"/>
      </w:pPr>
      <w:r>
        <w:t xml:space="preserve">Example prompt (abbreviated)</w:t>
      </w:r>
    </w:p>
    <w:p>
      <w:pPr>
        <w:pStyle w:val="Body"/>
      </w:pPr>
      <w:r>
        <w:t xml:space="preserve">The abbreviated example illustrates the first-person framing. It is reproduced as the model received it, including the scale line, which states the numeric range and names no endpoint.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H3"/>
      </w:pPr>
      <w:r>
        <w:t xml:space="preserve">Scale: 0-10</w:t>
      </w:r>
    </w:p>
    <w:p>
      <w:pPr>
        <w:pStyle w:val="Body"/>
      </w:pPr>
      <w:r>
        <w:t xml:space="preserve">Respond with ONLY a single number within the scale range. No explanation.</w:t>
      </w:r>
    </w:p>
    <w:p>
      <w:pPr>
        <w:pStyle w:val="Body"/>
      </w:pPr>
      <w:r>
        <w:t xml:space="preserve">Table A2 shows how removing leaked outcome information changes the seven affected items. Its final column distinguishes direct echoes from attenuated inverse mappings.</w:t>
      </w:r>
    </w:p>
    <w:p>
      <w:pPr>
        <w:pStyle w:val="Caption"/>
      </w:pPr>
      <w:r>
        <w:t xml:space="preserve">Table A2. Backstory leakage for the seven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71"/>
        <w:gridCol w:w="1660"/>
        <w:gridCol w:w="1630"/>
        <w:gridCol w:w="1541"/>
        <w:gridCol w:w="2670"/>
      </w:tblGrid>
      <w:tr>
        <w:tc>
          <w:tcPr>
            <w:tcW w:w="1571" w:type="dxa"/>
            <w:tcBorders>
              <w:bottom w:val="single" w:sz="8" w:space="0" w:color="000000"/>
            </w:tcBorders>
          </w:tcPr>
          <w:p>
            <w:pPr>
              <w:pStyle w:val="Cell"/>
            </w:pPr>
            <w:r>
              <w:rPr>
                <w:b/>
              </w:rPr>
              <w:t xml:space="preserve">Variable</w:t>
            </w:r>
          </w:p>
        </w:tc>
        <w:tc>
          <w:tcPr>
            <w:tcW w:w="1660" w:type="dxa"/>
            <w:tcBorders>
              <w:bottom w:val="single" w:sz="8" w:space="0" w:color="000000"/>
            </w:tcBorders>
          </w:tcPr>
          <w:p>
            <w:pPr>
              <w:pStyle w:val="Cell"/>
            </w:pPr>
            <w:r>
              <w:rPr>
                <w:b/>
              </w:rPr>
              <w:t xml:space="preserve">pooled r (leaked)</w:t>
            </w:r>
          </w:p>
        </w:tc>
        <w:tc>
          <w:tcPr>
            <w:tcW w:w="1630" w:type="dxa"/>
            <w:tcBorders>
              <w:bottom w:val="single" w:sz="8" w:space="0" w:color="000000"/>
            </w:tcBorders>
          </w:tcPr>
          <w:p>
            <w:pPr>
              <w:pStyle w:val="Cell"/>
            </w:pPr>
            <w:r>
              <w:rPr>
                <w:b/>
              </w:rPr>
              <w:t xml:space="preserve">pooled r (clean)</w:t>
            </w:r>
          </w:p>
        </w:tc>
        <w:tc>
          <w:tcPr>
            <w:tcW w:w="1541" w:type="dxa"/>
            <w:tcBorders>
              <w:bottom w:val="single" w:sz="8" w:space="0" w:color="000000"/>
            </w:tcBorders>
          </w:tcPr>
          <w:p>
            <w:pPr>
              <w:pStyle w:val="Cell"/>
            </w:pPr>
            <w:r>
              <w:rPr>
                <w:b/>
              </w:rPr>
              <w:t xml:space="preserve">Difference</w:t>
            </w:r>
          </w:p>
        </w:tc>
        <w:tc>
          <w:tcPr>
            <w:tcW w:w="2670" w:type="dxa"/>
            <w:tcBorders>
              <w:bottom w:val="single" w:sz="8" w:space="0" w:color="000000"/>
            </w:tcBorders>
          </w:tcPr>
          <w:p>
            <w:pPr>
              <w:pStyle w:val="Cell"/>
            </w:pPr>
            <w:r>
              <w:rPr>
                <w:b/>
              </w:rPr>
              <w:t xml:space="preserve">Interpretation</w:t>
            </w:r>
          </w:p>
        </w:tc>
      </w:tr>
      <w:tr>
        <w:tc>
          <w:tcPr>
            <w:tcW w:w="1571" w:type="dxa"/>
          </w:tcPr>
          <w:p>
            <w:pPr>
              <w:pStyle w:val="Cell"/>
            </w:pPr>
            <w:r>
              <w:t xml:space="preserve">inprdsc</w:t>
            </w:r>
          </w:p>
        </w:tc>
        <w:tc>
          <w:tcPr>
            <w:tcW w:w="1660" w:type="dxa"/>
          </w:tcPr>
          <w:p>
            <w:pPr>
              <w:pStyle w:val="Cell"/>
            </w:pPr>
            <w:r>
              <w:t xml:space="preserve">0.854</w:t>
            </w:r>
          </w:p>
        </w:tc>
        <w:tc>
          <w:tcPr>
            <w:tcW w:w="1630" w:type="dxa"/>
          </w:tcPr>
          <w:p>
            <w:pPr>
              <w:pStyle w:val="Cell"/>
            </w:pPr>
            <w:r>
              <w:t xml:space="preserve">0.038</w:t>
            </w:r>
          </w:p>
        </w:tc>
        <w:tc>
          <w:tcPr>
            <w:tcW w:w="1541" w:type="dxa"/>
          </w:tcPr>
          <w:p>
            <w:pPr>
              <w:pStyle w:val="Cell"/>
            </w:pPr>
            <w:r>
              <w:t xml:space="preserve">−0.817</w:t>
            </w:r>
          </w:p>
        </w:tc>
        <w:tc>
          <w:tcPr>
            <w:tcW w:w="2670" w:type="dxa"/>
          </w:tcPr>
          <w:p>
            <w:pPr>
              <w:pStyle w:val="Cell"/>
            </w:pPr>
            <w:r>
              <w:t xml:space="preserve">Echo removed</w:t>
            </w:r>
          </w:p>
        </w:tc>
      </w:tr>
      <w:tr>
        <w:tc>
          <w:tcPr>
            <w:tcW w:w="1571" w:type="dxa"/>
          </w:tcPr>
          <w:p>
            <w:pPr>
              <w:pStyle w:val="Cell"/>
            </w:pPr>
            <w:r>
              <w:t xml:space="preserve">sclmeet</w:t>
            </w:r>
          </w:p>
        </w:tc>
        <w:tc>
          <w:tcPr>
            <w:tcW w:w="1660" w:type="dxa"/>
          </w:tcPr>
          <w:p>
            <w:pPr>
              <w:pStyle w:val="Cell"/>
            </w:pPr>
            <w:r>
              <w:t xml:space="preserve">0.291</w:t>
            </w:r>
          </w:p>
        </w:tc>
        <w:tc>
          <w:tcPr>
            <w:tcW w:w="1630" w:type="dxa"/>
          </w:tcPr>
          <w:p>
            <w:pPr>
              <w:pStyle w:val="Cell"/>
            </w:pPr>
            <w:r>
              <w:t xml:space="preserve">0.035</w:t>
            </w:r>
          </w:p>
        </w:tc>
        <w:tc>
          <w:tcPr>
            <w:tcW w:w="1541" w:type="dxa"/>
          </w:tcPr>
          <w:p>
            <w:pPr>
              <w:pStyle w:val="Cell"/>
            </w:pPr>
            <w:r>
              <w:t xml:space="preserve">−0.256</w:t>
            </w:r>
          </w:p>
        </w:tc>
        <w:tc>
          <w:tcPr>
            <w:tcW w:w="2670" w:type="dxa"/>
          </w:tcPr>
          <w:p>
            <w:pPr>
              <w:pStyle w:val="Cell"/>
            </w:pPr>
            <w:r>
              <w:t xml:space="preserve">Echo removed</w:t>
            </w:r>
          </w:p>
        </w:tc>
      </w:tr>
      <w:tr>
        <w:tc>
          <w:tcPr>
            <w:tcW w:w="1571" w:type="dxa"/>
          </w:tcPr>
          <w:p>
            <w:pPr>
              <w:pStyle w:val="Cell"/>
            </w:pPr>
            <w:r>
              <w:t xml:space="preserve">vote</w:t>
            </w:r>
          </w:p>
        </w:tc>
        <w:tc>
          <w:tcPr>
            <w:tcW w:w="1660" w:type="dxa"/>
          </w:tcPr>
          <w:p>
            <w:pPr>
              <w:pStyle w:val="Cell"/>
            </w:pPr>
            <w:r>
              <w:t xml:space="preserve">0.142</w:t>
            </w:r>
          </w:p>
        </w:tc>
        <w:tc>
          <w:tcPr>
            <w:tcW w:w="1630" w:type="dxa"/>
          </w:tcPr>
          <w:p>
            <w:pPr>
              <w:pStyle w:val="Cell"/>
            </w:pPr>
            <w:r>
              <w:t xml:space="preserve">−0.037</w:t>
            </w:r>
          </w:p>
        </w:tc>
        <w:tc>
          <w:tcPr>
            <w:tcW w:w="1541" w:type="dxa"/>
          </w:tcPr>
          <w:p>
            <w:pPr>
              <w:pStyle w:val="Cell"/>
            </w:pPr>
            <w:r>
              <w:t xml:space="preserve">−0.179</w:t>
            </w:r>
          </w:p>
        </w:tc>
        <w:tc>
          <w:tcPr>
            <w:tcW w:w="2670" w:type="dxa"/>
          </w:tcPr>
          <w:p>
            <w:pPr>
              <w:pStyle w:val="Cell"/>
            </w:pPr>
            <w:r>
              <w:t xml:space="preserve">Echo removed</w:t>
            </w:r>
          </w:p>
        </w:tc>
      </w:tr>
      <w:tr>
        <w:tc>
          <w:tcPr>
            <w:tcW w:w="1571" w:type="dxa"/>
          </w:tcPr>
          <w:p>
            <w:pPr>
              <w:pStyle w:val="Cell"/>
            </w:pPr>
            <w:r>
              <w:t xml:space="preserve">hincfel</w:t>
            </w:r>
          </w:p>
        </w:tc>
        <w:tc>
          <w:tcPr>
            <w:tcW w:w="1660" w:type="dxa"/>
          </w:tcPr>
          <w:p>
            <w:pPr>
              <w:pStyle w:val="Cell"/>
            </w:pPr>
            <w:r>
              <w:t xml:space="preserve">−0.184</w:t>
            </w:r>
          </w:p>
        </w:tc>
        <w:tc>
          <w:tcPr>
            <w:tcW w:w="1630" w:type="dxa"/>
          </w:tcPr>
          <w:p>
            <w:pPr>
              <w:pStyle w:val="Cell"/>
            </w:pPr>
            <w:r>
              <w:t xml:space="preserve">−0.164</w:t>
            </w:r>
          </w:p>
        </w:tc>
        <w:tc>
          <w:tcPr>
            <w:tcW w:w="1541" w:type="dxa"/>
          </w:tcPr>
          <w:p>
            <w:pPr>
              <w:pStyle w:val="Cell"/>
            </w:pPr>
            <w:r>
              <w:t xml:space="preserve">+0.020</w:t>
            </w:r>
          </w:p>
        </w:tc>
        <w:tc>
          <w:tcPr>
            <w:tcW w:w="2670" w:type="dxa"/>
          </w:tcPr>
          <w:p>
            <w:pPr>
              <w:pStyle w:val="Cell"/>
            </w:pPr>
            <w:r>
              <w:t xml:space="preserve">Attenuated</w:t>
            </w:r>
          </w:p>
        </w:tc>
      </w:tr>
      <w:tr>
        <w:tc>
          <w:tcPr>
            <w:tcW w:w="1571" w:type="dxa"/>
          </w:tcPr>
          <w:p>
            <w:pPr>
              <w:pStyle w:val="Cell"/>
            </w:pPr>
            <w:r>
              <w:t xml:space="preserve">health</w:t>
            </w:r>
          </w:p>
        </w:tc>
        <w:tc>
          <w:tcPr>
            <w:tcW w:w="1660" w:type="dxa"/>
          </w:tcPr>
          <w:p>
            <w:pPr>
              <w:pStyle w:val="Cell"/>
            </w:pPr>
            <w:r>
              <w:t xml:space="preserve">−0.327</w:t>
            </w:r>
          </w:p>
        </w:tc>
        <w:tc>
          <w:tcPr>
            <w:tcW w:w="1630" w:type="dxa"/>
          </w:tcPr>
          <w:p>
            <w:pPr>
              <w:pStyle w:val="Cell"/>
            </w:pPr>
            <w:r>
              <w:t xml:space="preserve">−0.093</w:t>
            </w:r>
          </w:p>
        </w:tc>
        <w:tc>
          <w:tcPr>
            <w:tcW w:w="1541" w:type="dxa"/>
          </w:tcPr>
          <w:p>
            <w:pPr>
              <w:pStyle w:val="Cell"/>
            </w:pPr>
            <w:r>
              <w:t xml:space="preserve">+0.234</w:t>
            </w:r>
          </w:p>
        </w:tc>
        <w:tc>
          <w:tcPr>
            <w:tcW w:w="2670" w:type="dxa"/>
          </w:tcPr>
          <w:p>
            <w:pPr>
              <w:pStyle w:val="Cell"/>
            </w:pPr>
            <w:r>
              <w:t xml:space="preserve">Attenuated</w:t>
            </w:r>
          </w:p>
        </w:tc>
      </w:tr>
      <w:tr>
        <w:tc>
          <w:tcPr>
            <w:tcW w:w="1571" w:type="dxa"/>
          </w:tcPr>
          <w:p>
            <w:pPr>
              <w:pStyle w:val="Cell"/>
            </w:pPr>
            <w:r>
              <w:t xml:space="preserve">rlgatnd</w:t>
            </w:r>
          </w:p>
        </w:tc>
        <w:tc>
          <w:tcPr>
            <w:tcW w:w="1660" w:type="dxa"/>
          </w:tcPr>
          <w:p>
            <w:pPr>
              <w:pStyle w:val="Cell"/>
            </w:pPr>
            <w:r>
              <w:t xml:space="preserve">−0.371</w:t>
            </w:r>
          </w:p>
        </w:tc>
        <w:tc>
          <w:tcPr>
            <w:tcW w:w="1630" w:type="dxa"/>
          </w:tcPr>
          <w:p>
            <w:pPr>
              <w:pStyle w:val="Cell"/>
            </w:pPr>
            <w:r>
              <w:t xml:space="preserve">0.014</w:t>
            </w:r>
          </w:p>
        </w:tc>
        <w:tc>
          <w:tcPr>
            <w:tcW w:w="1541" w:type="dxa"/>
          </w:tcPr>
          <w:p>
            <w:pPr>
              <w:pStyle w:val="Cell"/>
            </w:pPr>
            <w:r>
              <w:t xml:space="preserve">+0.385</w:t>
            </w:r>
          </w:p>
        </w:tc>
        <w:tc>
          <w:tcPr>
            <w:tcW w:w="2670" w:type="dxa"/>
          </w:tcPr>
          <w:p>
            <w:pPr>
              <w:pStyle w:val="Cell"/>
            </w:pPr>
            <w:r>
              <w:t xml:space="preserve">Attenuated</w:t>
            </w:r>
          </w:p>
        </w:tc>
      </w:tr>
      <w:tr>
        <w:tc>
          <w:tcPr>
            <w:tcW w:w="1571" w:type="dxa"/>
          </w:tcPr>
          <w:p>
            <w:pPr>
              <w:pStyle w:val="Cell"/>
            </w:pPr>
            <w:r>
              <w:t xml:space="preserve">polintr</w:t>
            </w:r>
          </w:p>
        </w:tc>
        <w:tc>
          <w:tcPr>
            <w:tcW w:w="1660" w:type="dxa"/>
          </w:tcPr>
          <w:p>
            <w:pPr>
              <w:pStyle w:val="Cell"/>
            </w:pPr>
            <w:r>
              <w:t xml:space="preserve">−0.265</w:t>
            </w:r>
          </w:p>
        </w:tc>
        <w:tc>
          <w:tcPr>
            <w:tcW w:w="1630" w:type="dxa"/>
          </w:tcPr>
          <w:p>
            <w:pPr>
              <w:pStyle w:val="Cell"/>
            </w:pPr>
            <w:r>
              <w:t xml:space="preserve">−0.092</w:t>
            </w:r>
          </w:p>
        </w:tc>
        <w:tc>
          <w:tcPr>
            <w:tcW w:w="1541" w:type="dxa"/>
          </w:tcPr>
          <w:p>
            <w:pPr>
              <w:pStyle w:val="Cell"/>
            </w:pPr>
            <w:r>
              <w:t xml:space="preserve">+0.173</w:t>
            </w:r>
          </w:p>
        </w:tc>
        <w:tc>
          <w:tcPr>
            <w:tcW w:w="2670" w:type="dxa"/>
          </w:tcPr>
          <w:p>
            <w:pPr>
              <w:pStyle w:val="Cell"/>
            </w:pPr>
            <w:r>
              <w:t xml:space="preserve">Attenuated</w:t>
            </w:r>
          </w:p>
        </w:tc>
      </w:tr>
    </w:tbl>
    <w:p>
      <w:pPr>
        <w:pStyle w:val="Body"/>
      </w:pPr>
      <w:r>
        <w:t xml:space="preserve">Note. “Echo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pooled individual correlation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3"/>
      </w:pPr>
      <w:r>
        <w:t xml:space="preserve">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a correlation across all respondents. Because pooling respondents combines within-country correspondence with between-country covariance, it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Body"/>
      </w:pPr>
      <w:r>
        <w:t xml:space="preserve">Figure A1 reports the full per-item country-level recovery that Figure 2(b) shows unlabeled.</w:t>
      </w:r>
    </w:p>
    <w:p>
      <w:pPr>
        <w:pStyle w:val="Fig"/>
      </w:pPr>
      <w:r>
        <w:drawing>
          <wp:inline distT="0" distB="0" distL="0" distR="0">
            <wp:extent cx="5760720" cy="605972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059728"/>
                    </a:xfrm>
                    <a:prstGeom prst="rect">
                      <a:avLst/>
                    </a:prstGeom>
                  </pic:spPr>
                </pic:pic>
              </a:graphicData>
            </a:graphic>
          </wp:inline>
        </w:drawing>
      </w:r>
    </w:p>
    <w:p>
      <w:pPr>
        <w:pStyle w:val="Caption"/>
      </w:pPr>
      <w:r>
        <w:t xml:space="preserve">Figure A1. Per-item country-level recovery: </w:t>
      </w:r>
      <w:r>
        <w:rPr>
          <w:i/>
        </w:rPr>
        <w:t>r</w:t>
      </w:r>
      <w:r>
        <w:rPr>
          <w:i/>
          <w:vertAlign w:val="subscript"/>
        </w:rPr>
        <w:t>bc</w:t>
      </w:r>
      <w:r>
        <w:t xml:space="preserve"> for all 42 ESS items under Qwen 1P, ranked from most positive to most negative.</w:t>
      </w:r>
    </w:p>
    <w:p>
      <w:pPr>
        <w:pStyle w:val="Body"/>
      </w:pPr>
      <w:r>
        <w:t xml:space="preserve">Note. Circles are forward-coded items and squares reverse-coded, as in Figure 2(b), which shows the same series without labels.</w:t>
      </w:r>
    </w:p>
    <w:p>
      <w:pPr>
        <w:pStyle w:val="Body"/>
      </w:pPr>
      <w:r>
        <w:t xml:space="preserve">Item-level recovery can reflect either an accurate country ordering or a systematic inversion, while compressing cross-national differences in both cases. Figure A2 is the one place a reader sees both directly, and the compression it shows is what the concordance coefficient below puts a number on. For trust in police (trstplc, </w:t>
      </w:r>
      <w:r>
        <w:rPr>
          <w:i/>
        </w:rPr>
        <w:t>r</w:t>
      </w:r>
      <w:r>
        <w:rPr>
          <w:i/>
          <w:vertAlign w:val="subscript"/>
        </w:rPr>
        <w:t>bc</w:t>
      </w:r>
      <w:r>
        <w:t xml:space="preserve"> = 0.82), the model largely preserves the human country ranking. For attitudes toward homosexuality (freehms, </w:t>
      </w:r>
      <w:r>
        <w:rPr>
          <w:i/>
        </w:rPr>
        <w:t>r</w:t>
      </w:r>
      <w:r>
        <w:rPr>
          <w:i/>
          <w:vertAlign w:val="subscript"/>
        </w:rPr>
        <w:t>bc</w:t>
      </w:r>
      <w:r>
        <w:t xml:space="preserve"> = −0.82), it compresses scores into a narrow band and reverses the ordering.</w:t>
      </w:r>
    </w:p>
    <w:p>
      <w:pPr>
        <w:pStyle w:val="Fig"/>
      </w:pPr>
      <w:r>
        <w:drawing>
          <wp:inline distT="0" distB="0" distL="0" distR="0">
            <wp:extent cx="5760720" cy="3021582"/>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1582"/>
                    </a:xfrm>
                    <a:prstGeom prst="rect">
                      <a:avLst/>
                    </a:prstGeom>
                  </pic:spPr>
                </pic:pic>
              </a:graphicData>
            </a:graphic>
          </wp:inline>
        </w:drawing>
      </w:r>
    </w:p>
    <w:p>
      <w:pPr>
        <w:pStyle w:val="Caption"/>
      </w:pPr>
      <w:r>
        <w:t xml:space="preserve">Figure A2. Country-level scatter for two contrasting items, Qwen 1P.</w:t>
      </w:r>
    </w:p>
    <w:p>
      <w:pPr>
        <w:pStyle w:val="Body"/>
      </w:pPr>
      <w:r>
        <w:t xml:space="preserve">Note. 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least-squares fits, and dotted lines show the 45-degree reference for perfect recovery.</w:t>
      </w:r>
    </w:p>
    <w:p>
      <w:pPr>
        <w:pStyle w:val="H3"/>
      </w:pPr>
      <w:r>
        <w:t xml:space="preserve">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r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w:t>
      </w:r>
      <w:r>
        <w:rPr>
          <w:i/>
        </w:rPr>
        <w:t>r</w:t>
      </w:r>
      <w:r>
        <w:t xml:space="preserve">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Eleven of 42 items have negative concordance, which is worse than no agreement at all.</w:t>
      </w:r>
    </w:p>
    <w:p>
      <w:pPr>
        <w:pStyle w:val="Body"/>
      </w:pPr>
      <w:r>
        <w:t xml:space="preserve">Figure A3 reports the country-label contrast item by item, the per-item form of the block effect in Figure 4.</w:t>
      </w:r>
    </w:p>
    <w:p>
      <w:pPr>
        <w:pStyle w:val="Fig"/>
      </w:pPr>
      <w:r>
        <w:drawing>
          <wp:inline distT="0" distB="0" distL="0" distR="0">
            <wp:extent cx="5628146" cy="6766560"/>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628146" cy="6766560"/>
                    </a:xfrm>
                    <a:prstGeom prst="rect">
                      <a:avLst/>
                    </a:prstGeom>
                  </pic:spPr>
                </pic:pic>
              </a:graphicData>
            </a:graphic>
          </wp:inline>
        </w:drawing>
      </w:r>
    </w:p>
    <w:p>
      <w:pPr>
        <w:pStyle w:val="Caption"/>
      </w:pPr>
      <w:r>
        <w:t xml:space="preserve">Figure A3. The country-label contrast, item by item, Qwen 1P.</w:t>
      </w:r>
    </w:p>
    <w:p>
      <w:pPr>
        <w:pStyle w:val="Body"/>
      </w:pPr>
      <w:r>
        <w:t xml:space="preserve">Note. The change in </w:t>
      </w:r>
      <w:r>
        <w:rPr>
          <w:i/>
        </w:rPr>
        <w:t>r</w:t>
      </w:r>
      <w:r>
        <w:rPr>
          <w:i/>
          <w:vertAlign w:val="subscript"/>
        </w:rPr>
        <w:t>bc</w:t>
      </w:r>
      <w:r>
        <w:t xml:space="preserve"> (Fisher z) for each of the 42 items when the country sentence is present in an otherwise identical rich profile, the contrast Figure 4 summarizes as one bar. Items are ranked within wording direction. The shaded band is run-to-run noise.</w:t>
      </w:r>
    </w:p>
    <w:p>
      <w:pPr>
        <w:pStyle w:val="H3"/>
      </w:pPr>
      <w:r>
        <w:t xml:space="preserve">Block ablations</w:t>
      </w:r>
    </w:p>
    <w:p>
      <w:pPr>
        <w:pStyle w:val="Body"/>
      </w:pPr>
      <w:r>
        <w:t xml:space="preserve">Every block of the 20-variable partition is observed at two margins, added alone to the sparse base plus the label and removed alone from the full profile, on the same respondents throughout,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point the same way but fall inside the noise floor, so they are reported as negligible. Across the remaining blocks the largest forward margin in either direction is +0.09, the union and internet block, and the single-variable arms attribute it to internet use. Per-block and per-item margins ship with the Figure 4 data.</w:t>
      </w:r>
    </w:p>
    <w:p>
      <w:pPr>
        <w:pStyle w:val="H3"/>
      </w:pPr>
      <w:r>
        <w:t xml:space="preserve">Country identifiability</w:t>
      </w:r>
    </w:p>
    <w:p>
      <w:pPr>
        <w:pStyle w:val="Body"/>
      </w:pPr>
      <w:r>
        <w:t xml:space="preserve">A multinomial classifier was trained to recover the country from the rendered backstory text of each of the ten variants, with a majority-class baseline of 3.33%. Eight of the ten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3"/>
      </w:pPr>
      <w:r>
        <w:t xml:space="preserve">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 The failure is not attributable to an absence of demographic signal in the human data.</w:t>
      </w:r>
    </w:p>
    <w:p>
      <w:pPr>
        <w:pStyle w:val="Body"/>
      </w:pPr>
      <w:r>
        <w:t xml:space="preserve">Table A3 breaks individual-level recovery down by domain. Political efficacy, institutional trust, and subjective well-being recover best, while income, health, and safety are negative. The largest domain mean in any condition is 0.125, against the demographic ceiling of 0.210 in Section 3.5, so no domain reaches even two thirds of what a demographic profile could deliver. A table is the display because the object is 12 domains by four conditions.</w:t>
      </w:r>
    </w:p>
    <w:p>
      <w:pPr>
        <w:pStyle w:val="Caption"/>
      </w:pPr>
      <w:r>
        <w:t xml:space="preserve">Table A3. 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Body"/>
      </w:pPr>
      <w:r>
        <w:t xml:space="preserve">Note. Each cell is the mean within-country correlation over the items in that domain. The demographic ceiling for comparison is 0.210 (Section 3.5).</w:t>
      </w:r>
    </w:p>
    <w:p>
      <w:pPr>
        <w:pStyle w:val="Body"/>
      </w:pPr>
      <w:r>
        <w:t xml:space="preserve">Eleven of 42 items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A4).</w:t>
      </w:r>
    </w:p>
    <w:p>
      <w:pPr>
        <w:pStyle w:val="Body"/>
      </w:pPr>
      <w:r>
        <w:t xml:space="preserve">Figure A4 reports the full per-item individual-level recovery, the individual-level counterpart of Figure A1.</w:t>
      </w:r>
    </w:p>
    <w:p>
      <w:pPr>
        <w:pStyle w:val="Fig"/>
      </w:pPr>
      <w:r>
        <w:drawing>
          <wp:inline distT="0" distB="0" distL="0" distR="0">
            <wp:extent cx="5760720" cy="616841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760720" cy="6168410"/>
                    </a:xfrm>
                    <a:prstGeom prst="rect">
                      <a:avLst/>
                    </a:prstGeom>
                  </pic:spPr>
                </pic:pic>
              </a:graphicData>
            </a:graphic>
          </wp:inline>
        </w:drawing>
      </w:r>
    </w:p>
    <w:p>
      <w:pPr>
        <w:pStyle w:val="Caption"/>
      </w:pPr>
      <w:r>
        <w:t xml:space="preserve">Figure A4. Per-item individual-level recovery: mean within-country </w:t>
      </w:r>
      <w:r>
        <w:rPr>
          <w:i/>
        </w:rPr>
        <w:t>r</w:t>
      </w:r>
      <w:r>
        <w:rPr>
          <w:i/>
          <w:vertAlign w:val="subscript"/>
        </w:rPr>
        <w:t>wc</w:t>
      </w:r>
      <w:r>
        <w:t xml:space="preserve"> for all 42 ESS items under Qwen 1P, ranked from most positive to most negative.</w:t>
      </w:r>
    </w:p>
    <w:p>
      <w:pPr>
        <w:pStyle w:val="Body"/>
      </w:pPr>
      <w:r>
        <w:t xml:space="preserve">Note. The individual-level counterpart of Figure A1, ranked on its own values. Figure 6(b) shows the same quantity in the aggregate item order.</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 The Qwen-Llama gap survives the four-test Bonferroni correction under first-person framing and falls short under third-person framing.</w:t>
      </w:r>
    </w:p>
    <w:p>
      <w:pPr>
        <w:pStyle w:val="Caption"/>
      </w:pPr>
      <w:r>
        <w:t xml:space="preserve">Table A4. Paired t-tests for model and prompt comparisons on the per-item mean </w:t>
      </w:r>
      <w:r>
        <w:rPr>
          <w:i/>
        </w:rPr>
        <w:t>r</w:t>
      </w:r>
      <w:r>
        <w:rPr>
          <w:i/>
          <w:vertAlign w:val="subscript"/>
        </w:rPr>
        <w:t>wc</w:t>
      </w:r>
      <w:r>
        <w:t xml:space="preserve">, N = 42 items.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881"/>
        <w:gridCol w:w="1065"/>
        <w:gridCol w:w="1065"/>
        <w:gridCol w:w="1105"/>
        <w:gridCol w:w="1184"/>
        <w:gridCol w:w="884"/>
        <w:gridCol w:w="888"/>
      </w:tblGrid>
      <w:tr>
        <w:tc>
          <w:tcPr>
            <w:tcW w:w="2881" w:type="dxa"/>
            <w:tcBorders>
              <w:bottom w:val="single" w:sz="8" w:space="0" w:color="000000"/>
            </w:tcBorders>
          </w:tcPr>
          <w:p>
            <w:pPr>
              <w:pStyle w:val="Cell"/>
            </w:pPr>
            <w:r>
              <w:rPr>
                <w:b/>
              </w:rPr>
              <w:t xml:space="preserve">Comparison</w:t>
            </w:r>
          </w:p>
        </w:tc>
        <w:tc>
          <w:tcPr>
            <w:tcW w:w="1065" w:type="dxa"/>
            <w:tcBorders>
              <w:bottom w:val="single" w:sz="8" w:space="0" w:color="000000"/>
            </w:tcBorders>
          </w:tcPr>
          <w:p>
            <w:pPr>
              <w:pStyle w:val="Cell"/>
            </w:pPr>
            <w:r>
              <w:rPr>
                <w:b/>
              </w:rPr>
              <w:t xml:space="preserve">rwc (A)</w:t>
            </w:r>
          </w:p>
        </w:tc>
        <w:tc>
          <w:tcPr>
            <w:tcW w:w="1065" w:type="dxa"/>
            <w:tcBorders>
              <w:bottom w:val="single" w:sz="8" w:space="0" w:color="000000"/>
            </w:tcBorders>
          </w:tcPr>
          <w:p>
            <w:pPr>
              <w:pStyle w:val="Cell"/>
            </w:pPr>
            <w:r>
              <w:rPr>
                <w:b/>
              </w:rPr>
              <w:t xml:space="preserve">rwc (B)</w:t>
            </w:r>
          </w:p>
        </w:tc>
        <w:tc>
          <w:tcPr>
            <w:tcW w:w="1105" w:type="dxa"/>
            <w:tcBorders>
              <w:bottom w:val="single" w:sz="8" w:space="0" w:color="000000"/>
            </w:tcBorders>
          </w:tcPr>
          <w:p>
            <w:pPr>
              <w:pStyle w:val="Cell"/>
            </w:pPr>
            <w:r>
              <w:rPr>
                <w:b/>
              </w:rPr>
              <w:t xml:space="preserve">Diff</w:t>
            </w:r>
          </w:p>
        </w:tc>
        <w:tc>
          <w:tcPr>
            <w:tcW w:w="1184" w:type="dxa"/>
            <w:tcBorders>
              <w:bottom w:val="single" w:sz="8" w:space="0" w:color="000000"/>
            </w:tcBorders>
          </w:tcPr>
          <w:p>
            <w:pPr>
              <w:pStyle w:val="Cell"/>
            </w:pPr>
            <w:r>
              <w:rPr>
                <w:b/>
              </w:rPr>
              <w:t xml:space="preserve">Std. error</w:t>
            </w:r>
          </w:p>
        </w:tc>
        <w:tc>
          <w:tcPr>
            <w:tcW w:w="884" w:type="dxa"/>
            <w:tcBorders>
              <w:bottom w:val="single" w:sz="8" w:space="0" w:color="000000"/>
            </w:tcBorders>
          </w:tcPr>
          <w:p>
            <w:pPr>
              <w:pStyle w:val="Cell"/>
            </w:pPr>
            <w:r>
              <w:rPr>
                <w:b/>
              </w:rPr>
              <w:t xml:space="preserve">t</w:t>
            </w:r>
          </w:p>
        </w:tc>
        <w:tc>
          <w:tcPr>
            <w:tcW w:w="888" w:type="dxa"/>
            <w:tcBorders>
              <w:bottom w:val="single" w:sz="8" w:space="0" w:color="000000"/>
            </w:tcBorders>
          </w:tcPr>
          <w:p>
            <w:pPr>
              <w:pStyle w:val="Cell"/>
            </w:pPr>
            <w:r>
              <w:rPr>
                <w:b/>
              </w:rPr>
              <w:t xml:space="preserve">p</w:t>
            </w:r>
          </w:p>
        </w:tc>
      </w:tr>
      <w:tr>
        <w:tc>
          <w:tcPr>
            <w:tcW w:w="2881" w:type="dxa"/>
          </w:tcPr>
          <w:p>
            <w:pPr>
              <w:pStyle w:val="Cell"/>
            </w:pPr>
            <w:r>
              <w:t xml:space="preserve">Qwen: 1P vs 3P</w:t>
            </w:r>
          </w:p>
        </w:tc>
        <w:tc>
          <w:tcPr>
            <w:tcW w:w="1065" w:type="dxa"/>
          </w:tcPr>
          <w:p>
            <w:pPr>
              <w:pStyle w:val="Cell"/>
            </w:pPr>
            <w:r>
              <w:t xml:space="preserve">0.027</w:t>
            </w:r>
          </w:p>
        </w:tc>
        <w:tc>
          <w:tcPr>
            <w:tcW w:w="1065" w:type="dxa"/>
          </w:tcPr>
          <w:p>
            <w:pPr>
              <w:pStyle w:val="Cell"/>
            </w:pPr>
            <w:r>
              <w:t xml:space="preserve">0.029</w:t>
            </w:r>
          </w:p>
        </w:tc>
        <w:tc>
          <w:tcPr>
            <w:tcW w:w="1105" w:type="dxa"/>
          </w:tcPr>
          <w:p>
            <w:pPr>
              <w:pStyle w:val="Cell"/>
            </w:pPr>
            <w:r>
              <w:t xml:space="preserve">-0.002</w:t>
            </w:r>
          </w:p>
        </w:tc>
        <w:tc>
          <w:tcPr>
            <w:tcW w:w="1184" w:type="dxa"/>
          </w:tcPr>
          <w:p>
            <w:pPr>
              <w:pStyle w:val="Cell"/>
            </w:pPr>
            <w:r>
              <w:t xml:space="preserve">0.006</w:t>
            </w:r>
          </w:p>
        </w:tc>
        <w:tc>
          <w:tcPr>
            <w:tcW w:w="884" w:type="dxa"/>
          </w:tcPr>
          <w:p>
            <w:pPr>
              <w:pStyle w:val="Cell"/>
            </w:pPr>
            <w:r>
              <w:t xml:space="preserve">-0.28</w:t>
            </w:r>
          </w:p>
        </w:tc>
        <w:tc>
          <w:tcPr>
            <w:tcW w:w="888" w:type="dxa"/>
          </w:tcPr>
          <w:p>
            <w:pPr>
              <w:pStyle w:val="Cell"/>
            </w:pPr>
            <w:r>
              <w:t xml:space="preserve">0.785</w:t>
            </w:r>
          </w:p>
        </w:tc>
      </w:tr>
      <w:tr>
        <w:tc>
          <w:tcPr>
            <w:tcW w:w="2881" w:type="dxa"/>
          </w:tcPr>
          <w:p>
            <w:pPr>
              <w:pStyle w:val="Cell"/>
            </w:pPr>
            <w:r>
              <w:t xml:space="preserve">Llama: 1P vs 3P</w:t>
            </w:r>
          </w:p>
        </w:tc>
        <w:tc>
          <w:tcPr>
            <w:tcW w:w="1065" w:type="dxa"/>
          </w:tcPr>
          <w:p>
            <w:pPr>
              <w:pStyle w:val="Cell"/>
            </w:pPr>
            <w:r>
              <w:t xml:space="preserve">0.009</w:t>
            </w:r>
          </w:p>
        </w:tc>
        <w:tc>
          <w:tcPr>
            <w:tcW w:w="1065" w:type="dxa"/>
          </w:tcPr>
          <w:p>
            <w:pPr>
              <w:pStyle w:val="Cell"/>
            </w:pPr>
            <w:r>
              <w:t xml:space="preserve">0.006</w:t>
            </w:r>
          </w:p>
        </w:tc>
        <w:tc>
          <w:tcPr>
            <w:tcW w:w="1105" w:type="dxa"/>
          </w:tcPr>
          <w:p>
            <w:pPr>
              <w:pStyle w:val="Cell"/>
            </w:pPr>
            <w:r>
              <w:t xml:space="preserve">+0.004</w:t>
            </w:r>
          </w:p>
        </w:tc>
        <w:tc>
          <w:tcPr>
            <w:tcW w:w="1184" w:type="dxa"/>
          </w:tcPr>
          <w:p>
            <w:pPr>
              <w:pStyle w:val="Cell"/>
            </w:pPr>
            <w:r>
              <w:t xml:space="preserve">0.004</w:t>
            </w:r>
          </w:p>
        </w:tc>
        <w:tc>
          <w:tcPr>
            <w:tcW w:w="884" w:type="dxa"/>
          </w:tcPr>
          <w:p>
            <w:pPr>
              <w:pStyle w:val="Cell"/>
            </w:pPr>
            <w:r>
              <w:t xml:space="preserve">0.99</w:t>
            </w:r>
          </w:p>
        </w:tc>
        <w:tc>
          <w:tcPr>
            <w:tcW w:w="888" w:type="dxa"/>
          </w:tcPr>
          <w:p>
            <w:pPr>
              <w:pStyle w:val="Cell"/>
            </w:pPr>
            <w:r>
              <w:t xml:space="preserve">0.326</w:t>
            </w:r>
          </w:p>
        </w:tc>
      </w:tr>
      <w:tr>
        <w:tc>
          <w:tcPr>
            <w:tcW w:w="2881" w:type="dxa"/>
          </w:tcPr>
          <w:p>
            <w:pPr>
              <w:pStyle w:val="Cell"/>
            </w:pPr>
            <w:r>
              <w:t xml:space="preserve">1P: Qwen vs Llama</w:t>
            </w:r>
          </w:p>
        </w:tc>
        <w:tc>
          <w:tcPr>
            <w:tcW w:w="1065" w:type="dxa"/>
          </w:tcPr>
          <w:p>
            <w:pPr>
              <w:pStyle w:val="Cell"/>
            </w:pPr>
            <w:r>
              <w:t xml:space="preserve">0.027</w:t>
            </w:r>
          </w:p>
        </w:tc>
        <w:tc>
          <w:tcPr>
            <w:tcW w:w="1065" w:type="dxa"/>
          </w:tcPr>
          <w:p>
            <w:pPr>
              <w:pStyle w:val="Cell"/>
            </w:pPr>
            <w:r>
              <w:t xml:space="preserve">0.009</w:t>
            </w:r>
          </w:p>
        </w:tc>
        <w:tc>
          <w:tcPr>
            <w:tcW w:w="1105" w:type="dxa"/>
          </w:tcPr>
          <w:p>
            <w:pPr>
              <w:pStyle w:val="Cell"/>
            </w:pPr>
            <w:r>
              <w:t xml:space="preserve">+0.018</w:t>
            </w:r>
          </w:p>
        </w:tc>
        <w:tc>
          <w:tcPr>
            <w:tcW w:w="1184" w:type="dxa"/>
          </w:tcPr>
          <w:p>
            <w:pPr>
              <w:pStyle w:val="Cell"/>
            </w:pPr>
            <w:r>
              <w:t xml:space="preserve">0.006</w:t>
            </w:r>
          </w:p>
        </w:tc>
        <w:tc>
          <w:tcPr>
            <w:tcW w:w="884" w:type="dxa"/>
          </w:tcPr>
          <w:p>
            <w:pPr>
              <w:pStyle w:val="Cell"/>
            </w:pPr>
            <w:r>
              <w:t xml:space="preserve">2.81</w:t>
            </w:r>
          </w:p>
        </w:tc>
        <w:tc>
          <w:tcPr>
            <w:tcW w:w="888" w:type="dxa"/>
          </w:tcPr>
          <w:p>
            <w:pPr>
              <w:pStyle w:val="Cell"/>
            </w:pPr>
            <w:r>
              <w:t xml:space="preserve">0.007</w:t>
            </w:r>
          </w:p>
        </w:tc>
      </w:tr>
      <w:tr>
        <w:tc>
          <w:tcPr>
            <w:tcW w:w="2881" w:type="dxa"/>
          </w:tcPr>
          <w:p>
            <w:pPr>
              <w:pStyle w:val="Cell"/>
            </w:pPr>
            <w:r>
              <w:t xml:space="preserve">3P: Qwen vs Llama</w:t>
            </w:r>
          </w:p>
        </w:tc>
        <w:tc>
          <w:tcPr>
            <w:tcW w:w="1065" w:type="dxa"/>
          </w:tcPr>
          <w:p>
            <w:pPr>
              <w:pStyle w:val="Cell"/>
            </w:pPr>
            <w:r>
              <w:t xml:space="preserve">0.029</w:t>
            </w:r>
          </w:p>
        </w:tc>
        <w:tc>
          <w:tcPr>
            <w:tcW w:w="1065" w:type="dxa"/>
          </w:tcPr>
          <w:p>
            <w:pPr>
              <w:pStyle w:val="Cell"/>
            </w:pPr>
            <w:r>
              <w:t xml:space="preserve">0.006</w:t>
            </w:r>
          </w:p>
        </w:tc>
        <w:tc>
          <w:tcPr>
            <w:tcW w:w="1105" w:type="dxa"/>
          </w:tcPr>
          <w:p>
            <w:pPr>
              <w:pStyle w:val="Cell"/>
            </w:pPr>
            <w:r>
              <w:t xml:space="preserve">+0.023</w:t>
            </w:r>
          </w:p>
        </w:tc>
        <w:tc>
          <w:tcPr>
            <w:tcW w:w="1184" w:type="dxa"/>
          </w:tcPr>
          <w:p>
            <w:pPr>
              <w:pStyle w:val="Cell"/>
            </w:pPr>
            <w:r>
              <w:t xml:space="preserve">0.010</w:t>
            </w:r>
          </w:p>
        </w:tc>
        <w:tc>
          <w:tcPr>
            <w:tcW w:w="884" w:type="dxa"/>
          </w:tcPr>
          <w:p>
            <w:pPr>
              <w:pStyle w:val="Cell"/>
            </w:pPr>
            <w:r>
              <w:t xml:space="preserve">2.28</w:t>
            </w:r>
          </w:p>
        </w:tc>
        <w:tc>
          <w:tcPr>
            <w:tcW w:w="888" w:type="dxa"/>
          </w:tcPr>
          <w:p>
            <w:pPr>
              <w:pStyle w:val="Cell"/>
            </w:pPr>
            <w:r>
              <w:t xml:space="preserve">0.028</w:t>
            </w:r>
          </w:p>
        </w:tc>
      </w:tr>
    </w:tbl>
    <w:p>
      <w:pPr>
        <w:pStyle w:val="Body"/>
      </w:pPr>
      <w:r>
        <w:t xml:space="preserve">Note. After Bonferroni correction for four tests (α = 0.0125), the first-person Qwen-Llama contrast reaches the adjusted threshold. The other three do not. Reported p values are unadjusted.</w:t>
      </w:r>
    </w:p>
    <w:p>
      <w:pPr>
        <w:pStyle w:val="H3"/>
      </w:pPr>
      <w:r>
        <w:t xml:space="preserve">Aggregate robustness checks</w:t>
      </w:r>
    </w:p>
    <w:p>
      <w:pPr>
        <w:pStyle w:val="Body"/>
      </w:pPr>
      <w:r>
        <w:t xml:space="preserve">Table A5 lists all 16 checks with the quantity each moves. One changes a conclusion, and Section 4.4 states it. Three others turn on the choice of estimator. The within-country dispersion ratio has three defensible aggregators (mean of ratios 0.61, median 0.57, ratio of means 0.59) and all three fail the pre-declared 0.9–1.1 band, so the choice is named wherever the quantity appears and no conclusion rests on it. Design weighting correlates the weighted and unweighted per-item coefficients at 0.999 while moving a single item by up to 0.103, so the item-level maximum is reported. The direction classification was frozen from the ESS codebook before any result was seen, and the direction R² rises from 0.658 to 0.746 when the three pre-declared unstable items are dropped, so the objection strengthens the result.</w:t>
      </w:r>
    </w:p>
    <w:p>
      <w:pPr>
        <w:pStyle w:val="Caption"/>
      </w:pPr>
      <w:r>
        <w:t xml:space="preserve">Table A5. The 16 robustness checks: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45"/>
        <w:gridCol w:w="1530"/>
        <w:gridCol w:w="3652"/>
        <w:gridCol w:w="2545"/>
      </w:tblGrid>
      <w:tr>
        <w:tc>
          <w:tcPr>
            <w:tcW w:w="1345" w:type="dxa"/>
            <w:tcBorders>
              <w:bottom w:val="single" w:sz="8" w:space="0" w:color="000000"/>
            </w:tcBorders>
          </w:tcPr>
          <w:p>
            <w:pPr>
              <w:pStyle w:val="Cell"/>
            </w:pPr>
            <w:r>
              <w:rPr>
                <w:b/>
              </w:rPr>
              <w:t xml:space="preserve">Check</w:t>
            </w:r>
          </w:p>
        </w:tc>
        <w:tc>
          <w:tcPr>
            <w:tcW w:w="1530" w:type="dxa"/>
            <w:tcBorders>
              <w:bottom w:val="single" w:sz="8" w:space="0" w:color="000000"/>
            </w:tcBorders>
          </w:tcPr>
          <w:p>
            <w:pPr>
              <w:pStyle w:val="Cell"/>
            </w:pPr>
            <w:r>
              <w:rPr>
                <w:b/>
              </w:rPr>
              <w:t xml:space="preserve">What it varies</w:t>
            </w:r>
          </w:p>
        </w:tc>
        <w:tc>
          <w:tcPr>
            <w:tcW w:w="3652" w:type="dxa"/>
            <w:tcBorders>
              <w:bottom w:val="single" w:sz="8" w:space="0" w:color="000000"/>
            </w:tcBorders>
          </w:tcPr>
          <w:p>
            <w:pPr>
              <w:pStyle w:val="Cell"/>
            </w:pPr>
            <w:r>
              <w:rPr>
                <w:b/>
              </w:rPr>
              <w:t xml:space="preserve">Result</w:t>
            </w:r>
          </w:p>
        </w:tc>
        <w:tc>
          <w:tcPr>
            <w:tcW w:w="2545" w:type="dxa"/>
            <w:tcBorders>
              <w:bottom w:val="single" w:sz="8" w:space="0" w:color="000000"/>
            </w:tcBorders>
          </w:tcPr>
          <w:p>
            <w:pPr>
              <w:pStyle w:val="Cell"/>
            </w:pPr>
            <w:r>
              <w:rPr>
                <w:b/>
              </w:rPr>
              <w:t xml:space="preserve">Any conclusion change?</w:t>
            </w:r>
          </w:p>
        </w:tc>
      </w:tr>
      <w:tr>
        <w:tc>
          <w:tcPr>
            <w:tcW w:w="1345" w:type="dxa"/>
          </w:tcPr>
          <w:p>
            <w:pPr>
              <w:pStyle w:val="Cell"/>
            </w:pPr>
            <w:r>
              <w:t xml:space="preserve">Design weighting of the human benchmark</w:t>
            </w:r>
          </w:p>
        </w:tc>
        <w:tc>
          <w:tcPr>
            <w:tcW w:w="1530" w:type="dxa"/>
          </w:tcPr>
          <w:p>
            <w:pPr>
              <w:pStyle w:val="Cell"/>
            </w:pPr>
            <w:r>
              <w:t xml:space="preserve">Human country means computed unweighted instead of with pspwght</w:t>
            </w:r>
          </w:p>
        </w:tc>
        <w:tc>
          <w:tcPr>
            <w:tcW w:w="3652" w:type="dxa"/>
          </w:tcPr>
          <w:p>
            <w:pPr>
              <w:pStyle w:val="Cell"/>
            </w:pPr>
            <w:r>
              <w:t xml:space="preserve">The two coefficient vectors correlate at 0.9987; the largest item-level change is 0.103 (health)</w:t>
            </w:r>
          </w:p>
        </w:tc>
        <w:tc>
          <w:tcPr>
            <w:tcW w:w="2545" w:type="dxa"/>
          </w:tcPr>
          <w:p>
            <w:pPr>
              <w:pStyle w:val="Cell"/>
            </w:pPr>
            <w:r>
              <w:t xml:space="preserve">No. The median and the direction decomposition are unaffected.</w:t>
            </w:r>
          </w:p>
        </w:tc>
      </w:tr>
      <w:tr>
        <w:tc>
          <w:tcPr>
            <w:tcW w:w="1345" w:type="dxa"/>
          </w:tcPr>
          <w:p>
            <w:pPr>
              <w:pStyle w:val="Cell"/>
            </w:pPr>
            <w:r>
              <w:t xml:space="preserve">Direction classification of the 42 items</w:t>
            </w:r>
          </w:p>
        </w:tc>
        <w:tc>
          <w:tcPr>
            <w:tcW w:w="1530" w:type="dxa"/>
          </w:tcPr>
          <w:p>
            <w:pPr>
              <w:pStyle w:val="Cell"/>
            </w:pPr>
            <w:r>
              <w:t xml:space="preserve">The frozen classification against the four disputed codings</w:t>
            </w:r>
          </w:p>
        </w:tc>
        <w:tc>
          <w:tcPr>
            <w:tcW w:w="3652" w:type="dxa"/>
          </w:tcPr>
          <w:p>
            <w:pPr>
              <w:pStyle w:val="Cell"/>
            </w:pPr>
            <w:r>
              <w:t xml:space="preserve">R² = 0.6576 on all 42 items, 0.6531 excluding vote, 0.7455 further excluding the two screened items</w:t>
            </w:r>
          </w:p>
        </w:tc>
        <w:tc>
          <w:tcPr>
            <w:tcW w:w="2545" w:type="dxa"/>
          </w:tcPr>
          <w:p>
            <w:pPr>
              <w:pStyle w:val="Cell"/>
            </w:pPr>
            <w:r>
              <w:t xml:space="preserve">No. The effect strengthens as the least interpretable items are removed.</w:t>
            </w:r>
          </w:p>
        </w:tc>
      </w:tr>
      <w:tr>
        <w:tc>
          <w:tcPr>
            <w:tcW w:w="1345" w:type="dxa"/>
          </w:tcPr>
          <w:p>
            <w:pPr>
              <w:pStyle w:val="Cell"/>
            </w:pPr>
            <w:r>
              <w:t xml:space="preserve">Items whose silicon dispersion is near zero</w:t>
            </w:r>
          </w:p>
        </w:tc>
        <w:tc>
          <w:tcPr>
            <w:tcW w:w="1530" w:type="dxa"/>
          </w:tcPr>
          <w:p>
            <w:pPr>
              <w:pStyle w:val="Cell"/>
            </w:pPr>
            <w:r>
              <w:t xml:space="preserve">A reliability screen on the silicon side</w:t>
            </w:r>
          </w:p>
        </w:tc>
        <w:tc>
          <w:tcPr>
            <w:tcW w:w="3652" w:type="dxa"/>
          </w:tcPr>
          <w:p>
            <w:pPr>
              <w:pStyle w:val="Cell"/>
            </w:pPr>
            <w:r>
              <w:t xml:space="preserve">Two items fall below it: hmsfmlsh (reliability 0.25) and rlgatnd (0.44); inprdsc (0.615) is retained</w:t>
            </w:r>
          </w:p>
        </w:tc>
        <w:tc>
          <w:tcPr>
            <w:tcW w:w="2545" w:type="dxa"/>
          </w:tcPr>
          <w:p>
            <w:pPr>
              <w:pStyle w:val="Cell"/>
            </w:pPr>
            <w:r>
              <w:t xml:space="preserve">No. Both are pre-declared uninterpretable and the primary anchored specification excludes them.</w:t>
            </w:r>
          </w:p>
        </w:tc>
      </w:tr>
      <w:tr>
        <w:tc>
          <w:tcPr>
            <w:tcW w:w="1345" w:type="dxa"/>
          </w:tcPr>
          <w:p>
            <w:pPr>
              <w:pStyle w:val="Cell"/>
            </w:pPr>
            <w:r>
              <w:t xml:space="preserve">Item set for the anchoring experiment</w:t>
            </w:r>
          </w:p>
        </w:tc>
        <w:tc>
          <w:tcPr>
            <w:tcW w:w="1530" w:type="dxa"/>
          </w:tcPr>
          <w:p>
            <w:pPr>
              <w:pStyle w:val="Cell"/>
            </w:pPr>
            <w:r>
              <w:t xml:space="preserve">Three pre-specified reverse-item sets</w:t>
            </w:r>
          </w:p>
        </w:tc>
        <w:tc>
          <w:tcPr>
            <w:tcW w:w="3652" w:type="dxa"/>
          </w:tcPr>
          <w:p>
            <w:pPr>
              <w:pStyle w:val="Cell"/>
            </w:pPr>
            <w:r>
              <w:t xml:space="preserve">All 12 in batch: +0.4912 [+0.1515, +0.8809], 11 of 12 up; primary 10: +0.4230 [+0.1259, +0.7928], 10 of 10 up; strictest 8: +0.1636 [+0.0507, +0.2671], 8 of 8 up</w:t>
            </w:r>
          </w:p>
        </w:tc>
        <w:tc>
          <w:tcPr>
            <w:tcW w:w="2545" w:type="dxa"/>
          </w:tcPr>
          <w:p>
            <w:pPr>
              <w:pStyle w:val="Cell"/>
            </w:pPr>
            <w:r>
              <w:t xml:space="preserve">No for the sign and the interval. Yes for the gap verdict: eliminated on the primary set, narrowed with a residual on the strictest.</w:t>
            </w:r>
          </w:p>
        </w:tc>
      </w:tr>
      <w:tr>
        <w:tc>
          <w:tcPr>
            <w:tcW w:w="1345" w:type="dxa"/>
          </w:tcPr>
          <w:p>
            <w:pPr>
              <w:pStyle w:val="Cell"/>
            </w:pPr>
            <w:r>
              <w:t xml:space="preserve">Choice of forward control items</w:t>
            </w:r>
          </w:p>
        </w:tc>
        <w:tc>
          <w:tcPr>
            <w:tcW w:w="1530" w:type="dxa"/>
          </w:tcPr>
          <w:p>
            <w:pPr>
              <w:pStyle w:val="Cell"/>
            </w:pPr>
            <w:r>
              <w:t xml:space="preserve">Ten leave-one-out control sets</w:t>
            </w:r>
          </w:p>
        </w:tc>
        <w:tc>
          <w:tcPr>
            <w:tcW w:w="3652" w:type="dxa"/>
          </w:tcPr>
          <w:p>
            <w:pPr>
              <w:pStyle w:val="Cell"/>
            </w:pPr>
            <w:r>
              <w:t xml:space="preserve">The triple difference stays in [0.403, 0.455] against the primary 0.423; the largest shift is 0.032</w:t>
            </w:r>
          </w:p>
        </w:tc>
        <w:tc>
          <w:tcPr>
            <w:tcW w:w="2545" w:type="dxa"/>
          </w:tcPr>
          <w:p>
            <w:pPr>
              <w:pStyle w:val="Cell"/>
            </w:pPr>
            <w:r>
              <w:t xml:space="preserve">No.</w:t>
            </w:r>
          </w:p>
        </w:tc>
      </w:tr>
      <w:tr>
        <w:tc>
          <w:tcPr>
            <w:tcW w:w="1345" w:type="dxa"/>
          </w:tcPr>
          <w:p>
            <w:pPr>
              <w:pStyle w:val="Cell"/>
            </w:pPr>
            <w:r>
              <w:t xml:space="preserve">Run-to-run stability of the generation</w:t>
            </w:r>
          </w:p>
        </w:tc>
        <w:tc>
          <w:tcPr>
            <w:tcW w:w="1530" w:type="dxa"/>
          </w:tcPr>
          <w:p>
            <w:pPr>
              <w:pStyle w:val="Cell"/>
            </w:pPr>
            <w:r>
              <w:t xml:space="preserve">Two identical unseeded runs</w:t>
            </w:r>
          </w:p>
        </w:tc>
        <w:tc>
          <w:tcPr>
            <w:tcW w:w="3652" w:type="dxa"/>
          </w:tcPr>
          <w:p>
            <w:pPr>
              <w:pStyle w:val="Cell"/>
            </w:pPr>
            <w:r>
              <w:t xml:space="preserve">Median absolute rbc difference 0.0602 per item, maximum 0.1854, no sign reversals</w:t>
            </w:r>
          </w:p>
        </w:tc>
        <w:tc>
          <w:tcPr>
            <w:tcW w:w="2545" w:type="dxa"/>
          </w:tcPr>
          <w:p>
            <w:pPr>
              <w:pStyle w:val="Cell"/>
            </w:pPr>
            <w:r>
              <w:t xml:space="preserve">No, and it closes a stated limitation: every contrast is read against the 0.060 band.</w:t>
            </w:r>
          </w:p>
        </w:tc>
      </w:tr>
      <w:tr>
        <w:tc>
          <w:tcPr>
            <w:tcW w:w="1345" w:type="dxa"/>
          </w:tcPr>
          <w:p>
            <w:pPr>
              <w:pStyle w:val="Cell"/>
            </w:pPr>
            <w:r>
              <w:t xml:space="preserve">Deflator for the macro-covariate comparator</w:t>
            </w:r>
          </w:p>
        </w:tc>
        <w:tc>
          <w:tcPr>
            <w:tcW w:w="1530" w:type="dxa"/>
          </w:tcPr>
          <w:p>
            <w:pPr>
              <w:pStyle w:val="Cell"/>
            </w:pPr>
            <w:r>
              <w:t xml:space="preserve">Market dollars against purchasing parity</w:t>
            </w:r>
          </w:p>
        </w:tc>
        <w:tc>
          <w:tcPr>
            <w:tcW w:w="3652" w:type="dxa"/>
          </w:tcPr>
          <w:p>
            <w:pPr>
              <w:pStyle w:val="Cell"/>
            </w:pPr>
            <w:r>
              <w:t xml:space="preserve">Median r 0.6177 under dollars, 0.6317 under parity; normalized error 0.0522 and 0.0527</w:t>
            </w:r>
          </w:p>
        </w:tc>
        <w:tc>
          <w:tcPr>
            <w:tcW w:w="2545" w:type="dxa"/>
          </w:tcPr>
          <w:p>
            <w:pPr>
              <w:pStyle w:val="Cell"/>
            </w:pPr>
            <w:r>
              <w:t xml:space="preserve">No for the comparison with the model. Yes for one claim, therefore not made: the covariate-alone ranking is deflator-dependent.</w:t>
            </w:r>
          </w:p>
        </w:tc>
      </w:tr>
      <w:tr>
        <w:tc>
          <w:tcPr>
            <w:tcW w:w="1345" w:type="dxa"/>
          </w:tcPr>
          <w:p>
            <w:pPr>
              <w:pStyle w:val="Cell"/>
            </w:pPr>
            <w:r>
              <w:t xml:space="preserve">Israel as a bloc of one in the comparator</w:t>
            </w:r>
          </w:p>
        </w:tc>
        <w:tc>
          <w:tcPr>
            <w:tcW w:w="1530" w:type="dxa"/>
          </w:tcPr>
          <w:p>
            <w:pPr>
              <w:pStyle w:val="Cell"/>
            </w:pPr>
            <w:r>
              <w:t xml:space="preserve">Israel handled as its own regional bloc</w:t>
            </w:r>
          </w:p>
        </w:tc>
        <w:tc>
          <w:tcPr>
            <w:tcW w:w="3652" w:type="dxa"/>
          </w:tcPr>
          <w:p>
            <w:pPr>
              <w:pStyle w:val="Cell"/>
            </w:pPr>
            <w:r>
              <w:t xml:space="preserve">The comparator’s median r moves from 0.6177 to 0.6741; the gap to the model from 0.174 to 0.177</w:t>
            </w:r>
          </w:p>
        </w:tc>
        <w:tc>
          <w:tcPr>
            <w:tcW w:w="2545" w:type="dxa"/>
          </w:tcPr>
          <w:p>
            <w:pPr>
              <w:pStyle w:val="Cell"/>
            </w:pPr>
            <w:r>
              <w:t xml:space="preserve">No.</w:t>
            </w:r>
          </w:p>
        </w:tc>
      </w:tr>
      <w:tr>
        <w:tc>
          <w:tcPr>
            <w:tcW w:w="1345" w:type="dxa"/>
          </w:tcPr>
          <w:p>
            <w:pPr>
              <w:pStyle w:val="Cell"/>
            </w:pPr>
            <w:r>
              <w:t xml:space="preserve">Influential countries in the comparator</w:t>
            </w:r>
          </w:p>
        </w:tc>
        <w:tc>
          <w:tcPr>
            <w:tcW w:w="1530" w:type="dxa"/>
          </w:tcPr>
          <w:p>
            <w:pPr>
              <w:pStyle w:val="Cell"/>
            </w:pPr>
            <w:r>
              <w:t xml:space="preserve">Leave-one-out over the 30 countries</w:t>
            </w:r>
          </w:p>
        </w:tc>
        <w:tc>
          <w:tcPr>
            <w:tcW w:w="3652" w:type="dxa"/>
          </w:tcPr>
          <w:p>
            <w:pPr>
              <w:pStyle w:val="Cell"/>
            </w:pPr>
            <w:r>
              <w:t xml:space="preserve">Excluding Ireland moves the reported value by 0.001; the high-leverage country is Ukraine (mean hat 0.495)</w:t>
            </w:r>
          </w:p>
        </w:tc>
        <w:tc>
          <w:tcPr>
            <w:tcW w:w="2545" w:type="dxa"/>
          </w:tcPr>
          <w:p>
            <w:pPr>
              <w:pStyle w:val="Cell"/>
            </w:pPr>
            <w:r>
              <w:t xml:space="preserve">No.</w:t>
            </w:r>
          </w:p>
        </w:tc>
      </w:tr>
      <w:tr>
        <w:tc>
          <w:tcPr>
            <w:tcW w:w="1345" w:type="dxa"/>
          </w:tcPr>
          <w:p>
            <w:pPr>
              <w:pStyle w:val="Cell"/>
            </w:pPr>
            <w:r>
              <w:t xml:space="preserve">Coverage in the Llama third-person arm</w:t>
            </w:r>
          </w:p>
        </w:tc>
        <w:tc>
          <w:tcPr>
            <w:tcW w:w="1530" w:type="dxa"/>
          </w:tcPr>
          <w:p>
            <w:pPr>
              <w:pStyle w:val="Cell"/>
            </w:pPr>
            <w:r>
              <w:t xml:space="preserve">Restricting to items above 80% coverage</w:t>
            </w:r>
          </w:p>
        </w:tc>
        <w:tc>
          <w:tcPr>
            <w:tcW w:w="3652" w:type="dxa"/>
          </w:tcPr>
          <w:p>
            <w:pPr>
              <w:pStyle w:val="Cell"/>
            </w:pPr>
            <w:r>
              <w:t xml:space="preserve">Median rbc falls from +0.1729 on all 42 items to −0.0009 on the 19 items above the threshold</w:t>
            </w:r>
          </w:p>
        </w:tc>
        <w:tc>
          <w:tcPr>
            <w:tcW w:w="2545" w:type="dxa"/>
          </w:tcPr>
          <w:p>
            <w:pPr>
              <w:pStyle w:val="Cell"/>
            </w:pPr>
            <w:r>
              <w:t xml:space="preserve">Yes. The arm cannot identify a framing effect; the framing null rests on Qwen alone.</w:t>
            </w:r>
          </w:p>
        </w:tc>
      </w:tr>
      <w:tr>
        <w:tc>
          <w:tcPr>
            <w:tcW w:w="1345" w:type="dxa"/>
          </w:tcPr>
          <w:p>
            <w:pPr>
              <w:pStyle w:val="Cell"/>
            </w:pPr>
            <w:r>
              <w:t xml:space="preserve">Aggregator for the dispersion ratios</w:t>
            </w:r>
          </w:p>
        </w:tc>
        <w:tc>
          <w:tcPr>
            <w:tcW w:w="1530" w:type="dxa"/>
          </w:tcPr>
          <w:p>
            <w:pPr>
              <w:pStyle w:val="Cell"/>
            </w:pPr>
            <w:r>
              <w:t xml:space="preserve">Mean of ratios, median, and ratio of means</w:t>
            </w:r>
          </w:p>
        </w:tc>
        <w:tc>
          <w:tcPr>
            <w:tcW w:w="3652" w:type="dxa"/>
          </w:tcPr>
          <w:p>
            <w:pPr>
              <w:pStyle w:val="Cell"/>
            </w:pPr>
            <w:r>
              <w:t xml:space="preserve">Within-country 0.6052, 0.5727, 0.5859; between-country 0.2821 median, 0.2952 mean</w:t>
            </w:r>
          </w:p>
        </w:tc>
        <w:tc>
          <w:tcPr>
            <w:tcW w:w="2545" w:type="dxa"/>
          </w:tcPr>
          <w:p>
            <w:pPr>
              <w:pStyle w:val="Cell"/>
            </w:pPr>
            <w:r>
              <w:t xml:space="preserve">No. All three within-country estimators fail the pre-declared 0.9–1.1 band.</w:t>
            </w:r>
          </w:p>
        </w:tc>
      </w:tr>
      <w:tr>
        <w:tc>
          <w:tcPr>
            <w:tcW w:w="1345" w:type="dxa"/>
          </w:tcPr>
          <w:p>
            <w:pPr>
              <w:pStyle w:val="Cell"/>
            </w:pPr>
            <w:r>
              <w:t xml:space="preserve">Estimator for the offset reduction</w:t>
            </w:r>
          </w:p>
        </w:tc>
        <w:tc>
          <w:tcPr>
            <w:tcW w:w="1530" w:type="dxa"/>
          </w:tcPr>
          <w:p>
            <w:pPr>
              <w:pStyle w:val="Cell"/>
            </w:pPr>
            <w:r>
              <w:t xml:space="preserve">Four defensible estimators</w:t>
            </w:r>
          </w:p>
        </w:tc>
        <w:tc>
          <w:tcPr>
            <w:tcW w:w="3652" w:type="dxa"/>
          </w:tcPr>
          <w:p>
            <w:pPr>
              <w:pStyle w:val="Cell"/>
            </w:pPr>
            <w:r>
              <w:t xml:space="preserve">Ratio of medians 64.2%, ratio of means 62.9%, median of per-item reductions 59.9%, mean of per-item reductions 53.7%</w:t>
            </w:r>
          </w:p>
        </w:tc>
        <w:tc>
          <w:tcPr>
            <w:tcW w:w="2545" w:type="dxa"/>
          </w:tcPr>
          <w:p>
            <w:pPr>
              <w:pStyle w:val="Cell"/>
            </w:pPr>
            <w:r>
              <w:t xml:space="preserve">Yes for the number quoted: 59.9%, the median of the per-item reductions, named as such.</w:t>
            </w:r>
          </w:p>
        </w:tc>
      </w:tr>
      <w:tr>
        <w:tc>
          <w:tcPr>
            <w:tcW w:w="1345" w:type="dxa"/>
          </w:tcPr>
          <w:p>
            <w:pPr>
              <w:pStyle w:val="Cell"/>
            </w:pPr>
            <w:r>
              <w:t xml:space="preserve">Specification for the cross-level agreement</w:t>
            </w:r>
          </w:p>
        </w:tc>
        <w:tc>
          <w:tcPr>
            <w:tcW w:w="1530" w:type="dxa"/>
          </w:tcPr>
          <w:p>
            <w:pPr>
              <w:pStyle w:val="Cell"/>
            </w:pPr>
            <w:r>
              <w:t xml:space="preserve">As coded, forward items only, sign-aligned</w:t>
            </w:r>
          </w:p>
        </w:tc>
        <w:tc>
          <w:tcPr>
            <w:tcW w:w="3652" w:type="dxa"/>
          </w:tcPr>
          <w:p>
            <w:pPr>
              <w:pStyle w:val="Cell"/>
            </w:pPr>
            <w:r>
              <w:t xml:space="preserve">Pearson 0.9368 as coded, 0.7745 forward-only, 0.8355 sign-aligned</w:t>
            </w:r>
          </w:p>
        </w:tc>
        <w:tc>
          <w:tcPr>
            <w:tcW w:w="2545" w:type="dxa"/>
          </w:tcPr>
          <w:p>
            <w:pPr>
              <w:pStyle w:val="Cell"/>
            </w:pPr>
            <w:r>
              <w:t xml:space="preserve">No for the existence of the agreement. Yes for its description: about a third of the raw magnitude is the shared direction failure.</w:t>
            </w:r>
          </w:p>
        </w:tc>
      </w:tr>
      <w:tr>
        <w:tc>
          <w:tcPr>
            <w:tcW w:w="1345" w:type="dxa"/>
          </w:tcPr>
          <w:p>
            <w:pPr>
              <w:pStyle w:val="Cell"/>
            </w:pPr>
            <w:r>
              <w:t xml:space="preserve">Frame for country-level quantities</w:t>
            </w:r>
          </w:p>
        </w:tc>
        <w:tc>
          <w:tcPr>
            <w:tcW w:w="1530" w:type="dxa"/>
          </w:tcPr>
          <w:p>
            <w:pPr>
              <w:pStyle w:val="Cell"/>
            </w:pPr>
            <w:r>
              <w:t xml:space="preserve">Full frame against the human-model intersection</w:t>
            </w:r>
          </w:p>
        </w:tc>
        <w:tc>
          <w:tcPr>
            <w:tcW w:w="3652" w:type="dxa"/>
          </w:tcPr>
          <w:p>
            <w:pPr>
              <w:pStyle w:val="Cell"/>
            </w:pPr>
            <w:r>
              <w:t xml:space="preserve">Median rbc moves from 0.4433 to 0.4425; single items move by up to 0.109 (health)</w:t>
            </w:r>
          </w:p>
        </w:tc>
        <w:tc>
          <w:tcPr>
            <w:tcW w:w="2545" w:type="dxa"/>
          </w:tcPr>
          <w:p>
            <w:pPr>
              <w:pStyle w:val="Cell"/>
            </w:pPr>
            <w:r>
              <w:t xml:space="preserve">No for the median. The frame is fixed in one place and stated.</w:t>
            </w:r>
          </w:p>
        </w:tc>
      </w:tr>
      <w:tr>
        <w:tc>
          <w:tcPr>
            <w:tcW w:w="1345" w:type="dxa"/>
          </w:tcPr>
          <w:p>
            <w:pPr>
              <w:pStyle w:val="Cell"/>
            </w:pPr>
            <w:r>
              <w:t xml:space="preserve">Stability across rounds</w:t>
            </w:r>
          </w:p>
        </w:tc>
        <w:tc>
          <w:tcPr>
            <w:tcW w:w="1530" w:type="dxa"/>
          </w:tcPr>
          <w:p>
            <w:pPr>
              <w:pStyle w:val="Cell"/>
            </w:pPr>
            <w:r>
              <w:t xml:space="preserve">The March round against the final round</w:t>
            </w:r>
          </w:p>
        </w:tc>
        <w:tc>
          <w:tcPr>
            <w:tcW w:w="3652" w:type="dxa"/>
          </w:tcPr>
          <w:p>
            <w:pPr>
              <w:pStyle w:val="Cell"/>
            </w:pPr>
            <w:r>
              <w:t xml:space="preserve">Median absolute item-level rbc change 0.0415, against a same-round replicate median of 0.060</w:t>
            </w:r>
          </w:p>
        </w:tc>
        <w:tc>
          <w:tcPr>
            <w:tcW w:w="2545" w:type="dxa"/>
          </w:tcPr>
          <w:p>
            <w:pPr>
              <w:pStyle w:val="Cell"/>
            </w:pPr>
            <w:r>
              <w:t xml:space="preserve">No.</w:t>
            </w:r>
          </w:p>
        </w:tc>
      </w:tr>
      <w:tr>
        <w:tc>
          <w:tcPr>
            <w:tcW w:w="1345" w:type="dxa"/>
          </w:tcPr>
          <w:p>
            <w:pPr>
              <w:pStyle w:val="Cell"/>
            </w:pPr>
            <w:r>
              <w:t xml:space="preserve">Human-side missingness rule</w:t>
            </w:r>
          </w:p>
        </w:tc>
        <w:tc>
          <w:tcPr>
            <w:tcW w:w="1530" w:type="dxa"/>
          </w:tcPr>
          <w:p>
            <w:pPr>
              <w:pStyle w:val="Cell"/>
            </w:pPr>
            <w:r>
              <w:t xml:space="preserve">Correcting the missing-code set for the coarse scales</w:t>
            </w:r>
          </w:p>
        </w:tc>
        <w:tc>
          <w:tcPr>
            <w:tcW w:w="3652" w:type="dxa"/>
          </w:tcPr>
          <w:p>
            <w:pPr>
              <w:pStyle w:val="Cell"/>
            </w:pPr>
            <w:r>
              <w:t xml:space="preserve">Median rbc 0.418 to 0.431; items above 0.70 from eight to nine; inverted items from twelve to eleven; within-country dispersion ratio 0.553 to 0.605</w:t>
            </w:r>
          </w:p>
        </w:tc>
        <w:tc>
          <w:tcPr>
            <w:tcW w:w="2545" w:type="dxa"/>
          </w:tcPr>
          <w:p>
            <w:pPr>
              <w:pStyle w:val="Cell"/>
            </w:pPr>
            <w:r>
              <w:t xml:space="preserve">Yes for several reported figures, all corrected. No for any conclusion.</w:t>
            </w:r>
          </w:p>
        </w:tc>
      </w:tr>
    </w:tbl>
    <w:p>
      <w:pPr>
        <w:pStyle w:val="Body"/>
      </w:pPr>
      <w:r>
        <w:t xml:space="preserve">Note. Each row names what the check varies, what it moves, and whether any conclusion changes. The one Yes that changes a conclusion is parse coverage in the Llama third-person arm (Section 4.4).</w:t>
      </w:r>
    </w:p>
    <w:p>
      <w:pPr>
        <w:pStyle w:val="H3"/>
      </w:pPr>
      <w:r>
        <w:t xml:space="preserve">Data-processing checks</w:t>
      </w:r>
    </w:p>
    <w:p>
      <w:pPr>
        <w:pStyle w:val="Body"/>
      </w:pPr>
      <w:r>
        <w:t xml:space="preserve">Four data-processing checks leave the aggregate results unchanged. Weighted and unweighted per-item coefficients correlate at 0.9987, with a largest single-item change of 0.103 (Table A5). Computing each country mean on the human-model valid intersection moves per-item between-country correlations by at most about 0.1, for a few items. Two further checks ran on the earlier 500-respondent round: excluding the voting item’s ‘not eligible’ category, and replacing the human subsample with the full ESS sample. Both left the per-item correlations at </w:t>
      </w:r>
      <w:r>
        <w:rPr>
          <w:i/>
        </w:rPr>
        <w:t>r</w:t>
      </w:r>
      <w:r>
        <w:t xml:space="preserve"> = 0.99 and preserved every negative correlation, and the cross-round stability check in Table A5 carries them to the final 685-respondent round.</w:t>
      </w:r>
    </w:p>
    <w:p>
      <w:pPr>
        <w:pStyle w:val="H3"/>
      </w:pPr>
      <w:r>
        <w:t xml:space="preserve">Parse failures</w:t>
      </w:r>
    </w:p>
    <w:p>
      <w:pPr>
        <w:pStyle w:val="Body"/>
      </w:pPr>
      <w:r>
        <w:t xml:space="preserve">Of the 863,100 responses scheduled in the Llama third-person arm, 77.28% parsed. Of the remainder, 5.75% fall outside the declared scale, 8.25% carry a value above 1,000, and 8.71% contain no digit. Four explanations were tested and rejected. Truncation: failed outputs have a median length of 61 characters against a maximum of 317, and none falls within 2%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3"/>
      </w:pPr>
      <w:r>
        <w:t xml:space="preserve">Sensitivity to the extraction rule</w:t>
      </w:r>
    </w:p>
    <w:p>
      <w:pPr>
        <w:pStyle w:val="Body"/>
      </w:pPr>
      <w:r>
        <w:t xml:space="preserve">Every correlation reported here is computed on responses that survived a rule that takes the first number in the response text. That rule discards answers the model gave correctly, such as a junk number followed by a valid one, so all 11.3 million raw responses were re-parsed and every rejected response in the 15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primary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15 arms.</w:t>
      </w:r>
    </w:p>
    <w:p>
      <w:pPr>
        <w:pStyle w:val="Caption"/>
      </w:pPr>
      <w:r>
        <w:t xml:space="preserve">Table A6. Sensitivity of the between-country correlation to the response-extraction rule.</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p>
      <w:pPr>
        <w:pStyle w:val="Body"/>
      </w:pPr>
      <w:r>
        <w:t xml:space="preserve">Note. The four alternative extraction rules are those described above. The shipped rule takes the first number in the response text.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Caption">
    <w:name w:val="Caption"/>
    <w:pPr>
      <w:keepNext/>
      <w:spacing w:before="140" w:after="14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