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open-weight models, two prompt framings, and a backstory-conditioning experiment. Aggregate recovery is moderate and highly uneven across items. Adding the country name to a three-variable demographic backstory raises the median country-level correlation from −0.03 to 0.52. No richer profile surpasses it. Swapped country labels redirect recovery toward the labeled country. The model appears to use the country as a group-level prior and to largely ignore respondent detail. Individual-level recovery is negligible everywhere and unrelated to aggregate recovery across countries. A 2 × 2 experiment traces the item-level failures to the response scale: verbal endpoint labels remove the inversions and roughly triple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yet increasingly difficult to sustain, as costs rise and response rates decline (Curtin, Presser, &amp; Singer,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limitations constrain the existing literature. First, most evaluations remain centered on the United States; available cross-national studies cover relatively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questions are at issue: what supplies the cross-national signal, and what governs the form it takes. A cross-national design can separate two candidate sources of aggregate recovery that single-country studies cannot compare: a country label may activate country-level associations, while compositional differences across national samples may also generate cross-national variation.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The answer can be stated at the outset. The country label carries most of the aggregate signal. Enriching the profile beyond it adds no consistent gain. The response-scale format sets the sign the signal takes. None of it amounts to individual-level recovery. That is the signature of a group-level prior. Three things are new here: the first joint evaluation of item-level country rankings, within-country individual recovery, and the label’s incremental contribution on matched respondents; the experimental identification of that prior and of the format that sets its sign; and benchmarks against model-free alternatives, the comparison a prospective user needs.</w:t>
      </w:r>
    </w:p>
    <w:p>
      <w:pPr>
        <w:pStyle w:val="Body"/>
      </w:pPr>
      <w:r>
        <w:t xml:space="preserve">The study answers the four gaps with four tests in one design. The first test fixes the pattern to be explained, the second and fourth explain it, and the third bounds what it delivers at the individual level. It characterizes aggregate recovery item by item across 30 countries and 42 items. It isolates the country label's contribution from demographic composition and from profile enrichment in a backstory-conditioning experiment. It estimates within-country individual recovery separately for each country and tests its geographic pattern against the aggregate one. It crosses the country label with the response-scale format in a 2 × 2 experiment, turning the interpretation of the item inversions into a test. Throughout, recovery is judged against predictors that use no model at all.</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Diener, &amp; Diener, 1995). All three domains appear in the 42-item battery evaluated below. An LLM-based substitute must therefore recover country means and structured cross-national variation without introducing response-scale artifacts.</w:t>
      </w:r>
    </w:p>
    <w:p>
      <w:pPr>
        <w:pStyle w:val="Body"/>
      </w:pPr>
      <w:r>
        <w:t xml:space="preserve">Existing cross-national evidence remains limited in scope.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 The literature supports two expectations. Recovery should be uneven across items, and part of that unevenness should follow how the response scale is presented, because option format shifts model answers independently of content (Section 2.2). A pooled correlation that mixes items of different scale lengths should overstate recovery, because much of the covariance it captures falls between items and not between countries.</w:t>
      </w:r>
    </w:p>
    <w:p>
      <w:pPr>
        <w:pStyle w:val="Body"/>
      </w:pPr>
      <w:r>
        <w:t xml:space="preserve">RQ1. How accurately do LLM-generated responses recover cross-national aggregate differences in survey data across a broad range of attitudinal domains, and where recovery fails, does the failure lie in the model's country knowledge or in how the response scale is presented?</w:t>
      </w:r>
    </w:p>
    <w:p>
      <w:pPr>
        <w:pStyle w:val="H2"/>
      </w:pPr>
      <w:r>
        <w:t xml:space="preserve">2.2 Cultural bias and the country cue in LLM responses</w:t>
      </w:r>
    </w:p>
    <w:p>
      <w:pPr>
        <w:pStyle w:val="Body"/>
      </w:pPr>
      <w:r>
        <w:t xml:space="preserve">Cultural bias here refers to systematic differences in whose values and associations default model outputs most closely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should therefore not be treated as a culturally neutral baseline.</w:t>
      </w:r>
    </w:p>
    <w:p>
      <w:pPr>
        <w:pStyle w:val="Body"/>
      </w:pPr>
      <w:r>
        <w:t xml:space="preserve">Country cues can also systematically influence LLM outputs.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Country cues can therefore generate cross-national differentiation without demonstrating calibrated population simulation.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therefore plausible sources of aggregate signal. The next tests are whether the country label adds recovery beyond demographic composition, whether richer profiles add further gains, and whether the scale format governs the sign with which any such gain appears. The two readings of the label predict different curves.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w:t>
      </w:r>
    </w:p>
    <w:p>
      <w:pPr>
        <w:pStyle w:val="Body"/>
      </w:pPr>
      <w:r>
        <w:t xml:space="preserve">RQ2. How much aggregate recovery is added by the country label relative to a sparse demographic baseline, does subsequent profile enrichment improve recovery, and does the response-scale format govern the sign of the country-label effect?</w:t>
      </w:r>
    </w:p>
    <w:p>
      <w:pPr>
        <w:pStyle w:val="H2"/>
      </w:pPr>
      <w:r>
        <w:t xml:space="preserve">2.3 Individual-level simulation and its limits</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These findings imply that persona responsiveness is not equivalent to accurate within-population differentiation.</w:t>
      </w:r>
    </w:p>
    <w:p>
      <w:pPr>
        <w:pStyle w:val="Body"/>
      </w:pPr>
      <w:r>
        <w:t xml:space="preserve">The framing of the request bears directly on this distinction. Adopting a persona and answering as that person invokes a different capacity from predicting how such a person would answer: the first speaks from the profile, the second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therefore crosses model with first- and third-person framing, and RQ3 tests both.</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RQ3. How do individual-level correlations between human and LLM-generated responses vary across countries, and does first- versus third-person framing change them?</w:t>
      </w:r>
    </w:p>
    <w:p>
      <w:pPr>
        <w:pStyle w:val="H2"/>
      </w:pPr>
      <w:r>
        <w:t xml:space="preserve">2.4 Aggregate–individual recovery across countries</w:t>
      </w:r>
    </w:p>
    <w:p>
      <w:pPr>
        <w:pStyle w:val="Body"/>
      </w:pPr>
      <w:r>
        <w:t xml:space="preserve">The cultural-bias and individual-level literatures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RQ4 therefore asks whether the two levels share a geographic pattern:</w:t>
      </w:r>
    </w:p>
    <w:p>
      <w:pPr>
        <w:pStyle w:val="Body"/>
      </w:pPr>
      <w:r>
        <w:t xml:space="preserve">RQ4. Does stronger aggregate recovery track stronger individual-level recovery across countries, and can aggregate performance select countries for individual-level use?</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follows a 2 (model) × 2 (prompt) fully crossed design. Two major open-weight instruction-tuned models are tested: Qwen 2.5-7B-Instruct (Alibaba) and Llama 3.1-8B-Instruct (Meta). Both are run locally on a university HPC cluster (NVIDIA A100 GPU) using vLLM for efficient batched inference. Temperature is set to 0.7;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(most people can be trusted, ppltrst; people try to be fair, pplfair; people are helpful, pplhlp) carry the full ESS question wording, which embeds verbal endpoint descriptions. Every other item is presented with the abbreviated codebook wording reported in Table A1. Prompts specify the numeric scale range as digits (e.g., “Scale: 0-10”) and carry no verbal anchor labels for scale endpoints.</w:t>
      </w:r>
    </w:p>
    <w:p>
      <w:pPr>
        <w:pStyle w:val="Body"/>
      </w:pPr>
      <w:r>
        <w:t xml:space="preserve">For each country, 685 respondents are randomly subsampled from the ESS. The subsample is drawn without design weights. The human benchmark is weighted by the ESS post-stratification weight (pspwght) throughout, and the sensitivity of the results to that choice is reported in Section 4.6. The sample size is sufficient at both levels of analysis. At n = 685 the median country-mean reliability is 0.99 on the human side and 0.94 on the silicon side, attenuating the between-country correlation by a median factor of 0.97. A single country–item cell has 80% power to detect a within-country correlation of 0.11, and pooling cells lowers the detectable correlation to 0.02. The near-zero individual recovery in Section 4.4 is therefore a measured near-zero, not a shortage of power. Subsampled silicon estimates flatten above roughly 400 respondents per country, so a larger sample would change them little. Two random halves of the human sample agree at a median between-country correlation of 0.98, so the target quantity is itself nearly noiseless. Each respondent is prompted for all 42 items, yielding 28,770 prompts per country and 863,100 per model–prompt condition. Across the four model and prompt combinations the main experiment comprises 3,452,400 response attempts, and 33,743,100 across all forty-one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4.6. The loss falls on the wide response scales, so that condition cannot identify a framing effect.</w:t>
      </w:r>
    </w:p>
    <w:p>
      <w:pPr>
        <w:pStyle w:val="Body"/>
      </w:pPr>
      <w:r>
        <w:t xml:space="preserve">All four model–prompt conditions are reported for aggregate recovery and individual-level means (Figure 2);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ISO codes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identifying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 A final 2 × 2 arm crosses the country label with the scale format. The scale factor supplies verbal endpoint labels in place of the numeric range alone. It runs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two exclusions were fixed in advance.</w:t>
      </w:r>
    </w:p>
    <w:p>
      <w:pPr>
        <w:pStyle w:val="Body"/>
      </w:pPr>
      <w:r>
        <w:t xml:space="preserve">The with-against-without logic extends to the whole profile. The 20 backstory variables partition into named blocks: the ascriptive base (gender, age, birth year), the country label, the region code, political identity (the same two variables the political ablation removes, so the chapter has one definition of that block), education, main activity and income, union membership and internet use, household composition, migration and citizenship, minority status, and domicile. Every block is observed at two margins: added alone to the sparse base plus the country label, and removed alone from the otherwise complete profile. The two margins are the extreme positions a block can occupy in any order of additions, so together they bound the block's contribution under every ordering; no conclusion depends on the sequence in which information is stacked. Three probes fix interpretation in advance: a country-only arm carries the label with no demographics, two twin arms state the same age as years and as a birth year, and union membership and internet use are also added one variable at a time. A final falsification arm replaces every backstory's country sentence with a wrong country under a fixed derangement of the 30 countries, holding the rest of the profile intact. The logic is that of a placebo test (Eggers, Tuñón, &amp; Dafoe, 2024): if the label works as a group-level prior, recovery should follow the false label and abandon the respondents' real countries; if aggregate recovery came from the composition of the profiles, mislabeling should not move it. Nationality-assigned personas have been manipulated before (Kamruzzaman &amp; Kim, 2024); scoring swapped labels against the named country's measured survey means has no direct precedent.</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 Two measures carry the argument and the rest are diagnostic.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appear only where a question requires them. </w:t>
      </w:r>
      <w:r>
        <w:rPr>
          <w:i/>
        </w:rPr>
        <w:t>r</w:t>
      </w:r>
      <w:r>
        <w:rPr>
          <w:i/>
          <w:vertAlign w:val="subscript"/>
        </w:rPr>
        <w:t>prof</w:t>
      </w:r>
      <w:r>
        <w:t xml:space="preserve"> is each country's 42-item aggregate profile correlation, used for the country-level comparison in Section 4.1. </w:t>
      </w:r>
      <w:r>
        <w:rPr>
          <w:i/>
        </w:rPr>
        <w:t>r</w:t>
      </w:r>
      <w:r>
        <w:rPr>
          <w:i/>
          <w:vertAlign w:val="subscript"/>
        </w:rPr>
        <w:t>pw</w:t>
      </w:r>
      <w:r>
        <w:t xml:space="preserve"> pools respondents across countries after centering within country; it appears once, in Figure 3, where its statistical power suits the per-item display. </w:t>
      </w:r>
      <w:r>
        <w:rPr>
          <w:i/>
        </w:rPr>
        <w:t>r</w:t>
      </w:r>
      <w:r>
        <w:rPr>
          <w:i/>
          <w:vertAlign w:val="subscript"/>
        </w:rPr>
        <w:t>pool</w:t>
      </w:r>
      <w:r>
        <w:t xml:space="preserve"> runs across all 1,260 country–item cells. It is reported once, as a labeled counterexample, because pooling lets scale differences between items read as cross-national signal.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ceiling on what any demographic profile could recover at the individual level. The third fixes what counts as adequate at the aggregate level: recovery is judged against predictors that use no model at all, built from regional neighbors and macro covariates and reported in Section 5.3.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as </w:t>
      </w:r>
      <w:r>
        <w:rPr>
          <w:i/>
        </w:rPr>
        <w:t>r</w:t>
      </w:r>
      <w:r>
        <w:rPr>
          <w:i/>
          <w:vertAlign w:val="subscript"/>
        </w:rPr>
        <w:t>bc</w:t>
      </w:r>
      <w:r>
        <w:t xml:space="preserve"> × </w:t>
      </w:r>
      <w:r>
        <w:rPr>
          <w:i/>
        </w:rPr>
        <w:t>C</w:t>
      </w:r>
      <w:r>
        <w:rPr>
          <w:i/>
          <w:vertAlign w:val="subscript"/>
        </w:rPr>
        <w:t>b</w:t>
      </w:r>
      <w:r>
        <w:t xml:space="preserve">, separating rank correspondence from calibration. Model and prompt contrasts use paired t-tests across the 42 items.</w:t>
      </w:r>
    </w:p>
    <w:p>
      <w:pPr>
        <w:pStyle w:val="H1"/>
      </w:pPr>
      <w:r>
        <w:t xml:space="preserve">4 Results</w:t>
      </w:r>
    </w:p>
    <w:p>
      <w:pPr>
        <w:pStyle w:val="H2"/>
      </w:pPr>
      <w:r>
        <w:t xml:space="preserve">4.1 Aggregate recovery is moderate and item-dependent</w:t>
      </w:r>
    </w:p>
    <w:p>
      <w:pPr>
        <w:pStyle w:val="Body"/>
      </w:pPr>
      <w:r>
        <w:t xml:space="preserve">Addressing RQ1, per-item aggregate recovery is moderate but highly item-dependent. Country-profile and mean-error statistics also produce different country rankings, so no single aggregate measure captures performance. Figure 2 compares country-level and individual-level recovery across conditions. Panel (a) shows every item in every condition. The pooled correlation is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removing each item's mean leaves a pooled correlation of 0.515. Panel (b) gives the individual-level counterpart.</w:t>
      </w:r>
    </w:p>
    <w:p>
      <w:pPr>
        <w:pStyle w:val="Body"/>
      </w:pPr>
      <w:r>
        <w:t xml:space="preserve">Qwen 1P has the highest item-level median correlation: against the pre-declared thresholds, 20 of 42 items exceed 0.5 and nine exceed 0.7. As the best-performing condition it serves as the reference for the focused analyses below. All four conditions appear in Figure 2 at both levels, so this choice does not affect the main conclusions.</w:t>
      </w:r>
    </w:p>
    <w:p>
      <w:pPr>
        <w:pStyle w:val="Fig"/>
      </w:pPr>
      <w:r>
        <w:drawing>
          <wp:inline distT="0" distB="0" distL="0" distR="0">
            <wp:extent cx="5660059" cy="6766560"/>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660059" cy="6766560"/>
                    </a:xfrm>
                    <a:prstGeom prst="rect">
                      <a:avLst/>
                    </a:prstGeom>
                  </pic:spPr>
                </pic:pic>
              </a:graphicData>
            </a:graphic>
          </wp:inline>
        </w:drawing>
      </w:r>
    </w:p>
    <w:p>
      <w:pPr>
        <w:pStyle w:val="Caption"/>
      </w:pPr>
      <w:r>
        <w:t xml:space="preserve">Figure 2. Aggregate and individual recovery by model–prompt condition.</w:t>
      </w:r>
    </w:p>
    <w:p>
      <w:pPr>
        <w:pStyle w:val="Body"/>
      </w:pPr>
      <w:r>
        <w:t xml:space="preserve">Note. Panel (a) shows every item's between-country correlation, with the pooled correlation drawn once as a labeled counterexample (all pooled p &lt; 0.001). Panel (b) shows median within-country individual-level recovery against the demographic-explainable ceiling. The Qwen 1P anchored arm repeats Qwen 1P with verbally anchored response scales on the 22-item batch (Section 4.3).</w:t>
      </w:r>
    </w:p>
    <w:p>
      <w:pPr>
        <w:pStyle w:val="Body"/>
      </w:pPr>
      <w:r>
        <w:t xml:space="preserve">Figure 3 places country-level and individual-level recovery on a shared vertical axis so that the two are directly comparable; the full 42-item rankings appear in Appendix Figures A1 and A3. The shared axis makes the disparity visible: the aggregate series spans 1.64 correlation units, the individual series 0.30, a ratio of 5.5.</w:t>
      </w:r>
    </w:p>
    <w:p>
      <w:pPr>
        <w:pStyle w:val="Body"/>
      </w:pPr>
      <w:r>
        <w:t xml:space="preserve">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attitudes toward homosexuality (freehms −0.82) and adoption rights for same-sex couples (hmsacld −0.73). Ranks beyond the top two are not reported. They exchange places between independent runs of the same condition, as the noise floor of 0.060 per item implies.</w:t>
      </w:r>
    </w:p>
    <w:p>
      <w:pPr>
        <w:pStyle w:val="Body"/>
      </w:pPr>
      <w:r>
        <w:t xml:space="preserve">Ten of the eleven inversions are reverse-coded items. Direction alone explains 66% of the variance in </w:t>
      </w:r>
      <w:r>
        <w:rPr>
          <w:i/>
        </w:rPr>
        <w:t>r</w:t>
      </w:r>
      <w:r>
        <w:rPr>
          <w:i/>
          <w:vertAlign w:val="subscript"/>
        </w:rPr>
        <w:t>bc</w:t>
      </w:r>
      <w:r>
        <w:t xml:space="preserve"> across the 42 items. The classification was fixed from the ESS codebook before any result was seen, so the grouping is not post hoc. The same pattern appears in a second, independently trained model, where the cross-variable agreement is r = 0.84. The failure is systematic, not stochastic. One inversion is not explained by direction. European unification (euftf, −0.23) is forward-coded. It is a bipolar item whose numeric direction is a convention; in Figure 3 it is the one circle in the negative tail. Section 4.3 tests the scale-direction account experimentally.</w:t>
      </w:r>
    </w:p>
    <w:p>
      <w:pPr>
        <w:pStyle w:val="Fig"/>
      </w:pPr>
      <w:r>
        <w:drawing>
          <wp:inline distT="0" distB="0" distL="0" distR="0">
            <wp:extent cx="5760720" cy="6663073"/>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760720" cy="6663073"/>
                    </a:xfrm>
                    <a:prstGeom prst="rect">
                      <a:avLst/>
                    </a:prstGeom>
                  </pic:spPr>
                </pic:pic>
              </a:graphicData>
            </a:graphic>
          </wp:inline>
        </w:drawing>
      </w:r>
    </w:p>
    <w:p>
      <w:pPr>
        <w:pStyle w:val="Caption"/>
      </w:pPr>
      <w:r>
        <w:t xml:space="preserve">Figure 3. Aggregate and individual recovery, 42 items and 30 country profiles, Qwen 1P.</w:t>
      </w:r>
    </w:p>
    <w:p>
      <w:pPr>
        <w:pStyle w:val="Body"/>
      </w:pPr>
      <w:r>
        <w:t xml:space="preserve">Note. Panel (a) shows country-level </w:t>
      </w:r>
      <w:r>
        <w:rPr>
          <w:i/>
        </w:rPr>
        <w:t>r</w:t>
      </w:r>
      <w:r>
        <w:rPr>
          <w:i/>
          <w:vertAlign w:val="subscript"/>
        </w:rPr>
        <w:t>bc</w:t>
      </w:r>
      <w:r>
        <w:t xml:space="preserve">, panel (b) the pooled within-country correlation </w:t>
      </w:r>
      <w:r>
        <w:rPr>
          <w:i/>
        </w:rPr>
        <w:t>r</w:t>
      </w:r>
      <w:r>
        <w:rPr>
          <w:i/>
          <w:vertAlign w:val="subscript"/>
        </w:rPr>
        <w:t>pw</w:t>
      </w:r>
      <w:r>
        <w:t xml:space="preserve">, on one shared scale and one item order. The aggregate series spans 1.64 correlation units and the individual series 0.30. Reverse-coded items are marked; the one circle in the negative tail is European unification (euftf), the one forward-coded inversion. Full rankings appear in Appendix Figures A1 and A3. Panel (c) shows each country's profile correlation </w:t>
      </w:r>
      <w:r>
        <w:rPr>
          <w:i/>
        </w:rPr>
        <w:t>r</w:t>
      </w:r>
      <w:r>
        <w:rPr>
          <w:i/>
          <w:vertAlign w:val="subscript"/>
        </w:rPr>
        <w:t>prof</w:t>
      </w:r>
      <w:r>
        <w:t xml:space="preserve">, with the lowest and highest countries named; the question is whether </w:t>
      </w:r>
      <w:r>
        <w:rPr>
          <w:i/>
        </w:rPr>
        <w:t>r</w:t>
      </w:r>
      <w:r>
        <w:rPr>
          <w:i/>
          <w:vertAlign w:val="subscript"/>
        </w:rPr>
        <w:t>prof</w:t>
      </w:r>
      <w:r>
        <w:t xml:space="preserve"> can pick out countries in which the model can be trusted, and every country falls between 0.69 and 0.91.</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3(c) shows all 30 countries. Under Qwen 1P, </w:t>
      </w:r>
      <w:r>
        <w:rPr>
          <w:i/>
        </w:rPr>
        <w:t>r</w:t>
      </w:r>
      <w:r>
        <w:rPr>
          <w:i/>
          <w:vertAlign w:val="subscript"/>
        </w:rPr>
        <w:t>prof</w:t>
      </w:r>
      <w:r>
        <w:t xml:space="preserve"> ranges from 0.69 in Bulgaria to 0.91 in Finland (mean 0.82, SD 0.06). Finland, Switzerland, Ireland, Norway, and Austria rank highest (0.88–0.91), while Bulgaria, Serbia, Ukraine, Israel, and Latvia rank lowest (0.69–0.76). The band is narrow: the worst-recovered country in the sample still scores 0.69,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(r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finally, close to independent. All 30 countries have positive mean bias under Qwen 1P, from 0.36 scale points in Finland to 1.40 in Bulgaria, consistent with a shift toward higher numeric responses. Mean SD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H2"/>
      </w:pPr>
      <w:r>
        <w:t xml:space="preserve">4.2 The country label provides the largest aggregate gain</w:t>
      </w:r>
    </w:p>
    <w:p>
      <w:pPr>
        <w:pStyle w:val="Body"/>
      </w:pPr>
      <w:r>
        <w:t xml:space="preserve">Figure 4 takes up RQ2 with the paired with-against-without contrasts, and the identifying estimate comes first.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Fig"/>
      </w:pPr>
      <w:r>
        <w:drawing>
          <wp:inline distT="0" distB="0" distL="0" distR="0">
            <wp:extent cx="4540845" cy="6766560"/>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4540845" cy="6766560"/>
                    </a:xfrm>
                    <a:prstGeom prst="rect">
                      <a:avLst/>
                    </a:prstGeom>
                  </pic:spPr>
                </pic:pic>
              </a:graphicData>
            </a:graphic>
          </wp:inline>
        </w:drawing>
      </w:r>
    </w:p>
    <w:p>
      <w:pPr>
        <w:pStyle w:val="Caption"/>
      </w:pPr>
      <w:r>
        <w:t xml:space="preserve">Figure 4. The country-label contrast, item by item, and the two margins for every block, Qwen 1P.</w:t>
      </w:r>
    </w:p>
    <w:p>
      <w:pPr>
        <w:pStyle w:val="Body"/>
      </w:pPr>
      <w:r>
        <w:t xml:space="preserve">Note. Panel (a) shows the change in </w:t>
      </w:r>
      <w:r>
        <w:rPr>
          <w:i/>
        </w:rPr>
        <w:t>r</w:t>
      </w:r>
      <w:r>
        <w:rPr>
          <w:i/>
          <w:vertAlign w:val="subscript"/>
        </w:rPr>
        <w:t>bc</w:t>
      </w:r>
      <w:r>
        <w:t xml:space="preserve"> (Fisher z) for each of the 42 items when the country sentence is present in an otherwise identical rich profile. Panels (b) and (c) show the median change for every block of the partition: added alone to the sparse base (b) and removed alone from the full profile (c). The ascriptive base has no add margin, because it is the base. The split by wording direction is kept because the label's effect reverses sign with it: one bar per block would average the forward gain against the reverse loss and read as no effect (Section 4.3). The shaded band is run-to-run noise. Per-item and per-block values ship with the figure data.</w:t>
      </w:r>
    </w:p>
    <w:p>
      <w:pPr>
        <w:pStyle w:val="Body"/>
      </w:pPr>
      <w:r>
        <w:t xml:space="preserve">Figure 4(b, c) then reports both margins for every block. Adding the country name to a backstory that already specifies gender, age, and birth year raises median </w:t>
      </w:r>
      <w:r>
        <w:rPr>
          <w:i/>
        </w:rPr>
        <w:t>r</w:t>
      </w:r>
      <w:r>
        <w:rPr>
          <w:i/>
          <w:vertAlign w:val="subscript"/>
        </w:rPr>
        <w:t>bc</w:t>
      </w:r>
      <w:r>
        <w:t xml:space="preserve"> from −0.03 to 0.52 (Fisher z +0.73 on forward items, −0.44 on reverse items). No other block approaches either of the label's margins. Union membership and internet use is the only other block beyond the noise floor on both (+0.09 added, +0.08 removed, forward items); added one variable at a time, the gain comes from internet use (+0.13 against union's +0.06), itself a strong country gradient. Political identity lowers recovery when added to the sparse base (−0.12) and does nothing when removed from the full profile. The socioeconomic block lowers it on both margins (−0.13 added, −0.06 removed), and removing household income alone reproduces nearly the whole block effect (−0.055 of −0.061). The margins are not additive: political identity and the socioeconomic block each subtract on their own, yet the full profile sits at 0.44; block effects do not accumulate.</w:t>
      </w:r>
    </w:p>
    <w:p>
      <w:pPr>
        <w:pStyle w:val="Body"/>
      </w:pPr>
      <w:r>
        <w:t xml:space="preserve">Two features of the margins stand out. First, the country label alone accounts for most of the aggregate recovery: the label with no demographics at all recovers 0.52, the same as with them, and the full profile recovers less than the label on its own (0.44 versus 0.52). Stating the same age as a birth year leaves recovery unchanged, so the step does not depend on the surface form of the base. Second, the gain is confined to the aggregate. Median within-country recovery remains near zero in every arm, so the manipulation that produces the cross-national correspondence yields no improvement in individual prediction.</w:t>
      </w:r>
    </w:p>
    <w:p>
      <w:pPr>
        <w:pStyle w:val="Body"/>
      </w:pPr>
      <w:r>
        <w:t xml:space="preserve">The added information does not help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falsification arm behaves as a label mechanism predicts. Scored against the country each backstory names, the arm reaches a forward-item median </w:t>
      </w:r>
      <w:r>
        <w:rPr>
          <w:i/>
        </w:rPr>
        <w:t>r</w:t>
      </w:r>
      <w:r>
        <w:rPr>
          <w:i/>
          <w:vertAlign w:val="subscript"/>
        </w:rPr>
        <w:t>bc</w:t>
      </w:r>
      <w:r>
        <w:t xml:space="preserve"> of 0.40; the same profile with the true label reaches 0.56. Scored against the respondents' true country it falls to 0.34, below the 0.40 the profile sustains with no label at all. A wrong label therefore pulls recovery toward the country it names and damages recovery of the country the respondents came from, while the profile keeps carrying a compositional share of its own (Section 5.4 bounds it). The two scores are not mechanically coupled: under the derangement the named and the true countries' human means correlate at a median of −0.07. The country-label contrast also replicates in the second model: under Llama 1P the same removal moves forward items by +0.25 and reverse items by −0.20, with 25 of 29 forward items improving. RQ2 therefore shows that the country label supplies the clearest aggregate gain, and that richer profiles add no consistent gain.</w:t>
      </w:r>
    </w:p>
    <w:p>
      <w:pPr>
        <w:pStyle w:val="H2"/>
      </w:pPr>
      <w:r>
        <w:t xml:space="preserve">4.3 Scale presentation governs the sign of the country effect</w:t>
      </w:r>
    </w:p>
    <w:p>
      <w:pPr>
        <w:pStyle w:val="Body"/>
      </w:pPr>
      <w:r>
        <w:t xml:space="preserve">The inversions in Section 4.1 and the negative country-label effect in Section 4.2 share one candidate explanation. The model may be reading the numeric scale in the wrong direction while holding correct country associations. That explanation is testable, and a 2 × 2 arm tests it on the 22-item batch (Figure 5).</w:t>
      </w:r>
    </w:p>
    <w:p>
      <w:pPr>
        <w:pStyle w:val="Body"/>
      </w:pPr>
      <w:r>
        <w:t xml:space="preserve">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genuine cross-national signal, and the response format determines the sign with which that signal appears. This is one interacting mechanism, not two parallel ones, and it means the item inversions are a property of the instrument, not of the model's country knowledge.</w:t>
      </w:r>
    </w:p>
    <w:p>
      <w:pPr>
        <w:pStyle w:val="Fig"/>
      </w:pPr>
      <w:r>
        <w:drawing>
          <wp:inline distT="0" distB="0" distL="0" distR="0">
            <wp:extent cx="5760720" cy="5614878"/>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760720" cy="5614878"/>
                    </a:xfrm>
                    <a:prstGeom prst="rect">
                      <a:avLst/>
                    </a:prstGeom>
                  </pic:spPr>
                </pic:pic>
              </a:graphicData>
            </a:graphic>
          </wp:inline>
        </w:drawing>
      </w:r>
    </w:p>
    <w:p>
      <w:pPr>
        <w:pStyle w:val="Caption"/>
      </w:pPr>
      <w:r>
        <w:t xml:space="preserve">Figure 5. The 2 × 2: country label by response-scale format, 22 items, Qwen 1P.</w:t>
      </w:r>
    </w:p>
    <w:p>
      <w:pPr>
        <w:pStyle w:val="Body"/>
      </w:pPr>
      <w:r>
        <w:t xml:space="preserve">Note. Panel (a): the four cell means with bootstrap intervals over items; verbal anchors flip the label’s effect on reverse-worded items from negative to positive. Panel (b): the same movement, item by item, with the two pre-declared exclusions marked (†). The triple difference excludes zero under all three pre-specified reverse-item sets (Section 4.3; Table A5).</w:t>
      </w:r>
    </w:p>
    <w:p>
      <w:pPr>
        <w:pStyle w:val="H2"/>
      </w:pPr>
      <w:r>
        <w:t xml:space="preserve">4.4 Individual-level recovery is limited</w:t>
      </w:r>
    </w:p>
    <w:p>
      <w:pPr>
        <w:pStyle w:val="Body"/>
      </w:pPr>
      <w:r>
        <w:t xml:space="preserve">Addressing RQ3, recovery remains near zero across model–prompt conditions, and the models reproduce little of the demographic signal available in the human data. Figure 2(b) presents the individual-level results. Median within-country recovery ranges from 0.006 (Llama 3P) to 0.028 (Qwen 1P); first- and third-person framing do not differ materially in either model (Table A4). Even the largest implies less than 0.1% shared variance. With 20,550 respondents per condition many of these correlations are statistically significant and substantively negligible. That weakness is not an absence of demographic signal in the human benchmark: the five-predictor ceiling of 0.210 sits against an achieved 0.028, so the model recovers 13.5% of what a demographic profile could in principle deliver.</w:t>
      </w:r>
    </w:p>
    <w:p>
      <w:pPr>
        <w:pStyle w:val="Body"/>
      </w:pPr>
      <w:r>
        <w:t xml:space="preserve">The two levels sit far apart in the same display: </w:t>
      </w:r>
      <w:r>
        <w:rPr>
          <w:i/>
        </w:rPr>
        <w:t>r</w:t>
      </w:r>
      <w:r>
        <w:rPr>
          <w:i/>
          <w:vertAlign w:val="subscript"/>
        </w:rPr>
        <w:t>pool</w:t>
      </w:r>
      <w:r>
        <w:t xml:space="preserve"> lies between 0.64 and 0.83 across conditions while within-country recovery is near zero (Figure 2, panels (a) and (b)). The aggregate–individual dissociation is established for single-country designs; what is new is that it survives at thirty countries and that scale anchoring moves both levels together.</w:t>
      </w:r>
    </w:p>
    <w:p>
      <w:pPr>
        <w:pStyle w:val="Body"/>
      </w:pPr>
      <w:r>
        <w:t xml:space="preserve">The scale manipulation of Section 4.3 also moves this level. Anchoring raises median within-country recovery from 0.028 to 0.079, or from 13.5 to 31.9% of the demographic ceiling. Individual recovery is therefore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At the country level, individual recovery remains uniformly weak. </w:t>
      </w:r>
      <w:r>
        <w:rPr>
          <w:i/>
        </w:rPr>
        <w:t>r</w:t>
      </w:r>
      <w:r>
        <w:rPr>
          <w:i/>
          <w:vertAlign w:val="subscript"/>
        </w:rPr>
        <w:t>wc</w:t>
      </w:r>
      <w:r>
        <w:t xml:space="preserve"> is computed for each of the 1,260 country–item cells. Under Qwen 1P, mean </w:t>
      </w:r>
      <w:r>
        <w:rPr>
          <w:i/>
        </w:rPr>
        <w:t>r</w:t>
      </w:r>
      <w:r>
        <w:rPr>
          <w:i/>
          <w:vertAlign w:val="subscript"/>
        </w:rPr>
        <w:t>wc</w:t>
      </w:r>
      <w:r>
        <w:t xml:space="preserve"> is 0.027 (SD 0.079). Of the 1,260 cells, 826 are positive and 453 reach p &lt; 0.05 (rq3_cell_summary.csv). Even Israel, the highest country mean at 0.077, has less than 1% of individual variance explained. No country reaches a level that supports substantive individual inference.</w:t>
      </w:r>
    </w:p>
    <w:p>
      <w:pPr>
        <w:pStyle w:val="Body"/>
      </w:pPr>
      <w:r>
        <w:t xml:space="preserve">Individual-level recovery has no clear regional gradient and varies more by item than by country. Life satisfaction (0.146) and happiness (0.142) recover best, whereas household income feeling (−0.148) and attitudes toward homosexuality (−0.085) are consistently negative. Eleven of the 42 items are negative at this level. It is the same count as at the aggregate level, and largely the same items (Appendix Figure A3). That is the pattern a direction failure operating at both levels would produce. Thus RQ3 shows that what is asked matters more than which country is simulated.</w:t>
      </w:r>
    </w:p>
    <w:p>
      <w:pPr>
        <w:pStyle w:val="H2"/>
      </w:pPr>
      <w:r>
        <w:t xml:space="preserve">4.5 Aggregate–individual dissociation</w:t>
      </w:r>
    </w:p>
    <w:p>
      <w:pPr>
        <w:pStyle w:val="Body"/>
      </w:pPr>
      <w:r>
        <w:t xml:space="preserve">For RQ4, the two levels do not share a geographic pattern. Across 30 countries, </w:t>
      </w:r>
      <w:r>
        <w:rPr>
          <w:i/>
        </w:rPr>
        <w:t>r</w:t>
      </w:r>
      <w:r>
        <w:rPr>
          <w:i/>
          <w:vertAlign w:val="subscript"/>
        </w:rPr>
        <w:t>prof</w:t>
      </w:r>
      <w:r>
        <w:t xml:space="preserve"> and </w:t>
      </w:r>
      <w:r>
        <w:rPr>
          <w:i/>
        </w:rPr>
        <w:t>r</w:t>
      </w:r>
      <w:r>
        <w:rPr>
          <w:i/>
          <w:vertAlign w:val="subscript"/>
        </w:rPr>
        <w:t>wc</w:t>
      </w:r>
      <w:r>
        <w:t xml:space="preserve"> correlate at −0.21 (90% CI [−0.49, 0.10]). Range-normalized aggregate error yields +0.07. With 30 countries the data cannot distinguish a null from a moderate association, so the result is a bound. A scatter of the two quantities would draw that uncertainty as noise, so Figure 6 shows the decision-relevant object instead: the two country orderings side by side, joined per country.</w:t>
      </w:r>
    </w:p>
    <w:p>
      <w:pPr>
        <w:pStyle w:val="Body"/>
      </w:pPr>
      <w:r>
        <w:t xml:space="preserve">The decision this bears on is a pairwise one, so it is better counted than correlated: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therefore cannot be used to select countries for individual-level work, and RQ4 provides no evidence that stronger aggregate recovery predicts stronger individual recovery.</w:t>
      </w:r>
    </w:p>
    <w:p>
      <w:pPr>
        <w:pStyle w:val="Fig"/>
      </w:pPr>
      <w:r>
        <w:drawing>
          <wp:inline distT="0" distB="0" distL="0" distR="0">
            <wp:extent cx="5090160" cy="5836920"/>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090160" cy="5836920"/>
                    </a:xfrm>
                    <a:prstGeom prst="rect">
                      <a:avLst/>
                    </a:prstGeom>
                  </pic:spPr>
                </pic:pic>
              </a:graphicData>
            </a:graphic>
          </wp:inline>
        </w:drawing>
      </w:r>
    </w:p>
    <w:p>
      <w:pPr>
        <w:pStyle w:val="Caption"/>
      </w:pPr>
      <w:r>
        <w:t xml:space="preserve">Figure 6.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232 of the 435 country pairs reverse. Switzerland and Israel, the sharpest case in the text, are drawn in black.</w:t>
      </w:r>
    </w:p>
    <w:p>
      <w:pPr>
        <w:pStyle w:val="H2"/>
      </w:pPr>
      <w:r>
        <w:t xml:space="preserve">4.6 Robustness checks</w:t>
      </w:r>
    </w:p>
    <w:p>
      <w:pPr>
        <w:pStyle w:val="Body"/>
      </w:pPr>
      <w:r>
        <w:t xml:space="preserve">Sixteen checks are reported in Appendix Table A5, each with the quantity it moves and whether any conclusion changes. They cover the human benchmark (weighting, missingness, the country-mean frame), the investigator codings (item direction, item sets), estimator and aggregator choices, the comparator's specification, parse coverage, and stability across runs and rounds. Two change something and are stated here.</w:t>
      </w:r>
    </w:p>
    <w:p>
      <w:pPr>
        <w:pStyle w:val="Body"/>
      </w:pPr>
      <w:r>
        <w:t xml:space="preserve">Run-to-run stability sets the interpretive band.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therefore kept at 0.060, which is the conservative choice.</w:t>
      </w:r>
    </w:p>
    <w:p>
      <w:pPr>
        <w:pStyle w:val="Body"/>
      </w:pPr>
      <w:r>
        <w:t xml:space="preserve">Coverage in the Llama third-person arm changes a conclusion.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 The remaining fourteen checks leave every conclusion in place.</w:t>
      </w:r>
    </w:p>
    <w:p>
      <w:pPr>
        <w:pStyle w:val="H1"/>
      </w:pPr>
      <w:r>
        <w:t xml:space="preserve">5 Discussion and Conclusion</w:t>
      </w:r>
    </w:p>
    <w:p>
      <w:pPr>
        <w:pStyle w:val="Body"/>
      </w:pPr>
      <w:r>
        <w:t xml:space="preserve">Read separately, the three findings look like independent limitations. The scale experiment shows they are not. Supplying verbal endpoint labels removes the item inversions, reverses the sign of the country-label effect on reverse-coded items, and triples individual-level recovery. One manipulation does all three. Two of the three headline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backstory experiment identifies the country label as the largest incremental source of aggregate recovery. Richer profiles do not improve on it: the full profile sits below the label alone, and political identity and the socioeconomic block lower recovery when added (Section 4.2). A model that found respondent detail uninformative would show flat margins. Negative margins indicate that the detail is used, and used badly.</w:t>
      </w:r>
    </w:p>
    <w:p>
      <w:pPr>
        <w:pStyle w:val="Body"/>
      </w:pPr>
      <w:r>
        <w:t xml:space="preserve">Two accounts can be separated by the data. If the label worked by making the country identifiable, recovery should track identifiability. It does not. Holding identifiability at its maximum, recovery still spans 0.29 to 0.52, and the sparsest profile containing the country beats every richer one (Appendix, Country identifiability). The model appears to treat the country as a group-level prior, and respondent detail as noise around it. Within a country almost none of the variation the model produces is respondent-specific. A replicate arm measures this directly: rerunning one arm under a different generation seed, on the same respondents and items, gives a paired difference whose implied generation noise accounts for 95% of that arm's within-country variance. Median within-country recovery is 0.028 against the 0.210 ceiling. And the label steers: mislabeled backstories follow the label (Section 4.2). Sociodemographic prompting and demographic fine-tuning add little individual recovery (Sun et al., 2025; Orlikowski et al., 2025).</w:t>
      </w:r>
    </w:p>
    <w:p>
      <w:pPr>
        <w:pStyle w:val="Body"/>
      </w:pPr>
      <w:r>
        <w:t xml:space="preserve">A second discrimination comes from calibration.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Appendix, Concordance). The label positions countries against one another without calibrating the distance between them.</w:t>
      </w:r>
    </w:p>
    <w:p>
      <w:pPr>
        <w:pStyle w:val="Body"/>
      </w:pPr>
      <w:r>
        <w:t xml:space="preserve">One deflationary reading remains. Country may be the most informative single cue available for these outcomes, so leaning on it would be sensible cue use and not stereotype activation. Enrichment separates the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Human national-character beliefs can be consensual yet unrelated to measured population traits (Terracciano et al., 2005), while LLM population simulations show uneven correspondence across countries (Durmus et al., 2023; Qu &amp; Wang, 2024). Even models fine-tuned to reproduce survey response distributions capture group-level patterns, not individual attitudes (Cao et al., 2025).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A model can approximate national averages by treating the country cue as a group-level prior. It does not, however, reproduce how attitudes covary with individual attributes. The first capacity may support narrow aggregate tasks. It does not establish the second.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High pooled correlations mask negative item-level country correlations by combining well-recovered and inverted items. In these data, high pooled and profile correlations coexist with eleven of the forty-two items whose cross-national ordering is reversed, so a screening rule based on pooled or profile recovery would certify a battery in which a substantial minority of items has the wrong sign. Item-level diagnostics are therefore necessary before pooled or profile metrics are used.</w:t>
      </w:r>
    </w:p>
    <w:p>
      <w:pPr>
        <w:pStyle w:val="Body"/>
      </w:pPr>
      <w:r>
        <w:t xml:space="preserve">The inversions are an instrument effect: the anchoring experiment of Section 4.3 removes them while holding the model, the respondents, and the items fixed. Prompt format is part of the measurement instrument. The instrument here was deliberately minimal: abbreviated item wording and a bare numeric range for every item except the three trust questions, so the model received less scale information than an ESS respondent, who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only the anchored arm separates them. This is a measurement-equivalence problem of the kind cross-national survey research already recognizes between human populations (King et al., 2004; Davidov et al., 2014), arising here between human and model.</w:t>
      </w:r>
    </w:p>
    <w:p>
      <w:pPr>
        <w:pStyle w:val="Body"/>
      </w:pPr>
      <w:r>
        <w:t xml:space="preserve">Direction does not explain everything. It accounts for two thirds of the variance in item-level recovery, and the remainder has a pattern: institutional trust and subjective well-being recover best, while items about a respondent's own circumstances (income, health, safety) invert.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(r = 0.46, p = 0.012 across the 29 items).</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and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sociodemographic prompting alone does not reliably improve subjective judgment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a third constraint, and the cheapest of the three to change.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One predicts each country's item mean by the leave-one-out average of its regional neighbors, using no model at all. It gives a median </w:t>
      </w:r>
      <w:r>
        <w:rPr>
          <w:i/>
        </w:rPr>
        <w:t>r</w:t>
      </w:r>
      <w:r>
        <w:rPr>
          <w:i/>
          <w:vertAlign w:val="subscript"/>
        </w:rPr>
        <w:t>bc</w:t>
      </w:r>
      <w:r>
        <w:t xml:space="preserve"> of 0.55 against the model's 0.44, and a median normalized error of 0.056 against 0.180. The regional average wins on level accuracy for 41 of 42 items. Adding log GDP per capita to region dummies raises the comparator to 0.62 and 0.052. Both comparators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therefore match the intended estimand and the design, since response coding, backstory wording, model choice, and sampling settings all change synthetic distributions (Bisbee et al., 2024; Dominguez-Olmedo et al., 2024; Röttger et al., 2024). The relevant question is which statistics a model can recover under which design, against which alternative.</w:t>
      </w:r>
    </w:p>
    <w:p>
      <w:pPr>
        <w:pStyle w:val="H2"/>
      </w:pPr>
      <w:r>
        <w:t xml:space="preserve">5.4 Contributions, limitations, and future directions</w:t>
      </w:r>
    </w:p>
    <w:p>
      <w:pPr>
        <w:pStyle w:val="Body"/>
      </w:pPr>
      <w:r>
        <w:t xml:space="preserve">Three contributions follow from this design. The study is the first to evaluate item-level country rankings, within-country individual recovery, and the country label’s incremental contribution on the same matched respondents. It identified the mechanism experimentally: a group-level prior whose sign the response-scale format sets. It also established the standard of adequacy: on these items a model-free regional average outperforms the model, so silicon sampling must beat the alternatives a researcher already holds.</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 Third, the no-country arm still carries country information. A classifier trained on its rendered backstories recovers the country 28.7% of the time, against a 3.3% baseline. Harmonized education, marital and activity categories differ in composition across countries. No backstory names a country, so the leak is compositional, and the 0.34 median recovery of that arm is therefore an upper bound on what composition achieves without country knowledge. Fourth, the scale experiment uses Qwen 1P only. The country-label contrast replicates under Llama (Section 4.2), and no experiment here can distinguish calibrated country knowledge from stereotype activation. Finally, the Llama third-person arm lost 24% of scheduled responses to a format-compliance failure, not a scale-comprehension one, diagnosed in Appendix, Parse failures. It is reported as a limitation of that arm and not as evidence for any mechanism.</w:t>
      </w:r>
    </w:p>
    <w:p>
      <w:pPr>
        <w:pStyle w:val="Body"/>
      </w:pPr>
      <w:r>
        <w:t xml:space="preserve">Future research should use factorial designs that independently vary prompt language, country cues, verbal scale anchors, and profile content. It should extend the benchmark to non-European surveys and larger or proprietary models. It should also test multivariate structure, subgroup calibration, and repeated-run stability. Missing or unparsable outputs should also be examined by item and country, not only as overall coverage loss. Full-profile country ablations would separate label effects from compositional interactions, while multilingual prompts would test whether the geographic pattern depends on English-speaking defaults. These extensions should be evaluated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Political Analysis, 31(3), 337-351. https://doi.org/10.1017/pan.2023.2</w:t>
      </w:r>
    </w:p>
    <w:p>
      <w:pPr>
        <w:pStyle w:val="Ref"/>
      </w:pPr>
      <w:r>
        <w:t xml:space="preserve">Ashokkumar, A., Hewitt, L., Ghezae, I., &amp; Willer, R. (2026). Large language models can predict the results of social science experiments. Nature. https://doi.org/10.1038/s41586-026-10742-x</w:t>
      </w:r>
    </w:p>
    <w:p>
      <w:pPr>
        <w:pStyle w:val="Ref"/>
      </w:pPr>
      <w:r>
        <w:t xml:space="preserve">Bail, C. A. (2024). Can Generative AI improve social science? Proceedings of the National Academy of Sciences, 121(21), e2314021121. https://doi.org/10.1073/pnas.2314021121</w:t>
      </w:r>
    </w:p>
    <w:p>
      <w:pPr>
        <w:pStyle w:val="Ref"/>
      </w:pPr>
      <w:r>
        <w:t xml:space="preserve">Bender, E. M., Gebru, T., McMillan-Major, A., &amp; Shmitchell, S. (2021). On the dangers of stochastic parrots: Can language models be too big? In Proceedings of the 2021 ACM Conference on Fairness, Accountability, and Transparency (FAccT ’21, pp. 610-623). ACM. https://doi.org/10.1145/3442188.3445922</w:t>
      </w:r>
    </w:p>
    <w:p>
      <w:pPr>
        <w:pStyle w:val="Ref"/>
      </w:pPr>
      <w:r>
        <w:t xml:space="preserve">Bisbee, J., Clinton, J. D., Dorff, C., Kenkel, B., &amp; Larson, J. M. (2024). Synthetic replacements for human survey data? The perils of large language models. Political Analysis, 32(4), 401-416. https://doi.org/10.1017/pan.2024.5</w:t>
      </w:r>
    </w:p>
    <w:p>
      <w:pPr>
        <w:pStyle w:val="Ref"/>
      </w:pPr>
      <w:r>
        <w:t xml:space="preserve">Boelaert, J., Coavoux, S., Ollion, É., Petev, I., &amp; Präg, P. (2025). Machine bias: How do generative language models answer opinion polls? Sociological Methods &amp; Research, 54(3), 1156-1196. https://doi.org/10.1177/00491241251330582</w:t>
      </w:r>
    </w:p>
    <w:p>
      <w:pPr>
        <w:pStyle w:val="Ref"/>
      </w:pPr>
      <w:r>
        <w:t xml:space="preserve">Cao, Y., Liu, H., Arora, A., Augenstein, I., Röttger, P., &amp; Hershcovich, D. (2025). Specializing large language models to simulate survey response distributions for global populations. In Proceedings of the 2025 Conference of the Nations of the Americas Chapter of the Association for Computational Linguistics: Human Language Technologies (pp. 3141-3154). Association for Computational Linguistics. https://doi.org/10.18653/v1/2025.naacl-long.162</w:t>
      </w:r>
    </w:p>
    <w:p>
      <w:pPr>
        <w:pStyle w:val="Ref"/>
      </w:pPr>
      <w:r>
        <w:t xml:space="preserve">Curtin, R., Presser, S., &amp; Singer, E. (2005). Changes in telephone survey nonresponse over the past quarter century. Public Opinion Quarterly, 69(1), 87-98. https://doi.org/10.1093/poq/nfi002</w:t>
      </w:r>
    </w:p>
    <w:p>
      <w:pPr>
        <w:pStyle w:val="Ref"/>
      </w:pPr>
      <w:r>
        <w:t xml:space="preserve">Dalton, R. J., &amp; Welzel, C. (Eds.). (2014). The civic culture transformed: From allegiant to assertive citizens. Cambridge University Press. https://doi.org/10.1017/CBO9781139600002</w:t>
      </w:r>
    </w:p>
    <w:p>
      <w:pPr>
        <w:pStyle w:val="Ref"/>
      </w:pPr>
      <w:r>
        <w:t xml:space="preserve">Davidov, E., Meuleman, B., Cieciuch, J., Schmidt, P., &amp; Billiet, J. (2014). Measurement equivalence in cross-national research. Annual Review of Sociology, 40(1), 55–75. https://doi.org/10.1146/annurev-soc-071913-043137</w:t>
      </w:r>
    </w:p>
    <w:p>
      <w:pPr>
        <w:pStyle w:val="Ref"/>
      </w:pPr>
      <w:r>
        <w:t xml:space="preserve">Diener, E., Diener, M., &amp; Diener, C. (1995). Factors predicting the subjective well-being of nations. Journal of Personality and Social Psychology, 69(5), 851–864. https://doi.org/10.1037/0022-3514.69.5.851</w:t>
      </w:r>
    </w:p>
    <w:p>
      <w:pPr>
        <w:pStyle w:val="Ref"/>
      </w:pPr>
      <w:r>
        <w:t xml:space="preserve">Dillion, D., Tandon, N., Gu, Y., &amp; Gray, K. (2023). Can AI language models replace human participants? Trends in Cognitive Sciences, 27(7), 597–600. https://doi.org/10.1016/j.tics.2023.04.008</w:t>
      </w:r>
    </w:p>
    <w:p>
      <w:pPr>
        <w:pStyle w:val="Ref"/>
      </w:pPr>
      <w:r>
        <w:t xml:space="preserve">Dominguez-Olmedo, R., Hardt, M., &amp; Mendler-Dünner, C. (2024). Questioning the survey responses of large language models. In Advances in Neural Information Processing Systems,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Towards measuring the representation of subjective global opinions in language models. arXiv preprint arXiv:2306.16388. https://doi.org/10.48550/arXiv.2306.16388</w:t>
      </w:r>
    </w:p>
    <w:p>
      <w:pPr>
        <w:pStyle w:val="Ref"/>
      </w:pPr>
      <w:r>
        <w:t xml:space="preserve">Eggers, A. C., Tuñón, G., &amp; Dafoe, A. (2024). Placebo tests for causal inference. American Journal of Political Science, 68(3), 1106-1121. https://doi.org/10.1111/ajps.12818</w:t>
      </w:r>
    </w:p>
    <w:p>
      <w:pPr>
        <w:pStyle w:val="Ref"/>
      </w:pPr>
      <w:r>
        <w:t xml:space="preserve">European Social Survey European Research Infrastructure Consortium (ESS ERIC). (2026). ESS11 - integrated file, edition 4.1 [Data set]. Sikt - Norwegian Agency for Shared Services in Education and Research. https://doi.org/10.21338/ess11e04_1</w:t>
      </w:r>
    </w:p>
    <w:p>
      <w:pPr>
        <w:pStyle w:val="Ref"/>
      </w:pPr>
      <w:r>
        <w:t xml:space="preserve">Firebaugh, G. (1978). A rule for inferring individual-level relationships from aggregate data. American Sociological Review, 43(4), 557–572. https://doi.org/10.2307/2094779</w:t>
      </w:r>
    </w:p>
    <w:p>
      <w:pPr>
        <w:pStyle w:val="Ref"/>
      </w:pPr>
      <w:r>
        <w:t xml:space="preserve">Gao, Y., Lee, D., Burtch, G., &amp; Fazelpour, S. (2025). Take caution in using LLMs as human surrogates. Proceedings of the National Academy of Sciences, 122(24), e2501660122. https://doi.org/10.1073/pnas.2501660122</w:t>
      </w:r>
    </w:p>
    <w:p>
      <w:pPr>
        <w:pStyle w:val="Ref"/>
      </w:pPr>
      <w:r>
        <w:t xml:space="preserve">Hofmann, V., Kalluri, P. R., Jurafsky, D., &amp; King, S. (2024). AI generates covertly racist decisions about people based on their dialect. Nature, 633(8028), 147-154. https://doi.org/10.1038/s41586-024-07856-5</w:t>
      </w:r>
    </w:p>
    <w:p>
      <w:pPr>
        <w:pStyle w:val="Ref"/>
      </w:pPr>
      <w:r>
        <w:t xml:space="preserve">Inglehart, R., &amp; Welzel, C. (2005). Modernization, cultural change, and democracy: The human development sequence. Cambridge University Press. https://doi.org/10.1017/CBO9780511790881</w:t>
      </w:r>
    </w:p>
    <w:p>
      <w:pPr>
        <w:pStyle w:val="Ref"/>
      </w:pPr>
      <w:r>
        <w:t xml:space="preserve">Kamruzzaman, M., &amp; Kim, G. L. (2024). Exploring changes in nation perception with nationality-assigned personas in LLMs. arXiv preprint arXiv:2406.13993. https://doi.org/10.48550/arXiv.2406.13993</w:t>
      </w:r>
    </w:p>
    <w:p>
      <w:pPr>
        <w:pStyle w:val="Ref"/>
      </w:pPr>
      <w:r>
        <w:t xml:space="preserve">Keeter, S., Hatley, N., Kennedy, C., &amp; Lau, A. (2017). What low response rates mean for telephone surveys. Pew Research Center. https://www.pewresearch.org/methods/2017/05/15/what-low-response-rates-mean-for-telephone-surveys/</w:t>
      </w:r>
    </w:p>
    <w:p>
      <w:pPr>
        <w:pStyle w:val="Ref"/>
      </w:pPr>
      <w:r>
        <w:t xml:space="preserve">King, G. (1997). A solution to the ecological inference problem: Reconstructing individual behavior from aggregate data. Princeton University Press. https://doi.org/10.1515/9781400849208</w:t>
      </w:r>
    </w:p>
    <w:p>
      <w:pPr>
        <w:pStyle w:val="Ref"/>
      </w:pPr>
      <w:r>
        <w:t xml:space="preserve">King, G., Murray, C. J. L., Salomon, J. A., &amp; Tandon, A. (2004). Enhancing the validity and cross-cultural comparability of measurement in survey research. American Political Science Review, 98(1), 191-207. https://doi.org/10.1017/S000305540400108X</w:t>
      </w:r>
    </w:p>
    <w:p>
      <w:pPr>
        <w:pStyle w:val="Ref"/>
      </w:pPr>
      <w:r>
        <w:t xml:space="preserve">Kozlowski, A. C., &amp; Evans, J. (2025). Simulating subjects: The promise and peril of artificial intelligence stand-ins for social agents and interactions. Sociological Methods &amp; Research, 54(3), 1017–1073. https://doi.org/10.1177/00491241251337316</w:t>
      </w:r>
    </w:p>
    <w:p>
      <w:pPr>
        <w:pStyle w:val="Ref"/>
      </w:pPr>
      <w:r>
        <w:t xml:space="preserve">Li, D., Li, L., &amp; Qiu, H. S. (2025). ChatGPT is not a man but Das Man: Representativeness and structural consistency of silicon samples generated by large language models. arXiv preprint arXiv:2507.02919. https://doi.org/10.48550/arXiv.2507.02919</w:t>
      </w:r>
    </w:p>
    <w:p>
      <w:pPr>
        <w:pStyle w:val="Ref"/>
      </w:pPr>
      <w:r>
        <w:t xml:space="preserve">Lu, J. G., Song, L. L., &amp; Zhang, L. D. (2025). Cultural tendencies in generative AI. Nature Human Behaviour, 9, 2360-2369. https://doi.org/10.1038/s41562-025-02242-1</w:t>
      </w:r>
    </w:p>
    <w:p>
      <w:pPr>
        <w:pStyle w:val="Ref"/>
      </w:pPr>
      <w:r>
        <w:t xml:space="preserve">Miranda, F., &amp; Balbi, P. P. (2025). Simulating public opinion: Comparing distributional and individual-level predictions from LLMs and random forests. Entropy, 27(9), 923. https://doi.org/10.3390/e27090923</w:t>
      </w:r>
    </w:p>
    <w:p>
      <w:pPr>
        <w:pStyle w:val="Ref"/>
      </w:pPr>
      <w:r>
        <w:t xml:space="preserve">Naous, T., Ryan, M. J., Ritter, A., &amp; Xu, W. (2024). Having beer after prayer? Measuring cultural bias in large language models. In Proceedings of the 62nd Annual Meeting of the Association for Computational Linguistics (Vol. 1, pp. 16366–16393). Association for Computational Linguistics. https://doi.org/10.18653/v1/2024.acl-long.862</w:t>
      </w:r>
    </w:p>
    <w:p>
      <w:pPr>
        <w:pStyle w:val="Ref"/>
      </w:pPr>
      <w:r>
        <w:t xml:space="preserve">Narayanan Venkit, P., Gautam, S., Panchanadikar, R., Huang, T.-H. K., &amp; Wilson, S. (2023). Nationality bias in text generation. In Proceedings of the 17th Conference of the European Chapter of the Association for Computational Linguistics (pp. 116–122). Association for Computational Linguistics. https://doi.org/10.18653/v1/2023.eacl-main.9</w:t>
      </w:r>
    </w:p>
    <w:p>
      <w:pPr>
        <w:pStyle w:val="Ref"/>
      </w:pPr>
      <w:r>
        <w:t xml:space="preserve">Norris, P. (2011). Democratic deficit: Critical citizens revisited.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Proceedings of the 63rd Annual Meeting of the Association for Computational Linguistics (Vol. 1, pp. 2092–2111). ACL. https://doi.org/10.18653/v1/2025.acl-long.104</w:t>
      </w:r>
    </w:p>
    <w:p>
      <w:pPr>
        <w:pStyle w:val="Ref"/>
      </w:pPr>
      <w:r>
        <w:t xml:space="preserve">Park, J. S., Zou, C. Q., Kamphorst, J., Egan, N., Shaw, A., Hill, B. M., Cai, C., Morris, M. R., Liang, P., Willer, R., &amp; Bernstein, M. S. (2024). LLM agents grounded in self-reports enable general-purpose simulation of individuals.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Proceedings of the National Academy of Sciences, 122(48), e2519394122. https://doi.org/10.1073/pnas.2519394122</w:t>
      </w:r>
    </w:p>
    <w:p>
      <w:pPr>
        <w:pStyle w:val="Ref"/>
      </w:pPr>
      <w:r>
        <w:t xml:space="preserve">Qu, Y., &amp; Wang, J. (2024). Performance and biases of large language models in public opinion simulation. Humanities and Social Sciences Communications, 11, 1095. https://doi.org/10.1057/s41599-024-03609-x</w:t>
      </w:r>
    </w:p>
    <w:p>
      <w:pPr>
        <w:pStyle w:val="Ref"/>
      </w:pPr>
      <w:r>
        <w:t xml:space="preserve">Robinson, W. S. (1950). Ecological correlations and the behavior of individuals. American Sociological Review, 15(3),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Proceedings of the 62nd Annual Meeting of the Association for Computational Linguistics (Vol. 1, pp. 15295–15311). Association for Computational Linguistics. https://doi.org/10.18653/v1/2024.acl-long.816</w:t>
      </w:r>
    </w:p>
    <w:p>
      <w:pPr>
        <w:pStyle w:val="Ref"/>
      </w:pPr>
      <w:r>
        <w:t xml:space="preserve">Santurkar, S., Durmus, E., Ladhak, F., Lee, C., Liang, P., &amp; Hashimoto, T. (2023). Whose opinions do language models reflect? In Proceedings of the 40th International Conference on Machine Learning (ICML) (pp. 29971-30004). PMLR. https://proceedings.mlr.press/v202/santurkar23a.html</w:t>
      </w:r>
    </w:p>
    <w:p>
      <w:pPr>
        <w:pStyle w:val="Ref"/>
      </w:pPr>
      <w:r>
        <w:t xml:space="preserve">Sun, H., Pei, J., Choi, M., &amp; Jurgens, D. (2025). Sociodemographic prompting is not yet an effective approach for simulating subjective judgments with LLMs. In Proceedings of the 2025 Conference of the Nations of the Americas Chapter of the Association for Computational Linguistics: Human Language Technologies (Vol. 2, pp. 845-854). ACL. https://doi.org/10.18653/v1/2025.naacl-short.71</w:t>
      </w:r>
    </w:p>
    <w:p>
      <w:pPr>
        <w:pStyle w:val="Ref"/>
      </w:pPr>
      <w:r>
        <w:t xml:space="preserve">Tao, Y., Viberg, O., Baker, R. S., &amp; Kizilcec, R. F. (2024). Cultural bias and cultural alignment of large language models. PNAS Nexus, 3(9), pgae346. https://doi.org/10.1093/pnasnexus/pgae346</w:t>
      </w:r>
    </w:p>
    <w:p>
      <w:pPr>
        <w:pStyle w:val="Ref"/>
      </w:pPr>
      <w:r>
        <w:t xml:space="preserve">Terracciano, A., Abdel-Khalek, A. M., Ádám, N., Adamovová, L., Ahn, C. K., Ahn, H. N., et al. (2005). National character does not reflect mean personality trait levels in 49 cultures. Science, 310(5745), 96–100. https://doi.org/10.1126/science.1117199</w:t>
      </w:r>
    </w:p>
    <w:p>
      <w:pPr>
        <w:pStyle w:val="Ref"/>
      </w:pPr>
      <w:r>
        <w:t xml:space="preserve">Wang, A., Morgenstern, J., &amp; Dickerson, J. P. (2025). Large language models that replace human participants can harmfully misportray and flatten identity groups. Nature Machine Intelligence, 7(3), 400-411. https://doi.org/10.1038/s42256-025-00986-z</w:t>
      </w:r>
    </w:p>
    <w:p>
      <w:pPr>
        <w:pStyle w:val="Ref"/>
      </w:pPr>
      <w:r>
        <w:t xml:space="preserve">Weijters, B., &amp; Baumgartner, H. (2012). Misresponse to reversed and negated items in surveys: A review. Journal of Marketing Research, 49(5), 737–747. https://doi.org/10.1509/jmr.11.0368</w:t>
      </w:r>
    </w:p>
    <w:p>
      <w:pPr>
        <w:pStyle w:val="Ref"/>
      </w:pPr>
      <w:r>
        <w:t xml:space="preserve">Westwood, S. J. (2025). The potential existential threat of large language models to online survey research. Proceedings of the National Academy of Sciences, 122(47), e2518075122. https://doi.org/10.1073/pnas.2518075122</w:t>
      </w:r>
    </w:p>
    <w:p>
      <w:pPr>
        <w:pStyle w:val="Ref"/>
      </w:pPr>
      <w:r>
        <w:t xml:space="preserve">Williams, T., Weeber, F., Padó, S., &amp; Akbik, A. (2026). Beyond marginal distributions: A framework to evaluate the representativeness of demographic-aligned LLMs. In Findings of the Association for Computational Linguistics: ACL 2026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Proceedings of the National Academy of Sciences, 123(19), e2538145123. https://doi.org/10.1073/pnas.2538145123</w:t>
      </w:r>
    </w:p>
    <w:p>
      <w:pPr>
        <w:pStyle w:val="Ref"/>
      </w:pPr>
      <w:r>
        <w:t xml:space="preserve">Zheng, C., Zhou, H., Meng, F., Zhou, J., &amp; Huang, M. (2024). Large language models are not robust multiple choice selectors. In The Twelfth International Conference on Learning Representations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268"/>
        <w:gridCol w:w="2268"/>
        <w:gridCol w:w="2268"/>
        <w:gridCol w:w="2268"/>
      </w:tblGrid>
      <w:tr>
        <w:tc>
          <w:tcPr>
            <w:tcW w:w="2268" w:type="dxa"/>
            <w:tcBorders>
              <w:bottom w:val="single" w:sz="8" w:space="0" w:color="000000"/>
            </w:tcBorders>
          </w:tcPr>
          <w:p>
            <w:pPr>
              <w:pStyle w:val="Cell"/>
            </w:pPr>
            <w:r>
              <w:rPr>
                <w:b/>
              </w:rPr>
              <w:t xml:space="preserve">Variable</w:t>
            </w:r>
          </w:p>
        </w:tc>
        <w:tc>
          <w:tcPr>
            <w:tcW w:w="2268" w:type="dxa"/>
            <w:tcBorders>
              <w:bottom w:val="single" w:sz="8" w:space="0" w:color="000000"/>
            </w:tcBorders>
          </w:tcPr>
          <w:p>
            <w:pPr>
              <w:pStyle w:val="Cell"/>
            </w:pPr>
            <w:r>
              <w:rPr>
                <w:b/>
              </w:rPr>
              <w:t xml:space="preserve">Question Text</w:t>
            </w:r>
          </w:p>
        </w:tc>
        <w:tc>
          <w:tcPr>
            <w:tcW w:w="2268" w:type="dxa"/>
            <w:tcBorders>
              <w:bottom w:val="single" w:sz="8" w:space="0" w:color="000000"/>
            </w:tcBorders>
          </w:tcPr>
          <w:p>
            <w:pPr>
              <w:pStyle w:val="Cell"/>
            </w:pPr>
            <w:r>
              <w:rPr>
                <w:b/>
              </w:rPr>
              <w:t xml:space="preserve">Scale</w:t>
            </w:r>
          </w:p>
        </w:tc>
        <w:tc>
          <w:tcPr>
            <w:tcW w:w="2268" w:type="dxa"/>
            <w:tcBorders>
              <w:bottom w:val="single" w:sz="8" w:space="0" w:color="000000"/>
            </w:tcBorders>
          </w:tcPr>
          <w:p>
            <w:pPr>
              <w:pStyle w:val="Cell"/>
            </w:pPr>
            <w:r>
              <w:rPr>
                <w:b/>
              </w:rPr>
              <w:t xml:space="preserve">Domain</w:t>
            </w:r>
          </w:p>
        </w:tc>
      </w:tr>
      <w:tr>
        <w:tc>
          <w:tcPr>
            <w:tcW w:w="2268" w:type="dxa"/>
          </w:tcPr>
          <w:p>
            <w:pPr>
              <w:pStyle w:val="Cell"/>
            </w:pPr>
            <w:r>
              <w:t xml:space="preserve">health</w:t>
            </w:r>
          </w:p>
        </w:tc>
        <w:tc>
          <w:tcPr>
            <w:tcW w:w="2268" w:type="dxa"/>
          </w:tcPr>
          <w:p>
            <w:pPr>
              <w:pStyle w:val="Cell"/>
            </w:pPr>
            <w:r>
              <w:t xml:space="preserve">Subjective general health</w:t>
            </w:r>
          </w:p>
        </w:tc>
        <w:tc>
          <w:tcPr>
            <w:tcW w:w="2268" w:type="dxa"/>
          </w:tcPr>
          <w:p>
            <w:pPr>
              <w:pStyle w:val="Cell"/>
            </w:pPr>
            <w:r>
              <w:t xml:space="preserve">1-5</w:t>
            </w:r>
          </w:p>
        </w:tc>
        <w:tc>
          <w:tcPr>
            <w:tcW w:w="2268" w:type="dxa"/>
          </w:tcPr>
          <w:p>
            <w:pPr>
              <w:pStyle w:val="Cell"/>
            </w:pPr>
            <w:r>
              <w:t xml:space="preserve">Health</w:t>
            </w:r>
          </w:p>
        </w:tc>
      </w:tr>
      <w:tr>
        <w:tc>
          <w:tcPr>
            <w:tcW w:w="2268" w:type="dxa"/>
          </w:tcPr>
          <w:p>
            <w:pPr>
              <w:pStyle w:val="Cell"/>
            </w:pPr>
            <w:r>
              <w:t xml:space="preserve">imbgeco</w:t>
            </w:r>
          </w:p>
        </w:tc>
        <w:tc>
          <w:tcPr>
            <w:tcW w:w="2268" w:type="dxa"/>
          </w:tcPr>
          <w:p>
            <w:pPr>
              <w:pStyle w:val="Cell"/>
            </w:pPr>
            <w:r>
              <w:t xml:space="preserve">Immigration bad or good for country's economy</w:t>
            </w:r>
          </w:p>
        </w:tc>
        <w:tc>
          <w:tcPr>
            <w:tcW w:w="2268" w:type="dxa"/>
          </w:tcPr>
          <w:p>
            <w:pPr>
              <w:pStyle w:val="Cell"/>
            </w:pPr>
            <w:r>
              <w:t xml:space="preserve">0-10</w:t>
            </w:r>
          </w:p>
        </w:tc>
        <w:tc>
          <w:tcPr>
            <w:tcW w:w="2268" w:type="dxa"/>
          </w:tcPr>
          <w:p>
            <w:pPr>
              <w:pStyle w:val="Cell"/>
            </w:pPr>
            <w:r>
              <w:t xml:space="preserve">Immigration Attitudes</w:t>
            </w:r>
          </w:p>
        </w:tc>
      </w:tr>
      <w:tr>
        <w:tc>
          <w:tcPr>
            <w:tcW w:w="2268" w:type="dxa"/>
          </w:tcPr>
          <w:p>
            <w:pPr>
              <w:pStyle w:val="Cell"/>
            </w:pPr>
            <w:r>
              <w:t xml:space="preserve">imdfetn</w:t>
            </w:r>
          </w:p>
        </w:tc>
        <w:tc>
          <w:tcPr>
            <w:tcW w:w="2268" w:type="dxa"/>
          </w:tcPr>
          <w:p>
            <w:pPr>
              <w:pStyle w:val="Cell"/>
            </w:pPr>
            <w:r>
              <w:t xml:space="preserve">Allow many/few immigrants of different race/ethnic group from majority</w:t>
            </w:r>
          </w:p>
        </w:tc>
        <w:tc>
          <w:tcPr>
            <w:tcW w:w="2268" w:type="dxa"/>
          </w:tcPr>
          <w:p>
            <w:pPr>
              <w:pStyle w:val="Cell"/>
            </w:pPr>
            <w:r>
              <w:t xml:space="preserve">1-4</w:t>
            </w:r>
          </w:p>
        </w:tc>
        <w:tc>
          <w:tcPr>
            <w:tcW w:w="2268" w:type="dxa"/>
          </w:tcPr>
          <w:p>
            <w:pPr>
              <w:pStyle w:val="Cell"/>
            </w:pPr>
            <w:r>
              <w:t xml:space="preserve">Immigration Attitudes</w:t>
            </w:r>
          </w:p>
        </w:tc>
      </w:tr>
      <w:tr>
        <w:tc>
          <w:tcPr>
            <w:tcW w:w="2268" w:type="dxa"/>
          </w:tcPr>
          <w:p>
            <w:pPr>
              <w:pStyle w:val="Cell"/>
            </w:pPr>
            <w:r>
              <w:t xml:space="preserve">impcntr</w:t>
            </w:r>
          </w:p>
        </w:tc>
        <w:tc>
          <w:tcPr>
            <w:tcW w:w="2268" w:type="dxa"/>
          </w:tcPr>
          <w:p>
            <w:pPr>
              <w:pStyle w:val="Cell"/>
            </w:pPr>
            <w:r>
              <w:t xml:space="preserve">Allow many/few immigrants from poorer countries outside Europe</w:t>
            </w:r>
          </w:p>
        </w:tc>
        <w:tc>
          <w:tcPr>
            <w:tcW w:w="2268" w:type="dxa"/>
          </w:tcPr>
          <w:p>
            <w:pPr>
              <w:pStyle w:val="Cell"/>
            </w:pPr>
            <w:r>
              <w:t xml:space="preserve">1-4</w:t>
            </w:r>
          </w:p>
        </w:tc>
        <w:tc>
          <w:tcPr>
            <w:tcW w:w="2268" w:type="dxa"/>
          </w:tcPr>
          <w:p>
            <w:pPr>
              <w:pStyle w:val="Cell"/>
            </w:pPr>
            <w:r>
              <w:t xml:space="preserve">Immigration Attitudes</w:t>
            </w:r>
          </w:p>
        </w:tc>
      </w:tr>
      <w:tr>
        <w:tc>
          <w:tcPr>
            <w:tcW w:w="2268" w:type="dxa"/>
          </w:tcPr>
          <w:p>
            <w:pPr>
              <w:pStyle w:val="Cell"/>
            </w:pPr>
            <w:r>
              <w:t xml:space="preserve">imsmetn</w:t>
            </w:r>
          </w:p>
        </w:tc>
        <w:tc>
          <w:tcPr>
            <w:tcW w:w="2268" w:type="dxa"/>
          </w:tcPr>
          <w:p>
            <w:pPr>
              <w:pStyle w:val="Cell"/>
            </w:pPr>
            <w:r>
              <w:t xml:space="preserve">Allow many/few immigrants of same race/ethnic group as majority</w:t>
            </w:r>
          </w:p>
        </w:tc>
        <w:tc>
          <w:tcPr>
            <w:tcW w:w="2268" w:type="dxa"/>
          </w:tcPr>
          <w:p>
            <w:pPr>
              <w:pStyle w:val="Cell"/>
            </w:pPr>
            <w:r>
              <w:t xml:space="preserve">1-4</w:t>
            </w:r>
          </w:p>
        </w:tc>
        <w:tc>
          <w:tcPr>
            <w:tcW w:w="2268" w:type="dxa"/>
          </w:tcPr>
          <w:p>
            <w:pPr>
              <w:pStyle w:val="Cell"/>
            </w:pPr>
            <w:r>
              <w:t xml:space="preserve">Immigration Attitudes</w:t>
            </w:r>
          </w:p>
        </w:tc>
      </w:tr>
      <w:tr>
        <w:tc>
          <w:tcPr>
            <w:tcW w:w="2268" w:type="dxa"/>
          </w:tcPr>
          <w:p>
            <w:pPr>
              <w:pStyle w:val="Cell"/>
            </w:pPr>
            <w:r>
              <w:t xml:space="preserve">imueclt</w:t>
            </w:r>
          </w:p>
        </w:tc>
        <w:tc>
          <w:tcPr>
            <w:tcW w:w="2268" w:type="dxa"/>
          </w:tcPr>
          <w:p>
            <w:pPr>
              <w:pStyle w:val="Cell"/>
            </w:pPr>
            <w:r>
              <w:t xml:space="preserve">Country's cultural life undermined or enriched by immigrants</w:t>
            </w:r>
          </w:p>
        </w:tc>
        <w:tc>
          <w:tcPr>
            <w:tcW w:w="2268" w:type="dxa"/>
          </w:tcPr>
          <w:p>
            <w:pPr>
              <w:pStyle w:val="Cell"/>
            </w:pPr>
            <w:r>
              <w:t xml:space="preserve">0-10</w:t>
            </w:r>
          </w:p>
        </w:tc>
        <w:tc>
          <w:tcPr>
            <w:tcW w:w="2268" w:type="dxa"/>
          </w:tcPr>
          <w:p>
            <w:pPr>
              <w:pStyle w:val="Cell"/>
            </w:pPr>
            <w:r>
              <w:t xml:space="preserve">Immigration Attitudes</w:t>
            </w:r>
          </w:p>
        </w:tc>
      </w:tr>
      <w:tr>
        <w:tc>
          <w:tcPr>
            <w:tcW w:w="2268" w:type="dxa"/>
          </w:tcPr>
          <w:p>
            <w:pPr>
              <w:pStyle w:val="Cell"/>
            </w:pPr>
            <w:r>
              <w:t xml:space="preserve">imwbcnt</w:t>
            </w:r>
          </w:p>
        </w:tc>
        <w:tc>
          <w:tcPr>
            <w:tcW w:w="2268" w:type="dxa"/>
          </w:tcPr>
          <w:p>
            <w:pPr>
              <w:pStyle w:val="Cell"/>
            </w:pPr>
            <w:r>
              <w:t xml:space="preserve">Immigrants make country worse or better place to live</w:t>
            </w:r>
          </w:p>
        </w:tc>
        <w:tc>
          <w:tcPr>
            <w:tcW w:w="2268" w:type="dxa"/>
          </w:tcPr>
          <w:p>
            <w:pPr>
              <w:pStyle w:val="Cell"/>
            </w:pPr>
            <w:r>
              <w:t xml:space="preserve">0-10</w:t>
            </w:r>
          </w:p>
        </w:tc>
        <w:tc>
          <w:tcPr>
            <w:tcW w:w="2268" w:type="dxa"/>
          </w:tcPr>
          <w:p>
            <w:pPr>
              <w:pStyle w:val="Cell"/>
            </w:pPr>
            <w:r>
              <w:t xml:space="preserve">Immigration Attitudes</w:t>
            </w:r>
          </w:p>
        </w:tc>
      </w:tr>
      <w:tr>
        <w:tc>
          <w:tcPr>
            <w:tcW w:w="2268" w:type="dxa"/>
          </w:tcPr>
          <w:p>
            <w:pPr>
              <w:pStyle w:val="Cell"/>
            </w:pPr>
            <w:r>
              <w:t xml:space="preserve">hincfel</w:t>
            </w:r>
          </w:p>
        </w:tc>
        <w:tc>
          <w:tcPr>
            <w:tcW w:w="2268" w:type="dxa"/>
          </w:tcPr>
          <w:p>
            <w:pPr>
              <w:pStyle w:val="Cell"/>
            </w:pPr>
            <w:r>
              <w:t xml:space="preserve">Feeling about household's income nowadays</w:t>
            </w:r>
          </w:p>
        </w:tc>
        <w:tc>
          <w:tcPr>
            <w:tcW w:w="2268" w:type="dxa"/>
          </w:tcPr>
          <w:p>
            <w:pPr>
              <w:pStyle w:val="Cell"/>
            </w:pPr>
            <w:r>
              <w:t xml:space="preserve">1-4</w:t>
            </w:r>
          </w:p>
        </w:tc>
        <w:tc>
          <w:tcPr>
            <w:tcW w:w="2268" w:type="dxa"/>
          </w:tcPr>
          <w:p>
            <w:pPr>
              <w:pStyle w:val="Cell"/>
            </w:pPr>
            <w:r>
              <w:t xml:space="preserve">Income</w:t>
            </w:r>
          </w:p>
        </w:tc>
      </w:tr>
      <w:tr>
        <w:tc>
          <w:tcPr>
            <w:tcW w:w="2268" w:type="dxa"/>
          </w:tcPr>
          <w:p>
            <w:pPr>
              <w:pStyle w:val="Cell"/>
            </w:pPr>
            <w:r>
              <w:t xml:space="preserve">trstep</w:t>
            </w:r>
          </w:p>
        </w:tc>
        <w:tc>
          <w:tcPr>
            <w:tcW w:w="2268" w:type="dxa"/>
          </w:tcPr>
          <w:p>
            <w:pPr>
              <w:pStyle w:val="Cell"/>
            </w:pPr>
            <w:r>
              <w:t xml:space="preserve">Trust in the European Parliament</w:t>
            </w:r>
          </w:p>
        </w:tc>
        <w:tc>
          <w:tcPr>
            <w:tcW w:w="2268" w:type="dxa"/>
          </w:tcPr>
          <w:p>
            <w:pPr>
              <w:pStyle w:val="Cell"/>
            </w:pPr>
            <w:r>
              <w:t xml:space="preserve">0-10</w:t>
            </w:r>
          </w:p>
        </w:tc>
        <w:tc>
          <w:tcPr>
            <w:tcW w:w="2268" w:type="dxa"/>
          </w:tcPr>
          <w:p>
            <w:pPr>
              <w:pStyle w:val="Cell"/>
            </w:pPr>
            <w:r>
              <w:t xml:space="preserve">Institutional Trust</w:t>
            </w:r>
          </w:p>
        </w:tc>
      </w:tr>
      <w:tr>
        <w:tc>
          <w:tcPr>
            <w:tcW w:w="2268" w:type="dxa"/>
          </w:tcPr>
          <w:p>
            <w:pPr>
              <w:pStyle w:val="Cell"/>
            </w:pPr>
            <w:r>
              <w:t xml:space="preserve">trstlgl</w:t>
            </w:r>
          </w:p>
        </w:tc>
        <w:tc>
          <w:tcPr>
            <w:tcW w:w="2268" w:type="dxa"/>
          </w:tcPr>
          <w:p>
            <w:pPr>
              <w:pStyle w:val="Cell"/>
            </w:pPr>
            <w:r>
              <w:t xml:space="preserve">Trust in the legal system</w:t>
            </w:r>
          </w:p>
        </w:tc>
        <w:tc>
          <w:tcPr>
            <w:tcW w:w="2268" w:type="dxa"/>
          </w:tcPr>
          <w:p>
            <w:pPr>
              <w:pStyle w:val="Cell"/>
            </w:pPr>
            <w:r>
              <w:t xml:space="preserve">0-10</w:t>
            </w:r>
          </w:p>
        </w:tc>
        <w:tc>
          <w:tcPr>
            <w:tcW w:w="2268" w:type="dxa"/>
          </w:tcPr>
          <w:p>
            <w:pPr>
              <w:pStyle w:val="Cell"/>
            </w:pPr>
            <w:r>
              <w:t xml:space="preserve">Institutional Trust</w:t>
            </w:r>
          </w:p>
        </w:tc>
      </w:tr>
      <w:tr>
        <w:tc>
          <w:tcPr>
            <w:tcW w:w="2268" w:type="dxa"/>
          </w:tcPr>
          <w:p>
            <w:pPr>
              <w:pStyle w:val="Cell"/>
            </w:pPr>
            <w:r>
              <w:t xml:space="preserve">trstplc</w:t>
            </w:r>
          </w:p>
        </w:tc>
        <w:tc>
          <w:tcPr>
            <w:tcW w:w="2268" w:type="dxa"/>
          </w:tcPr>
          <w:p>
            <w:pPr>
              <w:pStyle w:val="Cell"/>
            </w:pPr>
            <w:r>
              <w:t xml:space="preserve">Trust in the police</w:t>
            </w:r>
          </w:p>
        </w:tc>
        <w:tc>
          <w:tcPr>
            <w:tcW w:w="2268" w:type="dxa"/>
          </w:tcPr>
          <w:p>
            <w:pPr>
              <w:pStyle w:val="Cell"/>
            </w:pPr>
            <w:r>
              <w:t xml:space="preserve">0-10</w:t>
            </w:r>
          </w:p>
        </w:tc>
        <w:tc>
          <w:tcPr>
            <w:tcW w:w="2268" w:type="dxa"/>
          </w:tcPr>
          <w:p>
            <w:pPr>
              <w:pStyle w:val="Cell"/>
            </w:pPr>
            <w:r>
              <w:t xml:space="preserve">Institutional Trust</w:t>
            </w:r>
          </w:p>
        </w:tc>
      </w:tr>
      <w:tr>
        <w:tc>
          <w:tcPr>
            <w:tcW w:w="2268" w:type="dxa"/>
          </w:tcPr>
          <w:p>
            <w:pPr>
              <w:pStyle w:val="Cell"/>
            </w:pPr>
            <w:r>
              <w:t xml:space="preserve">trstplt</w:t>
            </w:r>
          </w:p>
        </w:tc>
        <w:tc>
          <w:tcPr>
            <w:tcW w:w="2268" w:type="dxa"/>
          </w:tcPr>
          <w:p>
            <w:pPr>
              <w:pStyle w:val="Cell"/>
            </w:pPr>
            <w:r>
              <w:t xml:space="preserve">Trust in politicians</w:t>
            </w:r>
          </w:p>
        </w:tc>
        <w:tc>
          <w:tcPr>
            <w:tcW w:w="2268" w:type="dxa"/>
          </w:tcPr>
          <w:p>
            <w:pPr>
              <w:pStyle w:val="Cell"/>
            </w:pPr>
            <w:r>
              <w:t xml:space="preserve">0-10</w:t>
            </w:r>
          </w:p>
        </w:tc>
        <w:tc>
          <w:tcPr>
            <w:tcW w:w="2268" w:type="dxa"/>
          </w:tcPr>
          <w:p>
            <w:pPr>
              <w:pStyle w:val="Cell"/>
            </w:pPr>
            <w:r>
              <w:t xml:space="preserve">Institutional Trust</w:t>
            </w:r>
          </w:p>
        </w:tc>
      </w:tr>
      <w:tr>
        <w:tc>
          <w:tcPr>
            <w:tcW w:w="2268" w:type="dxa"/>
          </w:tcPr>
          <w:p>
            <w:pPr>
              <w:pStyle w:val="Cell"/>
            </w:pPr>
            <w:r>
              <w:t xml:space="preserve">trstprl</w:t>
            </w:r>
          </w:p>
        </w:tc>
        <w:tc>
          <w:tcPr>
            <w:tcW w:w="2268" w:type="dxa"/>
          </w:tcPr>
          <w:p>
            <w:pPr>
              <w:pStyle w:val="Cell"/>
            </w:pPr>
            <w:r>
              <w:t xml:space="preserve">Trust in country's parliament</w:t>
            </w:r>
          </w:p>
        </w:tc>
        <w:tc>
          <w:tcPr>
            <w:tcW w:w="2268" w:type="dxa"/>
          </w:tcPr>
          <w:p>
            <w:pPr>
              <w:pStyle w:val="Cell"/>
            </w:pPr>
            <w:r>
              <w:t xml:space="preserve">0-10</w:t>
            </w:r>
          </w:p>
        </w:tc>
        <w:tc>
          <w:tcPr>
            <w:tcW w:w="2268" w:type="dxa"/>
          </w:tcPr>
          <w:p>
            <w:pPr>
              <w:pStyle w:val="Cell"/>
            </w:pPr>
            <w:r>
              <w:t xml:space="preserve">Institutional Trust</w:t>
            </w:r>
          </w:p>
        </w:tc>
      </w:tr>
      <w:tr>
        <w:tc>
          <w:tcPr>
            <w:tcW w:w="2268" w:type="dxa"/>
          </w:tcPr>
          <w:p>
            <w:pPr>
              <w:pStyle w:val="Cell"/>
            </w:pPr>
            <w:r>
              <w:t xml:space="preserve">trstprt</w:t>
            </w:r>
          </w:p>
        </w:tc>
        <w:tc>
          <w:tcPr>
            <w:tcW w:w="2268" w:type="dxa"/>
          </w:tcPr>
          <w:p>
            <w:pPr>
              <w:pStyle w:val="Cell"/>
            </w:pPr>
            <w:r>
              <w:t xml:space="preserve">Trust in political parties</w:t>
            </w:r>
          </w:p>
        </w:tc>
        <w:tc>
          <w:tcPr>
            <w:tcW w:w="2268" w:type="dxa"/>
          </w:tcPr>
          <w:p>
            <w:pPr>
              <w:pStyle w:val="Cell"/>
            </w:pPr>
            <w:r>
              <w:t xml:space="preserve">0-10</w:t>
            </w:r>
          </w:p>
        </w:tc>
        <w:tc>
          <w:tcPr>
            <w:tcW w:w="2268" w:type="dxa"/>
          </w:tcPr>
          <w:p>
            <w:pPr>
              <w:pStyle w:val="Cell"/>
            </w:pPr>
            <w:r>
              <w:t xml:space="preserve">Institutional Trust</w:t>
            </w:r>
          </w:p>
        </w:tc>
      </w:tr>
      <w:tr>
        <w:tc>
          <w:tcPr>
            <w:tcW w:w="2268" w:type="dxa"/>
          </w:tcPr>
          <w:p>
            <w:pPr>
              <w:pStyle w:val="Cell"/>
            </w:pPr>
            <w:r>
              <w:t xml:space="preserve">trstun</w:t>
            </w:r>
          </w:p>
        </w:tc>
        <w:tc>
          <w:tcPr>
            <w:tcW w:w="2268" w:type="dxa"/>
          </w:tcPr>
          <w:p>
            <w:pPr>
              <w:pStyle w:val="Cell"/>
            </w:pPr>
            <w:r>
              <w:t xml:space="preserve">Trust in the United Nations</w:t>
            </w:r>
          </w:p>
        </w:tc>
        <w:tc>
          <w:tcPr>
            <w:tcW w:w="2268" w:type="dxa"/>
          </w:tcPr>
          <w:p>
            <w:pPr>
              <w:pStyle w:val="Cell"/>
            </w:pPr>
            <w:r>
              <w:t xml:space="preserve">0-10</w:t>
            </w:r>
          </w:p>
        </w:tc>
        <w:tc>
          <w:tcPr>
            <w:tcW w:w="2268" w:type="dxa"/>
          </w:tcPr>
          <w:p>
            <w:pPr>
              <w:pStyle w:val="Cell"/>
            </w:pPr>
            <w:r>
              <w:t xml:space="preserve">Institutional Trust</w:t>
            </w:r>
          </w:p>
        </w:tc>
      </w:tr>
      <w:tr>
        <w:tc>
          <w:tcPr>
            <w:tcW w:w="2268" w:type="dxa"/>
          </w:tcPr>
          <w:p>
            <w:pPr>
              <w:pStyle w:val="Cell"/>
            </w:pPr>
            <w:r>
              <w:t xml:space="preserve">atchctr</w:t>
            </w:r>
          </w:p>
        </w:tc>
        <w:tc>
          <w:tcPr>
            <w:tcW w:w="2268" w:type="dxa"/>
          </w:tcPr>
          <w:p>
            <w:pPr>
              <w:pStyle w:val="Cell"/>
            </w:pPr>
            <w:r>
              <w:t xml:space="preserve">How emotionally attached to country</w:t>
            </w:r>
          </w:p>
        </w:tc>
        <w:tc>
          <w:tcPr>
            <w:tcW w:w="2268" w:type="dxa"/>
          </w:tcPr>
          <w:p>
            <w:pPr>
              <w:pStyle w:val="Cell"/>
            </w:pPr>
            <w:r>
              <w:t xml:space="preserve">0-10</w:t>
            </w:r>
          </w:p>
        </w:tc>
        <w:tc>
          <w:tcPr>
            <w:tcW w:w="2268" w:type="dxa"/>
          </w:tcPr>
          <w:p>
            <w:pPr>
              <w:pStyle w:val="Cell"/>
            </w:pPr>
            <w:r>
              <w:t xml:space="preserve">National Attachment</w:t>
            </w:r>
          </w:p>
        </w:tc>
      </w:tr>
      <w:tr>
        <w:tc>
          <w:tcPr>
            <w:tcW w:w="2268" w:type="dxa"/>
          </w:tcPr>
          <w:p>
            <w:pPr>
              <w:pStyle w:val="Cell"/>
            </w:pPr>
            <w:r>
              <w:t xml:space="preserve">atcherp</w:t>
            </w:r>
          </w:p>
        </w:tc>
        <w:tc>
          <w:tcPr>
            <w:tcW w:w="2268" w:type="dxa"/>
          </w:tcPr>
          <w:p>
            <w:pPr>
              <w:pStyle w:val="Cell"/>
            </w:pPr>
            <w:r>
              <w:t xml:space="preserve">How emotionally attached to Europe</w:t>
            </w:r>
          </w:p>
        </w:tc>
        <w:tc>
          <w:tcPr>
            <w:tcW w:w="2268" w:type="dxa"/>
          </w:tcPr>
          <w:p>
            <w:pPr>
              <w:pStyle w:val="Cell"/>
            </w:pPr>
            <w:r>
              <w:t xml:space="preserve">0-10</w:t>
            </w:r>
          </w:p>
        </w:tc>
        <w:tc>
          <w:tcPr>
            <w:tcW w:w="2268" w:type="dxa"/>
          </w:tcPr>
          <w:p>
            <w:pPr>
              <w:pStyle w:val="Cell"/>
            </w:pPr>
            <w:r>
              <w:t xml:space="preserve">National Attachment</w:t>
            </w:r>
          </w:p>
        </w:tc>
      </w:tr>
      <w:tr>
        <w:tc>
          <w:tcPr>
            <w:tcW w:w="2268" w:type="dxa"/>
          </w:tcPr>
          <w:p>
            <w:pPr>
              <w:pStyle w:val="Cell"/>
            </w:pPr>
            <w:r>
              <w:t xml:space="preserve">polintr</w:t>
            </w:r>
          </w:p>
        </w:tc>
        <w:tc>
          <w:tcPr>
            <w:tcW w:w="2268" w:type="dxa"/>
          </w:tcPr>
          <w:p>
            <w:pPr>
              <w:pStyle w:val="Cell"/>
            </w:pPr>
            <w:r>
              <w:t xml:space="preserve">How interested in politics</w:t>
            </w:r>
          </w:p>
        </w:tc>
        <w:tc>
          <w:tcPr>
            <w:tcW w:w="2268" w:type="dxa"/>
          </w:tcPr>
          <w:p>
            <w:pPr>
              <w:pStyle w:val="Cell"/>
            </w:pPr>
            <w:r>
              <w:t xml:space="preserve">1-4</w:t>
            </w:r>
          </w:p>
        </w:tc>
        <w:tc>
          <w:tcPr>
            <w:tcW w:w="2268" w:type="dxa"/>
          </w:tcPr>
          <w:p>
            <w:pPr>
              <w:pStyle w:val="Cell"/>
            </w:pPr>
            <w:r>
              <w:t xml:space="preserve">Political Attitudes</w:t>
            </w:r>
          </w:p>
        </w:tc>
      </w:tr>
      <w:tr>
        <w:tc>
          <w:tcPr>
            <w:tcW w:w="2268" w:type="dxa"/>
          </w:tcPr>
          <w:p>
            <w:pPr>
              <w:pStyle w:val="Cell"/>
            </w:pPr>
            <w:r>
              <w:t xml:space="preserve">psppipla</w:t>
            </w:r>
          </w:p>
        </w:tc>
        <w:tc>
          <w:tcPr>
            <w:tcW w:w="2268" w:type="dxa"/>
          </w:tcPr>
          <w:p>
            <w:pPr>
              <w:pStyle w:val="Cell"/>
            </w:pPr>
            <w:r>
              <w:t xml:space="preserve">Political system allows people to have influence on politics</w:t>
            </w:r>
          </w:p>
        </w:tc>
        <w:tc>
          <w:tcPr>
            <w:tcW w:w="2268" w:type="dxa"/>
          </w:tcPr>
          <w:p>
            <w:pPr>
              <w:pStyle w:val="Cell"/>
            </w:pPr>
            <w:r>
              <w:t xml:space="preserve">1-5</w:t>
            </w:r>
          </w:p>
        </w:tc>
        <w:tc>
          <w:tcPr>
            <w:tcW w:w="2268" w:type="dxa"/>
          </w:tcPr>
          <w:p>
            <w:pPr>
              <w:pStyle w:val="Cell"/>
            </w:pPr>
            <w:r>
              <w:t xml:space="preserve">Political Attitudes</w:t>
            </w:r>
          </w:p>
        </w:tc>
      </w:tr>
      <w:tr>
        <w:tc>
          <w:tcPr>
            <w:tcW w:w="2268" w:type="dxa"/>
          </w:tcPr>
          <w:p>
            <w:pPr>
              <w:pStyle w:val="Cell"/>
            </w:pPr>
            <w:r>
              <w:t xml:space="preserve">psppsgva</w:t>
            </w:r>
          </w:p>
        </w:tc>
        <w:tc>
          <w:tcPr>
            <w:tcW w:w="2268" w:type="dxa"/>
          </w:tcPr>
          <w:p>
            <w:pPr>
              <w:pStyle w:val="Cell"/>
            </w:pPr>
            <w:r>
              <w:t xml:space="preserve">Political system allows people to have a say in what government does</w:t>
            </w:r>
          </w:p>
        </w:tc>
        <w:tc>
          <w:tcPr>
            <w:tcW w:w="2268" w:type="dxa"/>
          </w:tcPr>
          <w:p>
            <w:pPr>
              <w:pStyle w:val="Cell"/>
            </w:pPr>
            <w:r>
              <w:t xml:space="preserve">1-5</w:t>
            </w:r>
          </w:p>
        </w:tc>
        <w:tc>
          <w:tcPr>
            <w:tcW w:w="2268" w:type="dxa"/>
          </w:tcPr>
          <w:p>
            <w:pPr>
              <w:pStyle w:val="Cell"/>
            </w:pPr>
            <w:r>
              <w:t xml:space="preserve">Political Attitudes</w:t>
            </w:r>
          </w:p>
        </w:tc>
      </w:tr>
      <w:tr>
        <w:tc>
          <w:tcPr>
            <w:tcW w:w="2268" w:type="dxa"/>
          </w:tcPr>
          <w:p>
            <w:pPr>
              <w:pStyle w:val="Cell"/>
            </w:pPr>
            <w:r>
              <w:t xml:space="preserve">stfdem</w:t>
            </w:r>
          </w:p>
        </w:tc>
        <w:tc>
          <w:tcPr>
            <w:tcW w:w="2268" w:type="dxa"/>
          </w:tcPr>
          <w:p>
            <w:pPr>
              <w:pStyle w:val="Cell"/>
            </w:pPr>
            <w:r>
              <w:t xml:space="preserve">How satisfied with the way democracy works in country</w:t>
            </w:r>
          </w:p>
        </w:tc>
        <w:tc>
          <w:tcPr>
            <w:tcW w:w="2268" w:type="dxa"/>
          </w:tcPr>
          <w:p>
            <w:pPr>
              <w:pStyle w:val="Cell"/>
            </w:pPr>
            <w:r>
              <w:t xml:space="preserve">0-10</w:t>
            </w:r>
          </w:p>
        </w:tc>
        <w:tc>
          <w:tcPr>
            <w:tcW w:w="2268" w:type="dxa"/>
          </w:tcPr>
          <w:p>
            <w:pPr>
              <w:pStyle w:val="Cell"/>
            </w:pPr>
            <w:r>
              <w:t xml:space="preserve">Political Attitudes</w:t>
            </w:r>
          </w:p>
        </w:tc>
      </w:tr>
      <w:tr>
        <w:tc>
          <w:tcPr>
            <w:tcW w:w="2268" w:type="dxa"/>
          </w:tcPr>
          <w:p>
            <w:pPr>
              <w:pStyle w:val="Cell"/>
            </w:pPr>
            <w:r>
              <w:t xml:space="preserve">vote</w:t>
            </w:r>
          </w:p>
        </w:tc>
        <w:tc>
          <w:tcPr>
            <w:tcW w:w="2268" w:type="dxa"/>
          </w:tcPr>
          <w:p>
            <w:pPr>
              <w:pStyle w:val="Cell"/>
            </w:pPr>
            <w:r>
              <w:t xml:space="preserve">Voted last national election</w:t>
            </w:r>
          </w:p>
        </w:tc>
        <w:tc>
          <w:tcPr>
            <w:tcW w:w="2268" w:type="dxa"/>
          </w:tcPr>
          <w:p>
            <w:pPr>
              <w:pStyle w:val="Cell"/>
            </w:pPr>
            <w:r>
              <w:t xml:space="preserve">1-3</w:t>
            </w:r>
          </w:p>
        </w:tc>
        <w:tc>
          <w:tcPr>
            <w:tcW w:w="2268" w:type="dxa"/>
          </w:tcPr>
          <w:p>
            <w:pPr>
              <w:pStyle w:val="Cell"/>
            </w:pPr>
            <w:r>
              <w:t xml:space="preserve">Political Attitudes</w:t>
            </w:r>
          </w:p>
        </w:tc>
      </w:tr>
      <w:tr>
        <w:tc>
          <w:tcPr>
            <w:tcW w:w="2268" w:type="dxa"/>
          </w:tcPr>
          <w:p>
            <w:pPr>
              <w:pStyle w:val="Cell"/>
            </w:pPr>
            <w:r>
              <w:t xml:space="preserve">actrolga</w:t>
            </w:r>
          </w:p>
        </w:tc>
        <w:tc>
          <w:tcPr>
            <w:tcW w:w="2268" w:type="dxa"/>
          </w:tcPr>
          <w:p>
            <w:pPr>
              <w:pStyle w:val="Cell"/>
            </w:pPr>
            <w:r>
              <w:t xml:space="preserve">Able to take active role in political group</w:t>
            </w:r>
          </w:p>
        </w:tc>
        <w:tc>
          <w:tcPr>
            <w:tcW w:w="2268" w:type="dxa"/>
          </w:tcPr>
          <w:p>
            <w:pPr>
              <w:pStyle w:val="Cell"/>
            </w:pPr>
            <w:r>
              <w:t xml:space="preserve">1-5</w:t>
            </w:r>
          </w:p>
        </w:tc>
        <w:tc>
          <w:tcPr>
            <w:tcW w:w="2268" w:type="dxa"/>
          </w:tcPr>
          <w:p>
            <w:pPr>
              <w:pStyle w:val="Cell"/>
            </w:pPr>
            <w:r>
              <w:t xml:space="preserve">Political Efficacy</w:t>
            </w:r>
          </w:p>
        </w:tc>
      </w:tr>
      <w:tr>
        <w:tc>
          <w:tcPr>
            <w:tcW w:w="2268" w:type="dxa"/>
          </w:tcPr>
          <w:p>
            <w:pPr>
              <w:pStyle w:val="Cell"/>
            </w:pPr>
            <w:r>
              <w:t xml:space="preserve">cptppola</w:t>
            </w:r>
          </w:p>
        </w:tc>
        <w:tc>
          <w:tcPr>
            <w:tcW w:w="2268" w:type="dxa"/>
          </w:tcPr>
          <w:p>
            <w:pPr>
              <w:pStyle w:val="Cell"/>
            </w:pPr>
            <w:r>
              <w:t xml:space="preserve">Confident in own ability to participate in politics</w:t>
            </w:r>
          </w:p>
        </w:tc>
        <w:tc>
          <w:tcPr>
            <w:tcW w:w="2268" w:type="dxa"/>
          </w:tcPr>
          <w:p>
            <w:pPr>
              <w:pStyle w:val="Cell"/>
            </w:pPr>
            <w:r>
              <w:t xml:space="preserve">1-5</w:t>
            </w:r>
          </w:p>
        </w:tc>
        <w:tc>
          <w:tcPr>
            <w:tcW w:w="2268" w:type="dxa"/>
          </w:tcPr>
          <w:p>
            <w:pPr>
              <w:pStyle w:val="Cell"/>
            </w:pPr>
            <w:r>
              <w:t xml:space="preserve">Political Efficacy</w:t>
            </w:r>
          </w:p>
        </w:tc>
      </w:tr>
      <w:tr>
        <w:tc>
          <w:tcPr>
            <w:tcW w:w="2268" w:type="dxa"/>
          </w:tcPr>
          <w:p>
            <w:pPr>
              <w:pStyle w:val="Cell"/>
            </w:pPr>
            <w:r>
              <w:t xml:space="preserve">rlgatnd</w:t>
            </w:r>
          </w:p>
        </w:tc>
        <w:tc>
          <w:tcPr>
            <w:tcW w:w="2268" w:type="dxa"/>
          </w:tcPr>
          <w:p>
            <w:pPr>
              <w:pStyle w:val="Cell"/>
            </w:pPr>
            <w:r>
              <w:t xml:space="preserve">How often attend religious services apart from special occasions</w:t>
            </w:r>
          </w:p>
        </w:tc>
        <w:tc>
          <w:tcPr>
            <w:tcW w:w="2268" w:type="dxa"/>
          </w:tcPr>
          <w:p>
            <w:pPr>
              <w:pStyle w:val="Cell"/>
            </w:pPr>
            <w:r>
              <w:t xml:space="preserve">1-7</w:t>
            </w:r>
          </w:p>
        </w:tc>
        <w:tc>
          <w:tcPr>
            <w:tcW w:w="2268" w:type="dxa"/>
          </w:tcPr>
          <w:p>
            <w:pPr>
              <w:pStyle w:val="Cell"/>
            </w:pPr>
            <w:r>
              <w:t xml:space="preserve">Religion</w:t>
            </w:r>
          </w:p>
        </w:tc>
      </w:tr>
      <w:tr>
        <w:tc>
          <w:tcPr>
            <w:tcW w:w="2268" w:type="dxa"/>
          </w:tcPr>
          <w:p>
            <w:pPr>
              <w:pStyle w:val="Cell"/>
            </w:pPr>
            <w:r>
              <w:t xml:space="preserve">aesfdrk</w:t>
            </w:r>
          </w:p>
        </w:tc>
        <w:tc>
          <w:tcPr>
            <w:tcW w:w="2268" w:type="dxa"/>
          </w:tcPr>
          <w:p>
            <w:pPr>
              <w:pStyle w:val="Cell"/>
            </w:pPr>
            <w:r>
              <w:t xml:space="preserve">Feeling of safety of walking alone in local area after dark</w:t>
            </w:r>
          </w:p>
        </w:tc>
        <w:tc>
          <w:tcPr>
            <w:tcW w:w="2268" w:type="dxa"/>
          </w:tcPr>
          <w:p>
            <w:pPr>
              <w:pStyle w:val="Cell"/>
            </w:pPr>
            <w:r>
              <w:t xml:space="preserve">1-4</w:t>
            </w:r>
          </w:p>
        </w:tc>
        <w:tc>
          <w:tcPr>
            <w:tcW w:w="2268" w:type="dxa"/>
          </w:tcPr>
          <w:p>
            <w:pPr>
              <w:pStyle w:val="Cell"/>
            </w:pPr>
            <w:r>
              <w:t xml:space="preserve">Safety</w:t>
            </w:r>
          </w:p>
        </w:tc>
      </w:tr>
      <w:tr>
        <w:tc>
          <w:tcPr>
            <w:tcW w:w="2268" w:type="dxa"/>
          </w:tcPr>
          <w:p>
            <w:pPr>
              <w:pStyle w:val="Cell"/>
            </w:pPr>
            <w:r>
              <w:t xml:space="preserve">inprdsc</w:t>
            </w:r>
          </w:p>
        </w:tc>
        <w:tc>
          <w:tcPr>
            <w:tcW w:w="2268" w:type="dxa"/>
          </w:tcPr>
          <w:p>
            <w:pPr>
              <w:pStyle w:val="Cell"/>
            </w:pPr>
            <w:r>
              <w:t xml:space="preserve">How many people with whom you can discuss intimate and personal matters</w:t>
            </w:r>
          </w:p>
        </w:tc>
        <w:tc>
          <w:tcPr>
            <w:tcW w:w="2268" w:type="dxa"/>
          </w:tcPr>
          <w:p>
            <w:pPr>
              <w:pStyle w:val="Cell"/>
            </w:pPr>
            <w:r>
              <w:t xml:space="preserve">0-6</w:t>
            </w:r>
          </w:p>
        </w:tc>
        <w:tc>
          <w:tcPr>
            <w:tcW w:w="2268" w:type="dxa"/>
          </w:tcPr>
          <w:p>
            <w:pPr>
              <w:pStyle w:val="Cell"/>
            </w:pPr>
            <w:r>
              <w:t xml:space="preserve">Social Trust</w:t>
            </w:r>
          </w:p>
        </w:tc>
      </w:tr>
      <w:tr>
        <w:tc>
          <w:tcPr>
            <w:tcW w:w="2268" w:type="dxa"/>
          </w:tcPr>
          <w:p>
            <w:pPr>
              <w:pStyle w:val="Cell"/>
            </w:pPr>
            <w:r>
              <w:t xml:space="preserve">pplfair</w:t>
            </w:r>
          </w:p>
        </w:tc>
        <w:tc>
          <w:tcPr>
            <w:tcW w:w="2268" w:type="dxa"/>
          </w:tcPr>
          <w:p>
            <w:pPr>
              <w:pStyle w:val="Cell"/>
            </w:pPr>
            <w:r>
              <w:t xml:space="preserve">Most people try to take advantage of you, or try to be fair</w:t>
            </w:r>
          </w:p>
        </w:tc>
        <w:tc>
          <w:tcPr>
            <w:tcW w:w="2268" w:type="dxa"/>
          </w:tcPr>
          <w:p>
            <w:pPr>
              <w:pStyle w:val="Cell"/>
            </w:pPr>
            <w:r>
              <w:t xml:space="preserve">0-10</w:t>
            </w:r>
          </w:p>
        </w:tc>
        <w:tc>
          <w:tcPr>
            <w:tcW w:w="2268" w:type="dxa"/>
          </w:tcPr>
          <w:p>
            <w:pPr>
              <w:pStyle w:val="Cell"/>
            </w:pPr>
            <w:r>
              <w:t xml:space="preserve">Social Trust</w:t>
            </w:r>
          </w:p>
        </w:tc>
      </w:tr>
      <w:tr>
        <w:tc>
          <w:tcPr>
            <w:tcW w:w="2268" w:type="dxa"/>
          </w:tcPr>
          <w:p>
            <w:pPr>
              <w:pStyle w:val="Cell"/>
            </w:pPr>
            <w:r>
              <w:t xml:space="preserve">pplhlp</w:t>
            </w:r>
          </w:p>
        </w:tc>
        <w:tc>
          <w:tcPr>
            <w:tcW w:w="2268" w:type="dxa"/>
          </w:tcPr>
          <w:p>
            <w:pPr>
              <w:pStyle w:val="Cell"/>
            </w:pPr>
            <w:r>
              <w:t xml:space="preserve">Most of the time people are helpful or mostly looking out for themselves</w:t>
            </w:r>
          </w:p>
        </w:tc>
        <w:tc>
          <w:tcPr>
            <w:tcW w:w="2268" w:type="dxa"/>
          </w:tcPr>
          <w:p>
            <w:pPr>
              <w:pStyle w:val="Cell"/>
            </w:pPr>
            <w:r>
              <w:t xml:space="preserve">0-10</w:t>
            </w:r>
          </w:p>
        </w:tc>
        <w:tc>
          <w:tcPr>
            <w:tcW w:w="2268" w:type="dxa"/>
          </w:tcPr>
          <w:p>
            <w:pPr>
              <w:pStyle w:val="Cell"/>
            </w:pPr>
            <w:r>
              <w:t xml:space="preserve">Social Trust</w:t>
            </w:r>
          </w:p>
        </w:tc>
      </w:tr>
      <w:tr>
        <w:tc>
          <w:tcPr>
            <w:tcW w:w="2268" w:type="dxa"/>
          </w:tcPr>
          <w:p>
            <w:pPr>
              <w:pStyle w:val="Cell"/>
            </w:pPr>
            <w:r>
              <w:t xml:space="preserve">ppltrst</w:t>
            </w:r>
          </w:p>
        </w:tc>
        <w:tc>
          <w:tcPr>
            <w:tcW w:w="2268" w:type="dxa"/>
          </w:tcPr>
          <w:p>
            <w:pPr>
              <w:pStyle w:val="Cell"/>
            </w:pPr>
            <w:r>
              <w:t xml:space="preserve">Most people can be trusted, or you can't be too careful</w:t>
            </w:r>
          </w:p>
        </w:tc>
        <w:tc>
          <w:tcPr>
            <w:tcW w:w="2268" w:type="dxa"/>
          </w:tcPr>
          <w:p>
            <w:pPr>
              <w:pStyle w:val="Cell"/>
            </w:pPr>
            <w:r>
              <w:t xml:space="preserve">0-10</w:t>
            </w:r>
          </w:p>
        </w:tc>
        <w:tc>
          <w:tcPr>
            <w:tcW w:w="2268" w:type="dxa"/>
          </w:tcPr>
          <w:p>
            <w:pPr>
              <w:pStyle w:val="Cell"/>
            </w:pPr>
            <w:r>
              <w:t xml:space="preserve">Social Trust</w:t>
            </w:r>
          </w:p>
        </w:tc>
      </w:tr>
      <w:tr>
        <w:tc>
          <w:tcPr>
            <w:tcW w:w="2268" w:type="dxa"/>
          </w:tcPr>
          <w:p>
            <w:pPr>
              <w:pStyle w:val="Cell"/>
            </w:pPr>
            <w:r>
              <w:t xml:space="preserve">sclmeet</w:t>
            </w:r>
          </w:p>
        </w:tc>
        <w:tc>
          <w:tcPr>
            <w:tcW w:w="2268" w:type="dxa"/>
          </w:tcPr>
          <w:p>
            <w:pPr>
              <w:pStyle w:val="Cell"/>
            </w:pPr>
            <w:r>
              <w:t xml:space="preserve">How often socially meet with friends, relatives or colleagues</w:t>
            </w:r>
          </w:p>
        </w:tc>
        <w:tc>
          <w:tcPr>
            <w:tcW w:w="2268" w:type="dxa"/>
          </w:tcPr>
          <w:p>
            <w:pPr>
              <w:pStyle w:val="Cell"/>
            </w:pPr>
            <w:r>
              <w:t xml:space="preserve">1-7</w:t>
            </w:r>
          </w:p>
        </w:tc>
        <w:tc>
          <w:tcPr>
            <w:tcW w:w="2268" w:type="dxa"/>
          </w:tcPr>
          <w:p>
            <w:pPr>
              <w:pStyle w:val="Cell"/>
            </w:pPr>
            <w:r>
              <w:t xml:space="preserve">Social Trust</w:t>
            </w:r>
          </w:p>
        </w:tc>
      </w:tr>
      <w:tr>
        <w:tc>
          <w:tcPr>
            <w:tcW w:w="2268" w:type="dxa"/>
          </w:tcPr>
          <w:p>
            <w:pPr>
              <w:pStyle w:val="Cell"/>
            </w:pPr>
            <w:r>
              <w:t xml:space="preserve">euftf</w:t>
            </w:r>
          </w:p>
        </w:tc>
        <w:tc>
          <w:tcPr>
            <w:tcW w:w="2268" w:type="dxa"/>
          </w:tcPr>
          <w:p>
            <w:pPr>
              <w:pStyle w:val="Cell"/>
            </w:pPr>
            <w:r>
              <w:t xml:space="preserve">European unification go further or gone too far</w:t>
            </w:r>
          </w:p>
        </w:tc>
        <w:tc>
          <w:tcPr>
            <w:tcW w:w="2268" w:type="dxa"/>
          </w:tcPr>
          <w:p>
            <w:pPr>
              <w:pStyle w:val="Cell"/>
            </w:pPr>
            <w:r>
              <w:t xml:space="preserve">0-10</w:t>
            </w:r>
          </w:p>
        </w:tc>
        <w:tc>
          <w:tcPr>
            <w:tcW w:w="2268" w:type="dxa"/>
          </w:tcPr>
          <w:p>
            <w:pPr>
              <w:pStyle w:val="Cell"/>
            </w:pPr>
            <w:r>
              <w:t xml:space="preserve">Social Values</w:t>
            </w:r>
          </w:p>
        </w:tc>
      </w:tr>
      <w:tr>
        <w:tc>
          <w:tcPr>
            <w:tcW w:w="2268" w:type="dxa"/>
          </w:tcPr>
          <w:p>
            <w:pPr>
              <w:pStyle w:val="Cell"/>
            </w:pPr>
            <w:r>
              <w:t xml:space="preserve">freehms</w:t>
            </w:r>
          </w:p>
        </w:tc>
        <w:tc>
          <w:tcPr>
            <w:tcW w:w="2268" w:type="dxa"/>
          </w:tcPr>
          <w:p>
            <w:pPr>
              <w:pStyle w:val="Cell"/>
            </w:pPr>
            <w:r>
              <w:t xml:space="preserve">Gay men and lesbians free to live life as they wish</w:t>
            </w:r>
          </w:p>
        </w:tc>
        <w:tc>
          <w:tcPr>
            <w:tcW w:w="2268" w:type="dxa"/>
          </w:tcPr>
          <w:p>
            <w:pPr>
              <w:pStyle w:val="Cell"/>
            </w:pPr>
            <w:r>
              <w:t xml:space="preserve">1-5</w:t>
            </w:r>
          </w:p>
        </w:tc>
        <w:tc>
          <w:tcPr>
            <w:tcW w:w="2268" w:type="dxa"/>
          </w:tcPr>
          <w:p>
            <w:pPr>
              <w:pStyle w:val="Cell"/>
            </w:pPr>
            <w:r>
              <w:t xml:space="preserve">Social Values</w:t>
            </w:r>
          </w:p>
        </w:tc>
      </w:tr>
      <w:tr>
        <w:tc>
          <w:tcPr>
            <w:tcW w:w="2268" w:type="dxa"/>
          </w:tcPr>
          <w:p>
            <w:pPr>
              <w:pStyle w:val="Cell"/>
            </w:pPr>
            <w:r>
              <w:t xml:space="preserve">gincdif</w:t>
            </w:r>
          </w:p>
        </w:tc>
        <w:tc>
          <w:tcPr>
            <w:tcW w:w="2268" w:type="dxa"/>
          </w:tcPr>
          <w:p>
            <w:pPr>
              <w:pStyle w:val="Cell"/>
            </w:pPr>
            <w:r>
              <w:t xml:space="preserve">Government should reduce differences in income levels</w:t>
            </w:r>
          </w:p>
        </w:tc>
        <w:tc>
          <w:tcPr>
            <w:tcW w:w="2268" w:type="dxa"/>
          </w:tcPr>
          <w:p>
            <w:pPr>
              <w:pStyle w:val="Cell"/>
            </w:pPr>
            <w:r>
              <w:t xml:space="preserve">1-5</w:t>
            </w:r>
          </w:p>
        </w:tc>
        <w:tc>
          <w:tcPr>
            <w:tcW w:w="2268" w:type="dxa"/>
          </w:tcPr>
          <w:p>
            <w:pPr>
              <w:pStyle w:val="Cell"/>
            </w:pPr>
            <w:r>
              <w:t xml:space="preserve">Social Values</w:t>
            </w:r>
          </w:p>
        </w:tc>
      </w:tr>
      <w:tr>
        <w:tc>
          <w:tcPr>
            <w:tcW w:w="2268" w:type="dxa"/>
          </w:tcPr>
          <w:p>
            <w:pPr>
              <w:pStyle w:val="Cell"/>
            </w:pPr>
            <w:r>
              <w:t xml:space="preserve">hmsacld</w:t>
            </w:r>
          </w:p>
        </w:tc>
        <w:tc>
          <w:tcPr>
            <w:tcW w:w="2268" w:type="dxa"/>
          </w:tcPr>
          <w:p>
            <w:pPr>
              <w:pStyle w:val="Cell"/>
            </w:pPr>
            <w:r>
              <w:t xml:space="preserve">Gay male and lesbian couples should have right to adopt children</w:t>
            </w:r>
          </w:p>
        </w:tc>
        <w:tc>
          <w:tcPr>
            <w:tcW w:w="2268" w:type="dxa"/>
          </w:tcPr>
          <w:p>
            <w:pPr>
              <w:pStyle w:val="Cell"/>
            </w:pPr>
            <w:r>
              <w:t xml:space="preserve">1-5</w:t>
            </w:r>
          </w:p>
        </w:tc>
        <w:tc>
          <w:tcPr>
            <w:tcW w:w="2268" w:type="dxa"/>
          </w:tcPr>
          <w:p>
            <w:pPr>
              <w:pStyle w:val="Cell"/>
            </w:pPr>
            <w:r>
              <w:t xml:space="preserve">Social Values</w:t>
            </w:r>
          </w:p>
        </w:tc>
      </w:tr>
      <w:tr>
        <w:tc>
          <w:tcPr>
            <w:tcW w:w="2268" w:type="dxa"/>
          </w:tcPr>
          <w:p>
            <w:pPr>
              <w:pStyle w:val="Cell"/>
            </w:pPr>
            <w:r>
              <w:t xml:space="preserve">hmsfmlsh</w:t>
            </w:r>
          </w:p>
        </w:tc>
        <w:tc>
          <w:tcPr>
            <w:tcW w:w="2268" w:type="dxa"/>
          </w:tcPr>
          <w:p>
            <w:pPr>
              <w:pStyle w:val="Cell"/>
            </w:pPr>
            <w:r>
              <w:t xml:space="preserve">Ashamed if close family member is gay or lesbian</w:t>
            </w:r>
          </w:p>
        </w:tc>
        <w:tc>
          <w:tcPr>
            <w:tcW w:w="2268" w:type="dxa"/>
          </w:tcPr>
          <w:p>
            <w:pPr>
              <w:pStyle w:val="Cell"/>
            </w:pPr>
            <w:r>
              <w:t xml:space="preserve">1-5</w:t>
            </w:r>
          </w:p>
        </w:tc>
        <w:tc>
          <w:tcPr>
            <w:tcW w:w="2268" w:type="dxa"/>
          </w:tcPr>
          <w:p>
            <w:pPr>
              <w:pStyle w:val="Cell"/>
            </w:pPr>
            <w:r>
              <w:t xml:space="preserve">Social Values</w:t>
            </w:r>
          </w:p>
        </w:tc>
      </w:tr>
      <w:tr>
        <w:tc>
          <w:tcPr>
            <w:tcW w:w="2268" w:type="dxa"/>
          </w:tcPr>
          <w:p>
            <w:pPr>
              <w:pStyle w:val="Cell"/>
            </w:pPr>
            <w:r>
              <w:t xml:space="preserve">happy</w:t>
            </w:r>
          </w:p>
        </w:tc>
        <w:tc>
          <w:tcPr>
            <w:tcW w:w="2268" w:type="dxa"/>
          </w:tcPr>
          <w:p>
            <w:pPr>
              <w:pStyle w:val="Cell"/>
            </w:pPr>
            <w:r>
              <w:t xml:space="preserve">How happy are you</w:t>
            </w:r>
          </w:p>
        </w:tc>
        <w:tc>
          <w:tcPr>
            <w:tcW w:w="2268" w:type="dxa"/>
          </w:tcPr>
          <w:p>
            <w:pPr>
              <w:pStyle w:val="Cell"/>
            </w:pPr>
            <w:r>
              <w:t xml:space="preserve">0-10</w:t>
            </w:r>
          </w:p>
        </w:tc>
        <w:tc>
          <w:tcPr>
            <w:tcW w:w="2268" w:type="dxa"/>
          </w:tcPr>
          <w:p>
            <w:pPr>
              <w:pStyle w:val="Cell"/>
            </w:pPr>
            <w:r>
              <w:t xml:space="preserve">Subjective Well-being</w:t>
            </w:r>
          </w:p>
        </w:tc>
      </w:tr>
      <w:tr>
        <w:tc>
          <w:tcPr>
            <w:tcW w:w="2268" w:type="dxa"/>
          </w:tcPr>
          <w:p>
            <w:pPr>
              <w:pStyle w:val="Cell"/>
            </w:pPr>
            <w:r>
              <w:t xml:space="preserve">stfeco</w:t>
            </w:r>
          </w:p>
        </w:tc>
        <w:tc>
          <w:tcPr>
            <w:tcW w:w="2268" w:type="dxa"/>
          </w:tcPr>
          <w:p>
            <w:pPr>
              <w:pStyle w:val="Cell"/>
            </w:pPr>
            <w:r>
              <w:t xml:space="preserve">How satisfied with present state of economy in country</w:t>
            </w:r>
          </w:p>
        </w:tc>
        <w:tc>
          <w:tcPr>
            <w:tcW w:w="2268" w:type="dxa"/>
          </w:tcPr>
          <w:p>
            <w:pPr>
              <w:pStyle w:val="Cell"/>
            </w:pPr>
            <w:r>
              <w:t xml:space="preserve">0-10</w:t>
            </w:r>
          </w:p>
        </w:tc>
        <w:tc>
          <w:tcPr>
            <w:tcW w:w="2268" w:type="dxa"/>
          </w:tcPr>
          <w:p>
            <w:pPr>
              <w:pStyle w:val="Cell"/>
            </w:pPr>
            <w:r>
              <w:t xml:space="preserve">Subjective Well-being</w:t>
            </w:r>
          </w:p>
        </w:tc>
      </w:tr>
      <w:tr>
        <w:tc>
          <w:tcPr>
            <w:tcW w:w="2268" w:type="dxa"/>
          </w:tcPr>
          <w:p>
            <w:pPr>
              <w:pStyle w:val="Cell"/>
            </w:pPr>
            <w:r>
              <w:t xml:space="preserve">stfedu</w:t>
            </w:r>
          </w:p>
        </w:tc>
        <w:tc>
          <w:tcPr>
            <w:tcW w:w="2268" w:type="dxa"/>
          </w:tcPr>
          <w:p>
            <w:pPr>
              <w:pStyle w:val="Cell"/>
            </w:pPr>
            <w:r>
              <w:t xml:space="preserve">State of education in country nowadays</w:t>
            </w:r>
          </w:p>
        </w:tc>
        <w:tc>
          <w:tcPr>
            <w:tcW w:w="2268" w:type="dxa"/>
          </w:tcPr>
          <w:p>
            <w:pPr>
              <w:pStyle w:val="Cell"/>
            </w:pPr>
            <w:r>
              <w:t xml:space="preserve">0-10</w:t>
            </w:r>
          </w:p>
        </w:tc>
        <w:tc>
          <w:tcPr>
            <w:tcW w:w="2268" w:type="dxa"/>
          </w:tcPr>
          <w:p>
            <w:pPr>
              <w:pStyle w:val="Cell"/>
            </w:pPr>
            <w:r>
              <w:t xml:space="preserve">Subjective Well-being</w:t>
            </w:r>
          </w:p>
        </w:tc>
      </w:tr>
      <w:tr>
        <w:tc>
          <w:tcPr>
            <w:tcW w:w="2268" w:type="dxa"/>
          </w:tcPr>
          <w:p>
            <w:pPr>
              <w:pStyle w:val="Cell"/>
            </w:pPr>
            <w:r>
              <w:t xml:space="preserve">stfgov</w:t>
            </w:r>
          </w:p>
        </w:tc>
        <w:tc>
          <w:tcPr>
            <w:tcW w:w="2268" w:type="dxa"/>
          </w:tcPr>
          <w:p>
            <w:pPr>
              <w:pStyle w:val="Cell"/>
            </w:pPr>
            <w:r>
              <w:t xml:space="preserve">How satisfied with the national government</w:t>
            </w:r>
          </w:p>
        </w:tc>
        <w:tc>
          <w:tcPr>
            <w:tcW w:w="2268" w:type="dxa"/>
          </w:tcPr>
          <w:p>
            <w:pPr>
              <w:pStyle w:val="Cell"/>
            </w:pPr>
            <w:r>
              <w:t xml:space="preserve">0-10</w:t>
            </w:r>
          </w:p>
        </w:tc>
        <w:tc>
          <w:tcPr>
            <w:tcW w:w="2268" w:type="dxa"/>
          </w:tcPr>
          <w:p>
            <w:pPr>
              <w:pStyle w:val="Cell"/>
            </w:pPr>
            <w:r>
              <w:t xml:space="preserve">Subjective Well-being</w:t>
            </w:r>
          </w:p>
        </w:tc>
      </w:tr>
      <w:tr>
        <w:tc>
          <w:tcPr>
            <w:tcW w:w="2268" w:type="dxa"/>
          </w:tcPr>
          <w:p>
            <w:pPr>
              <w:pStyle w:val="Cell"/>
            </w:pPr>
            <w:r>
              <w:t xml:space="preserve">stfhlth</w:t>
            </w:r>
          </w:p>
        </w:tc>
        <w:tc>
          <w:tcPr>
            <w:tcW w:w="2268" w:type="dxa"/>
          </w:tcPr>
          <w:p>
            <w:pPr>
              <w:pStyle w:val="Cell"/>
            </w:pPr>
            <w:r>
              <w:t xml:space="preserve">State of health services in country nowadays</w:t>
            </w:r>
          </w:p>
        </w:tc>
        <w:tc>
          <w:tcPr>
            <w:tcW w:w="2268" w:type="dxa"/>
          </w:tcPr>
          <w:p>
            <w:pPr>
              <w:pStyle w:val="Cell"/>
            </w:pPr>
            <w:r>
              <w:t xml:space="preserve">0-10</w:t>
            </w:r>
          </w:p>
        </w:tc>
        <w:tc>
          <w:tcPr>
            <w:tcW w:w="2268" w:type="dxa"/>
          </w:tcPr>
          <w:p>
            <w:pPr>
              <w:pStyle w:val="Cell"/>
            </w:pPr>
            <w:r>
              <w:t xml:space="preserve">Subjective Well-being</w:t>
            </w:r>
          </w:p>
        </w:tc>
      </w:tr>
      <w:tr>
        <w:tc>
          <w:tcPr>
            <w:tcW w:w="2268" w:type="dxa"/>
          </w:tcPr>
          <w:p>
            <w:pPr>
              <w:pStyle w:val="Cell"/>
            </w:pPr>
            <w:r>
              <w:t xml:space="preserve">stflife</w:t>
            </w:r>
          </w:p>
        </w:tc>
        <w:tc>
          <w:tcPr>
            <w:tcW w:w="2268" w:type="dxa"/>
          </w:tcPr>
          <w:p>
            <w:pPr>
              <w:pStyle w:val="Cell"/>
            </w:pPr>
            <w:r>
              <w:t xml:space="preserve">How satisfied with life as a whole</w:t>
            </w:r>
          </w:p>
        </w:tc>
        <w:tc>
          <w:tcPr>
            <w:tcW w:w="2268" w:type="dxa"/>
          </w:tcPr>
          <w:p>
            <w:pPr>
              <w:pStyle w:val="Cell"/>
            </w:pPr>
            <w:r>
              <w:t xml:space="preserve">0-10</w:t>
            </w:r>
          </w:p>
        </w:tc>
        <w:tc>
          <w:tcPr>
            <w:tcW w:w="2268" w:type="dxa"/>
          </w:tcPr>
          <w:p>
            <w:pPr>
              <w:pStyle w:val="Cell"/>
            </w:pPr>
            <w:r>
              <w:t xml:space="preserve">Subjective Well-being</w:t>
            </w:r>
          </w:p>
        </w:tc>
      </w:tr>
    </w:tbl>
    <w:p>
      <w:pPr>
        <w:pStyle w:val="H3"/>
      </w:pPr>
      <w:r>
        <w:t xml:space="preserve">Example prompt (abbreviated)</w:t>
      </w:r>
    </w:p>
    <w:p>
      <w:pPr>
        <w:pStyle w:val="Body"/>
      </w:pPr>
      <w:r>
        <w:t xml:space="preserve">The abbreviated example illustrates the first-person framing;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comparison for 7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814"/>
        <w:gridCol w:w="1814"/>
        <w:gridCol w:w="1814"/>
        <w:gridCol w:w="1814"/>
        <w:gridCol w:w="1814"/>
      </w:tblGrid>
      <w:tr>
        <w:tc>
          <w:tcPr>
            <w:tcW w:w="1814" w:type="dxa"/>
            <w:tcBorders>
              <w:bottom w:val="single" w:sz="8" w:space="0" w:color="000000"/>
            </w:tcBorders>
          </w:tcPr>
          <w:p>
            <w:pPr>
              <w:pStyle w:val="Cell"/>
            </w:pPr>
            <w:r>
              <w:rPr>
                <w:b/>
              </w:rPr>
              <w:t xml:space="preserve">Variable</w:t>
            </w:r>
          </w:p>
        </w:tc>
        <w:tc>
          <w:tcPr>
            <w:tcW w:w="1814" w:type="dxa"/>
            <w:tcBorders>
              <w:bottom w:val="single" w:sz="8" w:space="0" w:color="000000"/>
            </w:tcBorders>
          </w:tcPr>
          <w:p>
            <w:pPr>
              <w:pStyle w:val="Cell"/>
            </w:pPr>
            <w:r>
              <w:rPr>
                <w:b/>
              </w:rPr>
              <w:t xml:space="preserve">rind (leaked)</w:t>
            </w:r>
          </w:p>
        </w:tc>
        <w:tc>
          <w:tcPr>
            <w:tcW w:w="1814" w:type="dxa"/>
            <w:tcBorders>
              <w:bottom w:val="single" w:sz="8" w:space="0" w:color="000000"/>
            </w:tcBorders>
          </w:tcPr>
          <w:p>
            <w:pPr>
              <w:pStyle w:val="Cell"/>
            </w:pPr>
            <w:r>
              <w:rPr>
                <w:b/>
              </w:rPr>
              <w:t xml:space="preserve">rind (clean)</w:t>
            </w:r>
          </w:p>
        </w:tc>
        <w:tc>
          <w:tcPr>
            <w:tcW w:w="1814" w:type="dxa"/>
            <w:tcBorders>
              <w:bottom w:val="single" w:sz="8" w:space="0" w:color="000000"/>
            </w:tcBorders>
          </w:tcPr>
          <w:p>
            <w:pPr>
              <w:pStyle w:val="Cell"/>
            </w:pPr>
            <w:r>
              <w:rPr>
                <w:b/>
              </w:rPr>
              <w:t xml:space="preserve">Difference</w:t>
            </w:r>
          </w:p>
        </w:tc>
        <w:tc>
          <w:tcPr>
            <w:tcW w:w="1814" w:type="dxa"/>
            <w:tcBorders>
              <w:bottom w:val="single" w:sz="8" w:space="0" w:color="000000"/>
            </w:tcBorders>
          </w:tcPr>
          <w:p>
            <w:pPr>
              <w:pStyle w:val="Cell"/>
            </w:pPr>
            <w:r>
              <w:rPr>
                <w:b/>
              </w:rPr>
              <w:t xml:space="preserve">Interpretation</w:t>
            </w:r>
          </w:p>
        </w:tc>
      </w:tr>
      <w:tr>
        <w:tc>
          <w:tcPr>
            <w:tcW w:w="1814" w:type="dxa"/>
          </w:tcPr>
          <w:p>
            <w:pPr>
              <w:pStyle w:val="Cell"/>
            </w:pPr>
            <w:r>
              <w:t xml:space="preserve">inprdsc</w:t>
            </w:r>
          </w:p>
        </w:tc>
        <w:tc>
          <w:tcPr>
            <w:tcW w:w="1814" w:type="dxa"/>
          </w:tcPr>
          <w:p>
            <w:pPr>
              <w:pStyle w:val="Cell"/>
            </w:pPr>
            <w:r>
              <w:t xml:space="preserve">0.854</w:t>
            </w:r>
          </w:p>
        </w:tc>
        <w:tc>
          <w:tcPr>
            <w:tcW w:w="1814" w:type="dxa"/>
          </w:tcPr>
          <w:p>
            <w:pPr>
              <w:pStyle w:val="Cell"/>
            </w:pPr>
            <w:r>
              <w:t xml:space="preserve">0.038</w:t>
            </w:r>
          </w:p>
        </w:tc>
        <w:tc>
          <w:tcPr>
            <w:tcW w:w="1814" w:type="dxa"/>
          </w:tcPr>
          <w:p>
            <w:pPr>
              <w:pStyle w:val="Cell"/>
            </w:pPr>
            <w:r>
              <w:t xml:space="preserve">−0.817</w:t>
            </w:r>
          </w:p>
        </w:tc>
        <w:tc>
          <w:tcPr>
            <w:tcW w:w="1814" w:type="dxa"/>
          </w:tcPr>
          <w:p>
            <w:pPr>
              <w:pStyle w:val="Cell"/>
            </w:pPr>
            <w:r>
              <w:t xml:space="preserve">Echo removed</w:t>
            </w:r>
          </w:p>
        </w:tc>
      </w:tr>
      <w:tr>
        <w:tc>
          <w:tcPr>
            <w:tcW w:w="1814" w:type="dxa"/>
          </w:tcPr>
          <w:p>
            <w:pPr>
              <w:pStyle w:val="Cell"/>
            </w:pPr>
            <w:r>
              <w:t xml:space="preserve">sclmeet</w:t>
            </w:r>
          </w:p>
        </w:tc>
        <w:tc>
          <w:tcPr>
            <w:tcW w:w="1814" w:type="dxa"/>
          </w:tcPr>
          <w:p>
            <w:pPr>
              <w:pStyle w:val="Cell"/>
            </w:pPr>
            <w:r>
              <w:t xml:space="preserve">0.291</w:t>
            </w:r>
          </w:p>
        </w:tc>
        <w:tc>
          <w:tcPr>
            <w:tcW w:w="1814" w:type="dxa"/>
          </w:tcPr>
          <w:p>
            <w:pPr>
              <w:pStyle w:val="Cell"/>
            </w:pPr>
            <w:r>
              <w:t xml:space="preserve">0.035</w:t>
            </w:r>
          </w:p>
        </w:tc>
        <w:tc>
          <w:tcPr>
            <w:tcW w:w="1814" w:type="dxa"/>
          </w:tcPr>
          <w:p>
            <w:pPr>
              <w:pStyle w:val="Cell"/>
            </w:pPr>
            <w:r>
              <w:t xml:space="preserve">−0.256</w:t>
            </w:r>
          </w:p>
        </w:tc>
        <w:tc>
          <w:tcPr>
            <w:tcW w:w="1814" w:type="dxa"/>
          </w:tcPr>
          <w:p>
            <w:pPr>
              <w:pStyle w:val="Cell"/>
            </w:pPr>
            <w:r>
              <w:t xml:space="preserve">Echo removed</w:t>
            </w:r>
          </w:p>
        </w:tc>
      </w:tr>
      <w:tr>
        <w:tc>
          <w:tcPr>
            <w:tcW w:w="1814" w:type="dxa"/>
          </w:tcPr>
          <w:p>
            <w:pPr>
              <w:pStyle w:val="Cell"/>
            </w:pPr>
            <w:r>
              <w:t xml:space="preserve">vote</w:t>
            </w:r>
          </w:p>
        </w:tc>
        <w:tc>
          <w:tcPr>
            <w:tcW w:w="1814" w:type="dxa"/>
          </w:tcPr>
          <w:p>
            <w:pPr>
              <w:pStyle w:val="Cell"/>
            </w:pPr>
            <w:r>
              <w:t xml:space="preserve">0.142</w:t>
            </w:r>
          </w:p>
        </w:tc>
        <w:tc>
          <w:tcPr>
            <w:tcW w:w="1814" w:type="dxa"/>
          </w:tcPr>
          <w:p>
            <w:pPr>
              <w:pStyle w:val="Cell"/>
            </w:pPr>
            <w:r>
              <w:t xml:space="preserve">−0.037</w:t>
            </w:r>
          </w:p>
        </w:tc>
        <w:tc>
          <w:tcPr>
            <w:tcW w:w="1814" w:type="dxa"/>
          </w:tcPr>
          <w:p>
            <w:pPr>
              <w:pStyle w:val="Cell"/>
            </w:pPr>
            <w:r>
              <w:t xml:space="preserve">−0.179</w:t>
            </w:r>
          </w:p>
        </w:tc>
        <w:tc>
          <w:tcPr>
            <w:tcW w:w="1814" w:type="dxa"/>
          </w:tcPr>
          <w:p>
            <w:pPr>
              <w:pStyle w:val="Cell"/>
            </w:pPr>
            <w:r>
              <w:t xml:space="preserve">Echo removed</w:t>
            </w:r>
          </w:p>
        </w:tc>
      </w:tr>
      <w:tr>
        <w:tc>
          <w:tcPr>
            <w:tcW w:w="1814" w:type="dxa"/>
          </w:tcPr>
          <w:p>
            <w:pPr>
              <w:pStyle w:val="Cell"/>
            </w:pPr>
            <w:r>
              <w:t xml:space="preserve">hincfel</w:t>
            </w:r>
          </w:p>
        </w:tc>
        <w:tc>
          <w:tcPr>
            <w:tcW w:w="1814" w:type="dxa"/>
          </w:tcPr>
          <w:p>
            <w:pPr>
              <w:pStyle w:val="Cell"/>
            </w:pPr>
            <w:r>
              <w:t xml:space="preserve">−0.184</w:t>
            </w:r>
          </w:p>
        </w:tc>
        <w:tc>
          <w:tcPr>
            <w:tcW w:w="1814" w:type="dxa"/>
          </w:tcPr>
          <w:p>
            <w:pPr>
              <w:pStyle w:val="Cell"/>
            </w:pPr>
            <w:r>
              <w:t xml:space="preserve">−0.164</w:t>
            </w:r>
          </w:p>
        </w:tc>
        <w:tc>
          <w:tcPr>
            <w:tcW w:w="1814" w:type="dxa"/>
          </w:tcPr>
          <w:p>
            <w:pPr>
              <w:pStyle w:val="Cell"/>
            </w:pPr>
            <w:r>
              <w:t xml:space="preserve">+0.020</w:t>
            </w:r>
          </w:p>
        </w:tc>
        <w:tc>
          <w:tcPr>
            <w:tcW w:w="1814" w:type="dxa"/>
          </w:tcPr>
          <w:p>
            <w:pPr>
              <w:pStyle w:val="Cell"/>
            </w:pPr>
            <w:r>
              <w:t xml:space="preserve">Attenuated</w:t>
            </w:r>
          </w:p>
        </w:tc>
      </w:tr>
      <w:tr>
        <w:tc>
          <w:tcPr>
            <w:tcW w:w="1814" w:type="dxa"/>
          </w:tcPr>
          <w:p>
            <w:pPr>
              <w:pStyle w:val="Cell"/>
            </w:pPr>
            <w:r>
              <w:t xml:space="preserve">health</w:t>
            </w:r>
          </w:p>
        </w:tc>
        <w:tc>
          <w:tcPr>
            <w:tcW w:w="1814" w:type="dxa"/>
          </w:tcPr>
          <w:p>
            <w:pPr>
              <w:pStyle w:val="Cell"/>
            </w:pPr>
            <w:r>
              <w:t xml:space="preserve">−0.327</w:t>
            </w:r>
          </w:p>
        </w:tc>
        <w:tc>
          <w:tcPr>
            <w:tcW w:w="1814" w:type="dxa"/>
          </w:tcPr>
          <w:p>
            <w:pPr>
              <w:pStyle w:val="Cell"/>
            </w:pPr>
            <w:r>
              <w:t xml:space="preserve">−0.093</w:t>
            </w:r>
          </w:p>
        </w:tc>
        <w:tc>
          <w:tcPr>
            <w:tcW w:w="1814" w:type="dxa"/>
          </w:tcPr>
          <w:p>
            <w:pPr>
              <w:pStyle w:val="Cell"/>
            </w:pPr>
            <w:r>
              <w:t xml:space="preserve">+0.234</w:t>
            </w:r>
          </w:p>
        </w:tc>
        <w:tc>
          <w:tcPr>
            <w:tcW w:w="1814" w:type="dxa"/>
          </w:tcPr>
          <w:p>
            <w:pPr>
              <w:pStyle w:val="Cell"/>
            </w:pPr>
            <w:r>
              <w:t xml:space="preserve">Attenuated</w:t>
            </w:r>
          </w:p>
        </w:tc>
      </w:tr>
      <w:tr>
        <w:tc>
          <w:tcPr>
            <w:tcW w:w="1814" w:type="dxa"/>
          </w:tcPr>
          <w:p>
            <w:pPr>
              <w:pStyle w:val="Cell"/>
            </w:pPr>
            <w:r>
              <w:t xml:space="preserve">rlgatnd</w:t>
            </w:r>
          </w:p>
        </w:tc>
        <w:tc>
          <w:tcPr>
            <w:tcW w:w="1814" w:type="dxa"/>
          </w:tcPr>
          <w:p>
            <w:pPr>
              <w:pStyle w:val="Cell"/>
            </w:pPr>
            <w:r>
              <w:t xml:space="preserve">−0.371</w:t>
            </w:r>
          </w:p>
        </w:tc>
        <w:tc>
          <w:tcPr>
            <w:tcW w:w="1814" w:type="dxa"/>
          </w:tcPr>
          <w:p>
            <w:pPr>
              <w:pStyle w:val="Cell"/>
            </w:pPr>
            <w:r>
              <w:t xml:space="preserve">0.014</w:t>
            </w:r>
          </w:p>
        </w:tc>
        <w:tc>
          <w:tcPr>
            <w:tcW w:w="1814" w:type="dxa"/>
          </w:tcPr>
          <w:p>
            <w:pPr>
              <w:pStyle w:val="Cell"/>
            </w:pPr>
            <w:r>
              <w:t xml:space="preserve">+0.385</w:t>
            </w:r>
          </w:p>
        </w:tc>
        <w:tc>
          <w:tcPr>
            <w:tcW w:w="1814" w:type="dxa"/>
          </w:tcPr>
          <w:p>
            <w:pPr>
              <w:pStyle w:val="Cell"/>
            </w:pPr>
            <w:r>
              <w:t xml:space="preserve">Attenuated</w:t>
            </w:r>
          </w:p>
        </w:tc>
      </w:tr>
      <w:tr>
        <w:tc>
          <w:tcPr>
            <w:tcW w:w="1814" w:type="dxa"/>
          </w:tcPr>
          <w:p>
            <w:pPr>
              <w:pStyle w:val="Cell"/>
            </w:pPr>
            <w:r>
              <w:t xml:space="preserve">polintr</w:t>
            </w:r>
          </w:p>
        </w:tc>
        <w:tc>
          <w:tcPr>
            <w:tcW w:w="1814" w:type="dxa"/>
          </w:tcPr>
          <w:p>
            <w:pPr>
              <w:pStyle w:val="Cell"/>
            </w:pPr>
            <w:r>
              <w:t xml:space="preserve">−0.265</w:t>
            </w:r>
          </w:p>
        </w:tc>
        <w:tc>
          <w:tcPr>
            <w:tcW w:w="1814" w:type="dxa"/>
          </w:tcPr>
          <w:p>
            <w:pPr>
              <w:pStyle w:val="Cell"/>
            </w:pPr>
            <w:r>
              <w:t xml:space="preserve">−0.092</w:t>
            </w:r>
          </w:p>
        </w:tc>
        <w:tc>
          <w:tcPr>
            <w:tcW w:w="1814" w:type="dxa"/>
          </w:tcPr>
          <w:p>
            <w:pPr>
              <w:pStyle w:val="Cell"/>
            </w:pPr>
            <w:r>
              <w:t xml:space="preserve">+0.173</w:t>
            </w:r>
          </w:p>
        </w:tc>
        <w:tc>
          <w:tcPr>
            <w:tcW w:w="1814"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w:t>
      </w:r>
      <w:r>
        <w:rPr>
          <w:i/>
        </w:rPr>
        <w:t>r</w:t>
      </w:r>
      <w:r>
        <w:rPr>
          <w:i/>
          <w:vertAlign w:val="subscript"/>
        </w:rPr>
        <w:t>ind</w:t>
      </w:r>
      <w:r>
        <w:t xml:space="preserve">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w:t>
      </w:r>
      <w:r>
        <w:rPr>
          <w:i/>
        </w:rPr>
        <w:t>r</w:t>
      </w:r>
      <w:r>
        <w:rPr>
          <w:i/>
          <w:vertAlign w:val="subscript"/>
        </w:rPr>
        <w:t>ind</w:t>
      </w:r>
      <w:r>
        <w:t xml:space="preserve">. Because pooling respondents combines within-country correspondence with between-country covariance, </w:t>
      </w:r>
      <w:r>
        <w:rPr>
          <w:i/>
        </w:rPr>
        <w:t>r</w:t>
      </w:r>
      <w:r>
        <w:rPr>
          <w:i/>
          <w:vertAlign w:val="subscript"/>
        </w:rPr>
        <w:t>ind</w:t>
      </w:r>
      <w:r>
        <w:t xml:space="preserve">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summarized by domain in Figure 3(a).</w:t>
      </w:r>
    </w:p>
    <w:p>
      <w:pPr>
        <w:pStyle w:val="Fig"/>
      </w:pPr>
      <w:r>
        <w:drawing>
          <wp:inline distT="0" distB="0" distL="0" distR="0">
            <wp:extent cx="5760720" cy="6111108"/>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760720" cy="611110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Item-level recovery can reflect either an accurate country ordering or a systematic inversion, while compressing cross-national differences in both cases. Appendix Figure A2 contrasts these outcomes. For trust in police (trstplc, </w:t>
      </w:r>
      <w:r>
        <w:rPr>
          <w:i/>
        </w:rPr>
        <w:t>r</w:t>
      </w:r>
      <w:r>
        <w:rPr>
          <w:i/>
          <w:vertAlign w:val="subscript"/>
        </w:rPr>
        <w:t>bc</w:t>
      </w:r>
      <w:r>
        <w:t xml:space="preserve"> = 0.82), the model largely preserves the human country ranking. For attitudes toward homosexuality (freehms, </w:t>
      </w:r>
      <w:r>
        <w:rPr>
          <w:i/>
        </w:rPr>
        <w:t>r</w:t>
      </w:r>
      <w:r>
        <w:rPr>
          <w:i/>
          <w:vertAlign w:val="subscript"/>
        </w:rPr>
        <w:t>bc</w:t>
      </w:r>
      <w:r>
        <w:t xml:space="preserve"> = −0.82), it compresses scores into a narrow band and reverses the ordering.</w:t>
      </w:r>
    </w:p>
    <w:p>
      <w:pPr>
        <w:pStyle w:val="Fig"/>
      </w:pPr>
      <w:r>
        <w:drawing>
          <wp:inline distT="0" distB="0" distL="0" distR="0">
            <wp:extent cx="5760720" cy="3027317"/>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3027317"/>
                    </a:xfrm>
                    <a:prstGeom prst="rect">
                      <a:avLst/>
                    </a:prstGeom>
                  </pic:spPr>
                </pic:pic>
              </a:graphicData>
            </a:graphic>
          </wp:inline>
        </w:drawing>
      </w:r>
    </w:p>
    <w:p>
      <w:pPr>
        <w:pStyle w:val="Caption"/>
      </w:pPr>
      <w:r>
        <w:t xml:space="preserve">Figure A2. Country-level scatter for two contrasting items under Qwen 1P.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OLS fits; dotted lines show the 45-degree reference for perfect recovery.</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 The failure is not attributable to an absence of demographic signal in the human data.</w:t>
      </w:r>
    </w:p>
    <w:p>
      <w:pPr>
        <w:pStyle w:val="Body"/>
      </w:pPr>
      <w:r>
        <w:t xml:space="preserve">Figure 3(b) and Table A3 break individual-level recovery down by domain: political efficacy, institutional trust, and subjective well-being recover best, while income, health, and safety are negative. The pattern remains weak across model–prompt conditions.</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814"/>
        <w:gridCol w:w="1814"/>
        <w:gridCol w:w="1814"/>
        <w:gridCol w:w="1814"/>
        <w:gridCol w:w="1814"/>
      </w:tblGrid>
      <w:tr>
        <w:tc>
          <w:tcPr>
            <w:tcW w:w="1814" w:type="dxa"/>
            <w:tcBorders>
              <w:bottom w:val="single" w:sz="8" w:space="0" w:color="000000"/>
            </w:tcBorders>
          </w:tcPr>
          <w:p>
            <w:pPr>
              <w:pStyle w:val="Cell"/>
            </w:pPr>
            <w:r>
              <w:rPr>
                <w:b/>
              </w:rPr>
              <w:t xml:space="preserve">Domain</w:t>
            </w:r>
          </w:p>
        </w:tc>
        <w:tc>
          <w:tcPr>
            <w:tcW w:w="1814" w:type="dxa"/>
            <w:tcBorders>
              <w:bottom w:val="single" w:sz="8" w:space="0" w:color="000000"/>
            </w:tcBorders>
          </w:tcPr>
          <w:p>
            <w:pPr>
              <w:pStyle w:val="Cell"/>
            </w:pPr>
            <w:r>
              <w:rPr>
                <w:b/>
              </w:rPr>
              <w:t xml:space="preserve">Qwen 1P</w:t>
            </w:r>
          </w:p>
        </w:tc>
        <w:tc>
          <w:tcPr>
            <w:tcW w:w="1814" w:type="dxa"/>
            <w:tcBorders>
              <w:bottom w:val="single" w:sz="8" w:space="0" w:color="000000"/>
            </w:tcBorders>
          </w:tcPr>
          <w:p>
            <w:pPr>
              <w:pStyle w:val="Cell"/>
            </w:pPr>
            <w:r>
              <w:rPr>
                <w:b/>
              </w:rPr>
              <w:t xml:space="preserve">Qwen 3P</w:t>
            </w:r>
          </w:p>
        </w:tc>
        <w:tc>
          <w:tcPr>
            <w:tcW w:w="1814" w:type="dxa"/>
            <w:tcBorders>
              <w:bottom w:val="single" w:sz="8" w:space="0" w:color="000000"/>
            </w:tcBorders>
          </w:tcPr>
          <w:p>
            <w:pPr>
              <w:pStyle w:val="Cell"/>
            </w:pPr>
            <w:r>
              <w:rPr>
                <w:b/>
              </w:rPr>
              <w:t xml:space="preserve">Llama 1P</w:t>
            </w:r>
          </w:p>
        </w:tc>
        <w:tc>
          <w:tcPr>
            <w:tcW w:w="1814" w:type="dxa"/>
            <w:tcBorders>
              <w:bottom w:val="single" w:sz="8" w:space="0" w:color="000000"/>
            </w:tcBorders>
          </w:tcPr>
          <w:p>
            <w:pPr>
              <w:pStyle w:val="Cell"/>
            </w:pPr>
            <w:r>
              <w:rPr>
                <w:b/>
              </w:rPr>
              <w:t xml:space="preserve">Llama 3P</w:t>
            </w:r>
          </w:p>
        </w:tc>
      </w:tr>
      <w:tr>
        <w:tc>
          <w:tcPr>
            <w:tcW w:w="1814" w:type="dxa"/>
          </w:tcPr>
          <w:p>
            <w:pPr>
              <w:pStyle w:val="Cell"/>
            </w:pPr>
            <w:r>
              <w:t xml:space="preserve">National Attachment</w:t>
            </w:r>
          </w:p>
        </w:tc>
        <w:tc>
          <w:tcPr>
            <w:tcW w:w="1814" w:type="dxa"/>
          </w:tcPr>
          <w:p>
            <w:pPr>
              <w:pStyle w:val="Cell"/>
            </w:pPr>
            <w:r>
              <w:t xml:space="preserve">0.036</w:t>
            </w:r>
          </w:p>
        </w:tc>
        <w:tc>
          <w:tcPr>
            <w:tcW w:w="1814" w:type="dxa"/>
          </w:tcPr>
          <w:p>
            <w:pPr>
              <w:pStyle w:val="Cell"/>
            </w:pPr>
            <w:r>
              <w:t xml:space="preserve">0.103</w:t>
            </w:r>
          </w:p>
        </w:tc>
        <w:tc>
          <w:tcPr>
            <w:tcW w:w="1814" w:type="dxa"/>
          </w:tcPr>
          <w:p>
            <w:pPr>
              <w:pStyle w:val="Cell"/>
            </w:pPr>
            <w:r>
              <w:t xml:space="preserve">0.021</w:t>
            </w:r>
          </w:p>
        </w:tc>
        <w:tc>
          <w:tcPr>
            <w:tcW w:w="1814" w:type="dxa"/>
          </w:tcPr>
          <w:p>
            <w:pPr>
              <w:pStyle w:val="Cell"/>
            </w:pPr>
            <w:r>
              <w:t xml:space="preserve">0.006</w:t>
            </w:r>
          </w:p>
        </w:tc>
      </w:tr>
      <w:tr>
        <w:tc>
          <w:tcPr>
            <w:tcW w:w="1814" w:type="dxa"/>
          </w:tcPr>
          <w:p>
            <w:pPr>
              <w:pStyle w:val="Cell"/>
            </w:pPr>
            <w:r>
              <w:t xml:space="preserve">Political Efficacy</w:t>
            </w:r>
          </w:p>
        </w:tc>
        <w:tc>
          <w:tcPr>
            <w:tcW w:w="1814" w:type="dxa"/>
          </w:tcPr>
          <w:p>
            <w:pPr>
              <w:pStyle w:val="Cell"/>
            </w:pPr>
            <w:r>
              <w:t xml:space="preserve">0.088</w:t>
            </w:r>
          </w:p>
        </w:tc>
        <w:tc>
          <w:tcPr>
            <w:tcW w:w="1814" w:type="dxa"/>
          </w:tcPr>
          <w:p>
            <w:pPr>
              <w:pStyle w:val="Cell"/>
            </w:pPr>
            <w:r>
              <w:t xml:space="preserve">0.125</w:t>
            </w:r>
          </w:p>
        </w:tc>
        <w:tc>
          <w:tcPr>
            <w:tcW w:w="1814" w:type="dxa"/>
          </w:tcPr>
          <w:p>
            <w:pPr>
              <w:pStyle w:val="Cell"/>
            </w:pPr>
            <w:r>
              <w:t xml:space="preserve">0.027</w:t>
            </w:r>
          </w:p>
        </w:tc>
        <w:tc>
          <w:tcPr>
            <w:tcW w:w="1814" w:type="dxa"/>
          </w:tcPr>
          <w:p>
            <w:pPr>
              <w:pStyle w:val="Cell"/>
            </w:pPr>
            <w:r>
              <w:t xml:space="preserve">0.070</w:t>
            </w:r>
          </w:p>
        </w:tc>
      </w:tr>
      <w:tr>
        <w:tc>
          <w:tcPr>
            <w:tcW w:w="1814" w:type="dxa"/>
          </w:tcPr>
          <w:p>
            <w:pPr>
              <w:pStyle w:val="Cell"/>
            </w:pPr>
            <w:r>
              <w:t xml:space="preserve">Health</w:t>
            </w:r>
          </w:p>
        </w:tc>
        <w:tc>
          <w:tcPr>
            <w:tcW w:w="1814" w:type="dxa"/>
          </w:tcPr>
          <w:p>
            <w:pPr>
              <w:pStyle w:val="Cell"/>
            </w:pPr>
            <w:r>
              <w:t xml:space="preserve">-0.078</w:t>
            </w:r>
          </w:p>
        </w:tc>
        <w:tc>
          <w:tcPr>
            <w:tcW w:w="1814" w:type="dxa"/>
          </w:tcPr>
          <w:p>
            <w:pPr>
              <w:pStyle w:val="Cell"/>
            </w:pPr>
            <w:r>
              <w:t xml:space="preserve">-0.056</w:t>
            </w:r>
          </w:p>
        </w:tc>
        <w:tc>
          <w:tcPr>
            <w:tcW w:w="1814" w:type="dxa"/>
          </w:tcPr>
          <w:p>
            <w:pPr>
              <w:pStyle w:val="Cell"/>
            </w:pPr>
            <w:r>
              <w:t xml:space="preserve">-0.046</w:t>
            </w:r>
          </w:p>
        </w:tc>
        <w:tc>
          <w:tcPr>
            <w:tcW w:w="1814" w:type="dxa"/>
          </w:tcPr>
          <w:p>
            <w:pPr>
              <w:pStyle w:val="Cell"/>
            </w:pPr>
            <w:r>
              <w:t xml:space="preserve">-0.021</w:t>
            </w:r>
          </w:p>
        </w:tc>
      </w:tr>
      <w:tr>
        <w:tc>
          <w:tcPr>
            <w:tcW w:w="1814" w:type="dxa"/>
          </w:tcPr>
          <w:p>
            <w:pPr>
              <w:pStyle w:val="Cell"/>
            </w:pPr>
            <w:r>
              <w:t xml:space="preserve">Immigration Attitudes</w:t>
            </w:r>
          </w:p>
        </w:tc>
        <w:tc>
          <w:tcPr>
            <w:tcW w:w="1814" w:type="dxa"/>
          </w:tcPr>
          <w:p>
            <w:pPr>
              <w:pStyle w:val="Cell"/>
            </w:pPr>
            <w:r>
              <w:t xml:space="preserve">0.008</w:t>
            </w:r>
          </w:p>
        </w:tc>
        <w:tc>
          <w:tcPr>
            <w:tcW w:w="1814" w:type="dxa"/>
          </w:tcPr>
          <w:p>
            <w:pPr>
              <w:pStyle w:val="Cell"/>
            </w:pPr>
            <w:r>
              <w:t xml:space="preserve">0.000</w:t>
            </w:r>
          </w:p>
        </w:tc>
        <w:tc>
          <w:tcPr>
            <w:tcW w:w="1814" w:type="dxa"/>
          </w:tcPr>
          <w:p>
            <w:pPr>
              <w:pStyle w:val="Cell"/>
            </w:pPr>
            <w:r>
              <w:t xml:space="preserve">-0.005</w:t>
            </w:r>
          </w:p>
        </w:tc>
        <w:tc>
          <w:tcPr>
            <w:tcW w:w="1814" w:type="dxa"/>
          </w:tcPr>
          <w:p>
            <w:pPr>
              <w:pStyle w:val="Cell"/>
            </w:pPr>
            <w:r>
              <w:t xml:space="preserve">-0.007</w:t>
            </w:r>
          </w:p>
        </w:tc>
      </w:tr>
      <w:tr>
        <w:tc>
          <w:tcPr>
            <w:tcW w:w="1814" w:type="dxa"/>
          </w:tcPr>
          <w:p>
            <w:pPr>
              <w:pStyle w:val="Cell"/>
            </w:pPr>
            <w:r>
              <w:t xml:space="preserve">Income</w:t>
            </w:r>
          </w:p>
        </w:tc>
        <w:tc>
          <w:tcPr>
            <w:tcW w:w="1814" w:type="dxa"/>
          </w:tcPr>
          <w:p>
            <w:pPr>
              <w:pStyle w:val="Cell"/>
            </w:pPr>
            <w:r>
              <w:t xml:space="preserve">-0.148</w:t>
            </w:r>
          </w:p>
        </w:tc>
        <w:tc>
          <w:tcPr>
            <w:tcW w:w="1814" w:type="dxa"/>
          </w:tcPr>
          <w:p>
            <w:pPr>
              <w:pStyle w:val="Cell"/>
            </w:pPr>
            <w:r>
              <w:t xml:space="preserve">-0.133</w:t>
            </w:r>
          </w:p>
        </w:tc>
        <w:tc>
          <w:tcPr>
            <w:tcW w:w="1814" w:type="dxa"/>
          </w:tcPr>
          <w:p>
            <w:pPr>
              <w:pStyle w:val="Cell"/>
            </w:pPr>
            <w:r>
              <w:t xml:space="preserve">-0.052</w:t>
            </w:r>
          </w:p>
        </w:tc>
        <w:tc>
          <w:tcPr>
            <w:tcW w:w="1814" w:type="dxa"/>
          </w:tcPr>
          <w:p>
            <w:pPr>
              <w:pStyle w:val="Cell"/>
            </w:pPr>
            <w:r>
              <w:t xml:space="preserve">-0.022</w:t>
            </w:r>
          </w:p>
        </w:tc>
      </w:tr>
      <w:tr>
        <w:tc>
          <w:tcPr>
            <w:tcW w:w="1814" w:type="dxa"/>
          </w:tcPr>
          <w:p>
            <w:pPr>
              <w:pStyle w:val="Cell"/>
            </w:pPr>
            <w:r>
              <w:t xml:space="preserve">Institutional Trust</w:t>
            </w:r>
          </w:p>
        </w:tc>
        <w:tc>
          <w:tcPr>
            <w:tcW w:w="1814" w:type="dxa"/>
          </w:tcPr>
          <w:p>
            <w:pPr>
              <w:pStyle w:val="Cell"/>
            </w:pPr>
            <w:r>
              <w:t xml:space="preserve">0.069</w:t>
            </w:r>
          </w:p>
        </w:tc>
        <w:tc>
          <w:tcPr>
            <w:tcW w:w="1814" w:type="dxa"/>
          </w:tcPr>
          <w:p>
            <w:pPr>
              <w:pStyle w:val="Cell"/>
            </w:pPr>
            <w:r>
              <w:t xml:space="preserve">0.068</w:t>
            </w:r>
          </w:p>
        </w:tc>
        <w:tc>
          <w:tcPr>
            <w:tcW w:w="1814" w:type="dxa"/>
          </w:tcPr>
          <w:p>
            <w:pPr>
              <w:pStyle w:val="Cell"/>
            </w:pPr>
            <w:r>
              <w:t xml:space="preserve">0.017</w:t>
            </w:r>
          </w:p>
        </w:tc>
        <w:tc>
          <w:tcPr>
            <w:tcW w:w="1814" w:type="dxa"/>
          </w:tcPr>
          <w:p>
            <w:pPr>
              <w:pStyle w:val="Cell"/>
            </w:pPr>
            <w:r>
              <w:t xml:space="preserve">0.008</w:t>
            </w:r>
          </w:p>
        </w:tc>
      </w:tr>
      <w:tr>
        <w:tc>
          <w:tcPr>
            <w:tcW w:w="1814" w:type="dxa"/>
          </w:tcPr>
          <w:p>
            <w:pPr>
              <w:pStyle w:val="Cell"/>
            </w:pPr>
            <w:r>
              <w:t xml:space="preserve">Political Attitudes</w:t>
            </w:r>
          </w:p>
        </w:tc>
        <w:tc>
          <w:tcPr>
            <w:tcW w:w="1814" w:type="dxa"/>
          </w:tcPr>
          <w:p>
            <w:pPr>
              <w:pStyle w:val="Cell"/>
            </w:pPr>
            <w:r>
              <w:t xml:space="preserve">0.013</w:t>
            </w:r>
          </w:p>
        </w:tc>
        <w:tc>
          <w:tcPr>
            <w:tcW w:w="1814" w:type="dxa"/>
          </w:tcPr>
          <w:p>
            <w:pPr>
              <w:pStyle w:val="Cell"/>
            </w:pPr>
            <w:r>
              <w:t xml:space="preserve">0.009</w:t>
            </w:r>
          </w:p>
        </w:tc>
        <w:tc>
          <w:tcPr>
            <w:tcW w:w="1814" w:type="dxa"/>
          </w:tcPr>
          <w:p>
            <w:pPr>
              <w:pStyle w:val="Cell"/>
            </w:pPr>
            <w:r>
              <w:t xml:space="preserve">0.008</w:t>
            </w:r>
          </w:p>
        </w:tc>
        <w:tc>
          <w:tcPr>
            <w:tcW w:w="1814" w:type="dxa"/>
          </w:tcPr>
          <w:p>
            <w:pPr>
              <w:pStyle w:val="Cell"/>
            </w:pPr>
            <w:r>
              <w:t xml:space="preserve">0.014</w:t>
            </w:r>
          </w:p>
        </w:tc>
      </w:tr>
      <w:tr>
        <w:tc>
          <w:tcPr>
            <w:tcW w:w="1814" w:type="dxa"/>
          </w:tcPr>
          <w:p>
            <w:pPr>
              <w:pStyle w:val="Cell"/>
            </w:pPr>
            <w:r>
              <w:t xml:space="preserve">Religion</w:t>
            </w:r>
          </w:p>
        </w:tc>
        <w:tc>
          <w:tcPr>
            <w:tcW w:w="1814" w:type="dxa"/>
          </w:tcPr>
          <w:p>
            <w:pPr>
              <w:pStyle w:val="Cell"/>
            </w:pPr>
            <w:r>
              <w:t xml:space="preserve">0.012</w:t>
            </w:r>
          </w:p>
        </w:tc>
        <w:tc>
          <w:tcPr>
            <w:tcW w:w="1814" w:type="dxa"/>
          </w:tcPr>
          <w:p>
            <w:pPr>
              <w:pStyle w:val="Cell"/>
            </w:pPr>
            <w:r>
              <w:t xml:space="preserve">-0.062</w:t>
            </w:r>
          </w:p>
        </w:tc>
        <w:tc>
          <w:tcPr>
            <w:tcW w:w="1814" w:type="dxa"/>
          </w:tcPr>
          <w:p>
            <w:pPr>
              <w:pStyle w:val="Cell"/>
            </w:pPr>
            <w:r>
              <w:t xml:space="preserve">-0.008</w:t>
            </w:r>
          </w:p>
        </w:tc>
        <w:tc>
          <w:tcPr>
            <w:tcW w:w="1814" w:type="dxa"/>
          </w:tcPr>
          <w:p>
            <w:pPr>
              <w:pStyle w:val="Cell"/>
            </w:pPr>
            <w:r>
              <w:t xml:space="preserve">0.018</w:t>
            </w:r>
          </w:p>
        </w:tc>
      </w:tr>
      <w:tr>
        <w:tc>
          <w:tcPr>
            <w:tcW w:w="1814" w:type="dxa"/>
          </w:tcPr>
          <w:p>
            <w:pPr>
              <w:pStyle w:val="Cell"/>
            </w:pPr>
            <w:r>
              <w:t xml:space="preserve">Safety</w:t>
            </w:r>
          </w:p>
        </w:tc>
        <w:tc>
          <w:tcPr>
            <w:tcW w:w="1814" w:type="dxa"/>
          </w:tcPr>
          <w:p>
            <w:pPr>
              <w:pStyle w:val="Cell"/>
            </w:pPr>
            <w:r>
              <w:t xml:space="preserve">-0.037</w:t>
            </w:r>
          </w:p>
        </w:tc>
        <w:tc>
          <w:tcPr>
            <w:tcW w:w="1814" w:type="dxa"/>
          </w:tcPr>
          <w:p>
            <w:pPr>
              <w:pStyle w:val="Cell"/>
            </w:pPr>
            <w:r>
              <w:t xml:space="preserve">-0.050</w:t>
            </w:r>
          </w:p>
        </w:tc>
        <w:tc>
          <w:tcPr>
            <w:tcW w:w="1814" w:type="dxa"/>
          </w:tcPr>
          <w:p>
            <w:pPr>
              <w:pStyle w:val="Cell"/>
            </w:pPr>
            <w:r>
              <w:t xml:space="preserve">-0.002</w:t>
            </w:r>
          </w:p>
        </w:tc>
        <w:tc>
          <w:tcPr>
            <w:tcW w:w="1814" w:type="dxa"/>
          </w:tcPr>
          <w:p>
            <w:pPr>
              <w:pStyle w:val="Cell"/>
            </w:pPr>
            <w:r>
              <w:t xml:space="preserve">-0.002</w:t>
            </w:r>
          </w:p>
        </w:tc>
      </w:tr>
      <w:tr>
        <w:tc>
          <w:tcPr>
            <w:tcW w:w="1814" w:type="dxa"/>
          </w:tcPr>
          <w:p>
            <w:pPr>
              <w:pStyle w:val="Cell"/>
            </w:pPr>
            <w:r>
              <w:t xml:space="preserve">Social Trust</w:t>
            </w:r>
          </w:p>
        </w:tc>
        <w:tc>
          <w:tcPr>
            <w:tcW w:w="1814" w:type="dxa"/>
          </w:tcPr>
          <w:p>
            <w:pPr>
              <w:pStyle w:val="Cell"/>
            </w:pPr>
            <w:r>
              <w:t xml:space="preserve">0.043</w:t>
            </w:r>
          </w:p>
        </w:tc>
        <w:tc>
          <w:tcPr>
            <w:tcW w:w="1814" w:type="dxa"/>
          </w:tcPr>
          <w:p>
            <w:pPr>
              <w:pStyle w:val="Cell"/>
            </w:pPr>
            <w:r>
              <w:t xml:space="preserve">0.024</w:t>
            </w:r>
          </w:p>
        </w:tc>
        <w:tc>
          <w:tcPr>
            <w:tcW w:w="1814" w:type="dxa"/>
          </w:tcPr>
          <w:p>
            <w:pPr>
              <w:pStyle w:val="Cell"/>
            </w:pPr>
            <w:r>
              <w:t xml:space="preserve">0.021</w:t>
            </w:r>
          </w:p>
        </w:tc>
        <w:tc>
          <w:tcPr>
            <w:tcW w:w="1814" w:type="dxa"/>
          </w:tcPr>
          <w:p>
            <w:pPr>
              <w:pStyle w:val="Cell"/>
            </w:pPr>
            <w:r>
              <w:t xml:space="preserve">0.013</w:t>
            </w:r>
          </w:p>
        </w:tc>
      </w:tr>
      <w:tr>
        <w:tc>
          <w:tcPr>
            <w:tcW w:w="1814" w:type="dxa"/>
          </w:tcPr>
          <w:p>
            <w:pPr>
              <w:pStyle w:val="Cell"/>
            </w:pPr>
            <w:r>
              <w:t xml:space="preserve">Social Values</w:t>
            </w:r>
          </w:p>
        </w:tc>
        <w:tc>
          <w:tcPr>
            <w:tcW w:w="1814" w:type="dxa"/>
          </w:tcPr>
          <w:p>
            <w:pPr>
              <w:pStyle w:val="Cell"/>
            </w:pPr>
            <w:r>
              <w:t xml:space="preserve">-0.011</w:t>
            </w:r>
          </w:p>
        </w:tc>
        <w:tc>
          <w:tcPr>
            <w:tcW w:w="1814" w:type="dxa"/>
          </w:tcPr>
          <w:p>
            <w:pPr>
              <w:pStyle w:val="Cell"/>
            </w:pPr>
            <w:r>
              <w:t xml:space="preserve">-0.016</w:t>
            </w:r>
          </w:p>
        </w:tc>
        <w:tc>
          <w:tcPr>
            <w:tcW w:w="1814" w:type="dxa"/>
          </w:tcPr>
          <w:p>
            <w:pPr>
              <w:pStyle w:val="Cell"/>
            </w:pPr>
            <w:r>
              <w:t xml:space="preserve">-0.008</w:t>
            </w:r>
          </w:p>
        </w:tc>
        <w:tc>
          <w:tcPr>
            <w:tcW w:w="1814" w:type="dxa"/>
          </w:tcPr>
          <w:p>
            <w:pPr>
              <w:pStyle w:val="Cell"/>
            </w:pPr>
            <w:r>
              <w:t xml:space="preserve">-0.006</w:t>
            </w:r>
          </w:p>
        </w:tc>
      </w:tr>
      <w:tr>
        <w:tc>
          <w:tcPr>
            <w:tcW w:w="1814" w:type="dxa"/>
          </w:tcPr>
          <w:p>
            <w:pPr>
              <w:pStyle w:val="Cell"/>
            </w:pPr>
            <w:r>
              <w:t xml:space="preserve">Subjective Well-being</w:t>
            </w:r>
          </w:p>
        </w:tc>
        <w:tc>
          <w:tcPr>
            <w:tcW w:w="1814" w:type="dxa"/>
          </w:tcPr>
          <w:p>
            <w:pPr>
              <w:pStyle w:val="Cell"/>
            </w:pPr>
            <w:r>
              <w:t xml:space="preserve">0.066</w:t>
            </w:r>
          </w:p>
        </w:tc>
        <w:tc>
          <w:tcPr>
            <w:tcW w:w="1814" w:type="dxa"/>
          </w:tcPr>
          <w:p>
            <w:pPr>
              <w:pStyle w:val="Cell"/>
            </w:pPr>
            <w:r>
              <w:t xml:space="preserve">0.082</w:t>
            </w:r>
          </w:p>
        </w:tc>
        <w:tc>
          <w:tcPr>
            <w:tcW w:w="1814" w:type="dxa"/>
          </w:tcPr>
          <w:p>
            <w:pPr>
              <w:pStyle w:val="Cell"/>
            </w:pPr>
            <w:r>
              <w:t xml:space="preserve">0.034</w:t>
            </w:r>
          </w:p>
        </w:tc>
        <w:tc>
          <w:tcPr>
            <w:tcW w:w="1814" w:type="dxa"/>
          </w:tcPr>
          <w:p>
            <w:pPr>
              <w:pStyle w:val="Cell"/>
            </w:pPr>
            <w:r>
              <w:t xml:space="preserve">0.000</w:t>
            </w:r>
          </w:p>
        </w:tc>
      </w:tr>
    </w:tbl>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A3).</w:t>
      </w:r>
    </w:p>
    <w:p>
      <w:pPr>
        <w:pStyle w:val="Body"/>
      </w:pPr>
      <w:r>
        <w:t xml:space="preserve">Figure A3 reports the full per-item individual-level recovery, the individual-level counterpart of Figure A1.</w:t>
      </w:r>
    </w:p>
    <w:p>
      <w:pPr>
        <w:pStyle w:val="Fig"/>
      </w:pPr>
      <w:r>
        <w:drawing>
          <wp:inline distT="0" distB="0" distL="0" distR="0">
            <wp:extent cx="5760720" cy="6218321"/>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6218321"/>
                    </a:xfrm>
                    <a:prstGeom prst="rect">
                      <a:avLst/>
                    </a:prstGeom>
                  </pic:spPr>
                </pic:pic>
              </a:graphicData>
            </a:graphic>
          </wp:inline>
        </w:drawing>
      </w:r>
    </w:p>
    <w:p>
      <w:pPr>
        <w:pStyle w:val="Caption"/>
      </w:pPr>
      <w:r>
        <w:t xml:space="preserve">Figure A3.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 The Qwen–Llama gap survives the four-test Bonferroni correction under first-person framing and falls short under third-person framing.</w:t>
      </w:r>
    </w:p>
    <w:p>
      <w:pPr>
        <w:pStyle w:val="Caption"/>
      </w:pPr>
      <w:r>
        <w:t xml:space="preserve">Table A4. Paired t-tests for model and prompt comparisons on the per-item mean </w:t>
      </w:r>
      <w:r>
        <w:rPr>
          <w:i/>
        </w:rPr>
        <w:t>r</w:t>
      </w:r>
      <w:r>
        <w:rPr>
          <w:i/>
          <w:vertAlign w:val="subscript"/>
        </w:rPr>
        <w:t>wc</w:t>
      </w:r>
      <w:r>
        <w:t xml:space="preserve"> (N = 42 items). After Bonferroni correction for four tests (α = 0.0125), the first-person Qwen–Llama contrast reaches the adjusted threshold; the other three do not. Reported p values are unadjusted.</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296"/>
        <w:gridCol w:w="1296"/>
        <w:gridCol w:w="1296"/>
        <w:gridCol w:w="1296"/>
        <w:gridCol w:w="1296"/>
        <w:gridCol w:w="1296"/>
        <w:gridCol w:w="1296"/>
      </w:tblGrid>
      <w:tr>
        <w:tc>
          <w:tcPr>
            <w:tcW w:w="1296" w:type="dxa"/>
            <w:tcBorders>
              <w:bottom w:val="single" w:sz="8" w:space="0" w:color="000000"/>
            </w:tcBorders>
          </w:tcPr>
          <w:p>
            <w:pPr>
              <w:pStyle w:val="Cell"/>
            </w:pPr>
            <w:r>
              <w:rPr>
                <w:b/>
              </w:rPr>
              <w:t xml:space="preserve">Comparison</w:t>
            </w:r>
          </w:p>
        </w:tc>
        <w:tc>
          <w:tcPr>
            <w:tcW w:w="1296" w:type="dxa"/>
            <w:tcBorders>
              <w:bottom w:val="single" w:sz="8" w:space="0" w:color="000000"/>
            </w:tcBorders>
          </w:tcPr>
          <w:p>
            <w:pPr>
              <w:pStyle w:val="Cell"/>
            </w:pPr>
            <w:r>
              <w:rPr>
                <w:b/>
              </w:rPr>
              <w:t xml:space="preserve">rwc (A)</w:t>
            </w:r>
          </w:p>
        </w:tc>
        <w:tc>
          <w:tcPr>
            <w:tcW w:w="1296" w:type="dxa"/>
            <w:tcBorders>
              <w:bottom w:val="single" w:sz="8" w:space="0" w:color="000000"/>
            </w:tcBorders>
          </w:tcPr>
          <w:p>
            <w:pPr>
              <w:pStyle w:val="Cell"/>
            </w:pPr>
            <w:r>
              <w:rPr>
                <w:b/>
              </w:rPr>
              <w:t xml:space="preserve">rwc (B)</w:t>
            </w:r>
          </w:p>
        </w:tc>
        <w:tc>
          <w:tcPr>
            <w:tcW w:w="1296" w:type="dxa"/>
            <w:tcBorders>
              <w:bottom w:val="single" w:sz="8" w:space="0" w:color="000000"/>
            </w:tcBorders>
          </w:tcPr>
          <w:p>
            <w:pPr>
              <w:pStyle w:val="Cell"/>
            </w:pPr>
            <w:r>
              <w:rPr>
                <w:b/>
              </w:rPr>
              <w:t xml:space="preserve">Diff</w:t>
            </w:r>
          </w:p>
        </w:tc>
        <w:tc>
          <w:tcPr>
            <w:tcW w:w="1296" w:type="dxa"/>
            <w:tcBorders>
              <w:bottom w:val="single" w:sz="8" w:space="0" w:color="000000"/>
            </w:tcBorders>
          </w:tcPr>
          <w:p>
            <w:pPr>
              <w:pStyle w:val="Cell"/>
            </w:pPr>
            <w:r>
              <w:rPr>
                <w:b/>
              </w:rPr>
              <w:t xml:space="preserve">SE</w:t>
            </w:r>
          </w:p>
        </w:tc>
        <w:tc>
          <w:tcPr>
            <w:tcW w:w="1296" w:type="dxa"/>
            <w:tcBorders>
              <w:bottom w:val="single" w:sz="8" w:space="0" w:color="000000"/>
            </w:tcBorders>
          </w:tcPr>
          <w:p>
            <w:pPr>
              <w:pStyle w:val="Cell"/>
            </w:pPr>
            <w:r>
              <w:rPr>
                <w:b/>
              </w:rPr>
              <w:t xml:space="preserve">t</w:t>
            </w:r>
          </w:p>
        </w:tc>
        <w:tc>
          <w:tcPr>
            <w:tcW w:w="1296" w:type="dxa"/>
            <w:tcBorders>
              <w:bottom w:val="single" w:sz="8" w:space="0" w:color="000000"/>
            </w:tcBorders>
          </w:tcPr>
          <w:p>
            <w:pPr>
              <w:pStyle w:val="Cell"/>
            </w:pPr>
            <w:r>
              <w:rPr>
                <w:b/>
              </w:rPr>
              <w:t xml:space="preserve">p</w:t>
            </w:r>
          </w:p>
        </w:tc>
      </w:tr>
      <w:tr>
        <w:tc>
          <w:tcPr>
            <w:tcW w:w="1296" w:type="dxa"/>
          </w:tcPr>
          <w:p>
            <w:pPr>
              <w:pStyle w:val="Cell"/>
            </w:pPr>
            <w:r>
              <w:t xml:space="preserve">Qwen: 1P vs 3P</w:t>
            </w:r>
          </w:p>
        </w:tc>
        <w:tc>
          <w:tcPr>
            <w:tcW w:w="1296" w:type="dxa"/>
          </w:tcPr>
          <w:p>
            <w:pPr>
              <w:pStyle w:val="Cell"/>
            </w:pPr>
            <w:r>
              <w:t xml:space="preserve">0.027</w:t>
            </w:r>
          </w:p>
        </w:tc>
        <w:tc>
          <w:tcPr>
            <w:tcW w:w="1296" w:type="dxa"/>
          </w:tcPr>
          <w:p>
            <w:pPr>
              <w:pStyle w:val="Cell"/>
            </w:pPr>
            <w:r>
              <w:t xml:space="preserve">0.029</w:t>
            </w:r>
          </w:p>
        </w:tc>
        <w:tc>
          <w:tcPr>
            <w:tcW w:w="1296" w:type="dxa"/>
          </w:tcPr>
          <w:p>
            <w:pPr>
              <w:pStyle w:val="Cell"/>
            </w:pPr>
            <w:r>
              <w:t xml:space="preserve">-0.002</w:t>
            </w:r>
          </w:p>
        </w:tc>
        <w:tc>
          <w:tcPr>
            <w:tcW w:w="1296" w:type="dxa"/>
          </w:tcPr>
          <w:p>
            <w:pPr>
              <w:pStyle w:val="Cell"/>
            </w:pPr>
            <w:r>
              <w:t xml:space="preserve">0.006</w:t>
            </w:r>
          </w:p>
        </w:tc>
        <w:tc>
          <w:tcPr>
            <w:tcW w:w="1296" w:type="dxa"/>
          </w:tcPr>
          <w:p>
            <w:pPr>
              <w:pStyle w:val="Cell"/>
            </w:pPr>
            <w:r>
              <w:t xml:space="preserve">-0.28</w:t>
            </w:r>
          </w:p>
        </w:tc>
        <w:tc>
          <w:tcPr>
            <w:tcW w:w="1296" w:type="dxa"/>
          </w:tcPr>
          <w:p>
            <w:pPr>
              <w:pStyle w:val="Cell"/>
            </w:pPr>
            <w:r>
              <w:t xml:space="preserve">0.785</w:t>
            </w:r>
          </w:p>
        </w:tc>
      </w:tr>
      <w:tr>
        <w:tc>
          <w:tcPr>
            <w:tcW w:w="1296" w:type="dxa"/>
          </w:tcPr>
          <w:p>
            <w:pPr>
              <w:pStyle w:val="Cell"/>
            </w:pPr>
            <w:r>
              <w:t xml:space="preserve">Llama: 1P vs 3P</w:t>
            </w:r>
          </w:p>
        </w:tc>
        <w:tc>
          <w:tcPr>
            <w:tcW w:w="1296" w:type="dxa"/>
          </w:tcPr>
          <w:p>
            <w:pPr>
              <w:pStyle w:val="Cell"/>
            </w:pPr>
            <w:r>
              <w:t xml:space="preserve">0.009</w:t>
            </w:r>
          </w:p>
        </w:tc>
        <w:tc>
          <w:tcPr>
            <w:tcW w:w="1296" w:type="dxa"/>
          </w:tcPr>
          <w:p>
            <w:pPr>
              <w:pStyle w:val="Cell"/>
            </w:pPr>
            <w:r>
              <w:t xml:space="preserve">0.006</w:t>
            </w:r>
          </w:p>
        </w:tc>
        <w:tc>
          <w:tcPr>
            <w:tcW w:w="1296" w:type="dxa"/>
          </w:tcPr>
          <w:p>
            <w:pPr>
              <w:pStyle w:val="Cell"/>
            </w:pPr>
            <w:r>
              <w:t xml:space="preserve">+0.004</w:t>
            </w:r>
          </w:p>
        </w:tc>
        <w:tc>
          <w:tcPr>
            <w:tcW w:w="1296" w:type="dxa"/>
          </w:tcPr>
          <w:p>
            <w:pPr>
              <w:pStyle w:val="Cell"/>
            </w:pPr>
            <w:r>
              <w:t xml:space="preserve">0.004</w:t>
            </w:r>
          </w:p>
        </w:tc>
        <w:tc>
          <w:tcPr>
            <w:tcW w:w="1296" w:type="dxa"/>
          </w:tcPr>
          <w:p>
            <w:pPr>
              <w:pStyle w:val="Cell"/>
            </w:pPr>
            <w:r>
              <w:t xml:space="preserve">0.99</w:t>
            </w:r>
          </w:p>
        </w:tc>
        <w:tc>
          <w:tcPr>
            <w:tcW w:w="1296" w:type="dxa"/>
          </w:tcPr>
          <w:p>
            <w:pPr>
              <w:pStyle w:val="Cell"/>
            </w:pPr>
            <w:r>
              <w:t xml:space="preserve">0.326</w:t>
            </w:r>
          </w:p>
        </w:tc>
      </w:tr>
      <w:tr>
        <w:tc>
          <w:tcPr>
            <w:tcW w:w="1296" w:type="dxa"/>
          </w:tcPr>
          <w:p>
            <w:pPr>
              <w:pStyle w:val="Cell"/>
            </w:pPr>
            <w:r>
              <w:t xml:space="preserve">1P: Qwen vs Llama</w:t>
            </w:r>
          </w:p>
        </w:tc>
        <w:tc>
          <w:tcPr>
            <w:tcW w:w="1296" w:type="dxa"/>
          </w:tcPr>
          <w:p>
            <w:pPr>
              <w:pStyle w:val="Cell"/>
            </w:pPr>
            <w:r>
              <w:t xml:space="preserve">0.027</w:t>
            </w:r>
          </w:p>
        </w:tc>
        <w:tc>
          <w:tcPr>
            <w:tcW w:w="1296" w:type="dxa"/>
          </w:tcPr>
          <w:p>
            <w:pPr>
              <w:pStyle w:val="Cell"/>
            </w:pPr>
            <w:r>
              <w:t xml:space="preserve">0.009</w:t>
            </w:r>
          </w:p>
        </w:tc>
        <w:tc>
          <w:tcPr>
            <w:tcW w:w="1296" w:type="dxa"/>
          </w:tcPr>
          <w:p>
            <w:pPr>
              <w:pStyle w:val="Cell"/>
            </w:pPr>
            <w:r>
              <w:t xml:space="preserve">+0.018</w:t>
            </w:r>
          </w:p>
        </w:tc>
        <w:tc>
          <w:tcPr>
            <w:tcW w:w="1296" w:type="dxa"/>
          </w:tcPr>
          <w:p>
            <w:pPr>
              <w:pStyle w:val="Cell"/>
            </w:pPr>
            <w:r>
              <w:t xml:space="preserve">0.006</w:t>
            </w:r>
          </w:p>
        </w:tc>
        <w:tc>
          <w:tcPr>
            <w:tcW w:w="1296" w:type="dxa"/>
          </w:tcPr>
          <w:p>
            <w:pPr>
              <w:pStyle w:val="Cell"/>
            </w:pPr>
            <w:r>
              <w:t xml:space="preserve">2.81</w:t>
            </w:r>
          </w:p>
        </w:tc>
        <w:tc>
          <w:tcPr>
            <w:tcW w:w="1296" w:type="dxa"/>
          </w:tcPr>
          <w:p>
            <w:pPr>
              <w:pStyle w:val="Cell"/>
            </w:pPr>
            <w:r>
              <w:t xml:space="preserve">0.007</w:t>
            </w:r>
          </w:p>
        </w:tc>
      </w:tr>
      <w:tr>
        <w:tc>
          <w:tcPr>
            <w:tcW w:w="1296" w:type="dxa"/>
          </w:tcPr>
          <w:p>
            <w:pPr>
              <w:pStyle w:val="Cell"/>
            </w:pPr>
            <w:r>
              <w:t xml:space="preserve">3P: Qwen vs Llama</w:t>
            </w:r>
          </w:p>
        </w:tc>
        <w:tc>
          <w:tcPr>
            <w:tcW w:w="1296" w:type="dxa"/>
          </w:tcPr>
          <w:p>
            <w:pPr>
              <w:pStyle w:val="Cell"/>
            </w:pPr>
            <w:r>
              <w:t xml:space="preserve">0.029</w:t>
            </w:r>
          </w:p>
        </w:tc>
        <w:tc>
          <w:tcPr>
            <w:tcW w:w="1296" w:type="dxa"/>
          </w:tcPr>
          <w:p>
            <w:pPr>
              <w:pStyle w:val="Cell"/>
            </w:pPr>
            <w:r>
              <w:t xml:space="preserve">0.006</w:t>
            </w:r>
          </w:p>
        </w:tc>
        <w:tc>
          <w:tcPr>
            <w:tcW w:w="1296" w:type="dxa"/>
          </w:tcPr>
          <w:p>
            <w:pPr>
              <w:pStyle w:val="Cell"/>
            </w:pPr>
            <w:r>
              <w:t xml:space="preserve">+0.023</w:t>
            </w:r>
          </w:p>
        </w:tc>
        <w:tc>
          <w:tcPr>
            <w:tcW w:w="1296" w:type="dxa"/>
          </w:tcPr>
          <w:p>
            <w:pPr>
              <w:pStyle w:val="Cell"/>
            </w:pPr>
            <w:r>
              <w:t xml:space="preserve">0.010</w:t>
            </w:r>
          </w:p>
        </w:tc>
        <w:tc>
          <w:tcPr>
            <w:tcW w:w="1296" w:type="dxa"/>
          </w:tcPr>
          <w:p>
            <w:pPr>
              <w:pStyle w:val="Cell"/>
            </w:pPr>
            <w:r>
              <w:t xml:space="preserve">2.28</w:t>
            </w:r>
          </w:p>
        </w:tc>
        <w:tc>
          <w:tcPr>
            <w:tcW w:w="1296" w:type="dxa"/>
          </w:tcPr>
          <w:p>
            <w:pPr>
              <w:pStyle w:val="Cell"/>
            </w:pPr>
            <w:r>
              <w:t xml:space="preserve">0.028</w:t>
            </w:r>
          </w:p>
        </w:tc>
      </w:tr>
    </w:tbl>
    <w:p>
      <w:pPr>
        <w:pStyle w:val="H3"/>
      </w:pPr>
      <w:r>
        <w:t xml:space="preserve">Aggregate robustness checks</w:t>
      </w:r>
    </w:p>
    <w:p>
      <w:pPr>
        <w:pStyle w:val="Body"/>
      </w:pPr>
      <w:r>
        <w:t xml:space="preserve">Table A5 lists all sixteen checks with the quantity each moves. Three deserve comment because they concern the choice of estimator, not the data. The within-country dispersion ratio has three defensible aggregators (mean of ratios 0.61, median 0.57, ratio of means 0.59) and the offset reduction has four (59.9 to 64.2%); all three dispersion estimators fail the pre-declared 0.9–1.1 band, so no conclusion turns on the choice, but the choice is named wherever the quantity appears. Design weighting correlates the weighted and unweighted per-item coefficients at 0.999 while moving a single item by up to 0.103, so the item-level maximum is reported, not the cross-item correlation. The direction classification was frozen from the ESS codebook before any result was seen, and the direction R² rises from 0.658 to 0.746 when the three pre-declared unstable items are dropped, so the objection strengthens the result instead of weakening it.</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8.71% contain no digit and one is empty. Four explanations were tested and rejected. Truncation: failed outputs have a median length of 61 characters against a maximum of 317, and none falls within two%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Reading the verbatim outputs shows that this rule discards answers the model gave correctly, such as a junk number followed by a valid one. Whether that matters was tested, not assumed. All 11.3 million raw responses were re-parsed, and every rejected response in the fifteen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headline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fifteen arms.</w:t>
      </w:r>
    </w:p>
    <w:p>
      <w:pPr>
        <w:pStyle w:val="H3"/>
      </w:pPr>
      <w:r>
        <w:t xml:space="preserve">Block ablations</w:t>
      </w:r>
    </w:p>
    <w:p>
      <w:pPr>
        <w:pStyle w:val="Body"/>
      </w:pPr>
      <w:r>
        <w:t xml:space="preserve">Every block of the 20-variable partition is observed with and without, at two margins: added alone to the sparse base plus the label, and removed alone from the full profile. All arms draw the same respondents,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are directionally consistent but smaller than the difference between two identical runs, and are reported as negligible, not as effects. Across the remaining blocks the largest forward margin in either direction is +0.09, the union and internet block, and the single-variable arms attribute it to internet use. Per-block and per-item margins ship with the Figure 4 data.</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r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r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H3"/>
      </w:pPr>
      <w:r>
        <w:t xml:space="preserve">Data-processing checks</w:t>
      </w:r>
    </w:p>
    <w:p>
      <w:pPr>
        <w:pStyle w:val="Body"/>
      </w:pPr>
      <w:r>
        <w:t xml:space="preserve">For RQ1, four data-processing checks leave the aggregate results unchanged. Design weighting changes the item-level coefficients little: the weighted and unweighted vectors correlate at 0.9987, and the largest single-item change is 0.103 (Table A5). Computing each country mean on the human–model valid intersection changes per-item between-country correlations by at most about 0.1 for a few items. Two further checks were run on the earlier 500-respondent round: excluding the voting item’s ‘not eligible’ category, and replacing the human subsample with the full ESS sample. Both left the per-item correlations essentially unchanged (r = 0.99) and preserved every negative correlation, and the cross-round stability check in Table A5 carries them forward to the final 685-respondent round. These checks cover weighting, coding, valid-response alignment, and subsampling.</w:t>
      </w:r>
    </w:p>
    <w:p>
      <w:pPr>
        <w:pStyle w:val="Body"/>
      </w:pPr>
      <w:r>
        <w:t xml:space="preserve">Table A5 reports every robustness check with the quantity it moves. Two change something and are discussed in Section 4.6; the rest leave every conclusion in place.</w:t>
      </w:r>
    </w:p>
    <w:p>
      <w:pPr>
        <w:pStyle w:val="Caption"/>
      </w:pPr>
      <w:r>
        <w:t xml:space="preserve">Table A5. Robustness checks (16):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268"/>
        <w:gridCol w:w="2268"/>
        <w:gridCol w:w="2268"/>
        <w:gridCol w:w="2268"/>
      </w:tblGrid>
      <w:tr>
        <w:tc>
          <w:tcPr>
            <w:tcW w:w="2268" w:type="dxa"/>
            <w:tcBorders>
              <w:bottom w:val="single" w:sz="8" w:space="0" w:color="000000"/>
            </w:tcBorders>
          </w:tcPr>
          <w:p>
            <w:pPr>
              <w:pStyle w:val="Cell"/>
            </w:pPr>
            <w:r>
              <w:rPr>
                <w:b/>
              </w:rPr>
              <w:t xml:space="preserve">Check</w:t>
            </w:r>
          </w:p>
        </w:tc>
        <w:tc>
          <w:tcPr>
            <w:tcW w:w="2268" w:type="dxa"/>
            <w:tcBorders>
              <w:bottom w:val="single" w:sz="8" w:space="0" w:color="000000"/>
            </w:tcBorders>
          </w:tcPr>
          <w:p>
            <w:pPr>
              <w:pStyle w:val="Cell"/>
            </w:pPr>
            <w:r>
              <w:rPr>
                <w:b/>
              </w:rPr>
              <w:t xml:space="preserve">What it varies</w:t>
            </w:r>
          </w:p>
        </w:tc>
        <w:tc>
          <w:tcPr>
            <w:tcW w:w="2268" w:type="dxa"/>
            <w:tcBorders>
              <w:bottom w:val="single" w:sz="8" w:space="0" w:color="000000"/>
            </w:tcBorders>
          </w:tcPr>
          <w:p>
            <w:pPr>
              <w:pStyle w:val="Cell"/>
            </w:pPr>
            <w:r>
              <w:rPr>
                <w:b/>
              </w:rPr>
              <w:t xml:space="preserve">Result</w:t>
            </w:r>
          </w:p>
        </w:tc>
        <w:tc>
          <w:tcPr>
            <w:tcW w:w="2268" w:type="dxa"/>
            <w:tcBorders>
              <w:bottom w:val="single" w:sz="8" w:space="0" w:color="000000"/>
            </w:tcBorders>
          </w:tcPr>
          <w:p>
            <w:pPr>
              <w:pStyle w:val="Cell"/>
            </w:pPr>
            <w:r>
              <w:rPr>
                <w:b/>
              </w:rPr>
              <w:t xml:space="preserve">Any conclusion change?</w:t>
            </w:r>
          </w:p>
        </w:tc>
      </w:tr>
      <w:tr>
        <w:tc>
          <w:tcPr>
            <w:tcW w:w="2268" w:type="dxa"/>
          </w:tcPr>
          <w:p>
            <w:pPr>
              <w:pStyle w:val="Cell"/>
            </w:pPr>
            <w:r>
              <w:t xml:space="preserve">Design weighting of the human benchmark</w:t>
            </w:r>
          </w:p>
        </w:tc>
        <w:tc>
          <w:tcPr>
            <w:tcW w:w="2268" w:type="dxa"/>
          </w:tcPr>
          <w:p>
            <w:pPr>
              <w:pStyle w:val="Cell"/>
            </w:pPr>
            <w:r>
              <w:t xml:space="preserve">Human country means computed unweighted instead of with pspwght</w:t>
            </w:r>
          </w:p>
        </w:tc>
        <w:tc>
          <w:tcPr>
            <w:tcW w:w="2268" w:type="dxa"/>
          </w:tcPr>
          <w:p>
            <w:pPr>
              <w:pStyle w:val="Cell"/>
            </w:pPr>
            <w:r>
              <w:t xml:space="preserve">The two coefficient vectors correlate at 0.9987; the largest item-level change is 0.103 (health)</w:t>
            </w:r>
          </w:p>
        </w:tc>
        <w:tc>
          <w:tcPr>
            <w:tcW w:w="2268" w:type="dxa"/>
          </w:tcPr>
          <w:p>
            <w:pPr>
              <w:pStyle w:val="Cell"/>
            </w:pPr>
            <w:r>
              <w:t xml:space="preserve">No. The median and the direction decomposition are unaffected.</w:t>
            </w:r>
          </w:p>
        </w:tc>
      </w:tr>
      <w:tr>
        <w:tc>
          <w:tcPr>
            <w:tcW w:w="2268" w:type="dxa"/>
          </w:tcPr>
          <w:p>
            <w:pPr>
              <w:pStyle w:val="Cell"/>
            </w:pPr>
            <w:r>
              <w:t xml:space="preserve">Direction classification of the 42 items</w:t>
            </w:r>
          </w:p>
        </w:tc>
        <w:tc>
          <w:tcPr>
            <w:tcW w:w="2268" w:type="dxa"/>
          </w:tcPr>
          <w:p>
            <w:pPr>
              <w:pStyle w:val="Cell"/>
            </w:pPr>
            <w:r>
              <w:t xml:space="preserve">The frozen classification against the four disputed codings</w:t>
            </w:r>
          </w:p>
        </w:tc>
        <w:tc>
          <w:tcPr>
            <w:tcW w:w="2268" w:type="dxa"/>
          </w:tcPr>
          <w:p>
            <w:pPr>
              <w:pStyle w:val="Cell"/>
            </w:pPr>
            <w:r>
              <w:t xml:space="preserve">R² = 0.6576 on all 42 items, 0.6531 excluding vote, 0.7455 further excluding the two screened items</w:t>
            </w:r>
          </w:p>
        </w:tc>
        <w:tc>
          <w:tcPr>
            <w:tcW w:w="2268" w:type="dxa"/>
          </w:tcPr>
          <w:p>
            <w:pPr>
              <w:pStyle w:val="Cell"/>
            </w:pPr>
            <w:r>
              <w:t xml:space="preserve">No. The effect strengthens as the least interpretable items are removed.</w:t>
            </w:r>
          </w:p>
        </w:tc>
      </w:tr>
      <w:tr>
        <w:tc>
          <w:tcPr>
            <w:tcW w:w="2268" w:type="dxa"/>
          </w:tcPr>
          <w:p>
            <w:pPr>
              <w:pStyle w:val="Cell"/>
            </w:pPr>
            <w:r>
              <w:t xml:space="preserve">Items whose silicon dispersion is near zero</w:t>
            </w:r>
          </w:p>
        </w:tc>
        <w:tc>
          <w:tcPr>
            <w:tcW w:w="2268" w:type="dxa"/>
          </w:tcPr>
          <w:p>
            <w:pPr>
              <w:pStyle w:val="Cell"/>
            </w:pPr>
            <w:r>
              <w:t xml:space="preserve">A reliability screen on the silicon side</w:t>
            </w:r>
          </w:p>
        </w:tc>
        <w:tc>
          <w:tcPr>
            <w:tcW w:w="2268" w:type="dxa"/>
          </w:tcPr>
          <w:p>
            <w:pPr>
              <w:pStyle w:val="Cell"/>
            </w:pPr>
            <w:r>
              <w:t xml:space="preserve">Two items fall below it: hmsfmlsh (reliability 0.25) and rlgatnd (0.44); inprdsc (0.615) is retained</w:t>
            </w:r>
          </w:p>
        </w:tc>
        <w:tc>
          <w:tcPr>
            <w:tcW w:w="2268" w:type="dxa"/>
          </w:tcPr>
          <w:p>
            <w:pPr>
              <w:pStyle w:val="Cell"/>
            </w:pPr>
            <w:r>
              <w:t xml:space="preserve">No. Both are pre-declared uninterpretable and the primary anchored specification excludes them.</w:t>
            </w:r>
          </w:p>
        </w:tc>
      </w:tr>
      <w:tr>
        <w:tc>
          <w:tcPr>
            <w:tcW w:w="2268" w:type="dxa"/>
          </w:tcPr>
          <w:p>
            <w:pPr>
              <w:pStyle w:val="Cell"/>
            </w:pPr>
            <w:r>
              <w:t xml:space="preserve">Item set for the anchoring experiment</w:t>
            </w:r>
          </w:p>
        </w:tc>
        <w:tc>
          <w:tcPr>
            <w:tcW w:w="2268" w:type="dxa"/>
          </w:tcPr>
          <w:p>
            <w:pPr>
              <w:pStyle w:val="Cell"/>
            </w:pPr>
            <w:r>
              <w:t xml:space="preserve">Three pre-specified reverse-item sets</w:t>
            </w:r>
          </w:p>
        </w:tc>
        <w:tc>
          <w:tcPr>
            <w:tcW w:w="2268" w:type="dxa"/>
          </w:tcPr>
          <w:p>
            <w:pPr>
              <w:pStyle w:val="Cell"/>
            </w:pPr>
            <w:r>
              <w:t xml:space="preserve">All 12 in batch: +0.4912 [+0.1515, +0.8809], 11 of 12 up; primary 10: +0.4230 [+0.1259, +0.7928], 10 of 10 up; strictest 8: +0.1636 [+0.0507, +0.2671], 8 of 8 up</w:t>
            </w:r>
          </w:p>
        </w:tc>
        <w:tc>
          <w:tcPr>
            <w:tcW w:w="2268" w:type="dxa"/>
          </w:tcPr>
          <w:p>
            <w:pPr>
              <w:pStyle w:val="Cell"/>
            </w:pPr>
            <w:r>
              <w:t xml:space="preserve">No for the sign and the interval. Yes for the gap verdict: eliminated on the primary set, narrowed with a residual on the strictest.</w:t>
            </w:r>
          </w:p>
        </w:tc>
      </w:tr>
      <w:tr>
        <w:tc>
          <w:tcPr>
            <w:tcW w:w="2268" w:type="dxa"/>
          </w:tcPr>
          <w:p>
            <w:pPr>
              <w:pStyle w:val="Cell"/>
            </w:pPr>
            <w:r>
              <w:t xml:space="preserve">Choice of forward control items</w:t>
            </w:r>
          </w:p>
        </w:tc>
        <w:tc>
          <w:tcPr>
            <w:tcW w:w="2268" w:type="dxa"/>
          </w:tcPr>
          <w:p>
            <w:pPr>
              <w:pStyle w:val="Cell"/>
            </w:pPr>
            <w:r>
              <w:t xml:space="preserve">Ten leave-one-out control sets</w:t>
            </w:r>
          </w:p>
        </w:tc>
        <w:tc>
          <w:tcPr>
            <w:tcW w:w="2268" w:type="dxa"/>
          </w:tcPr>
          <w:p>
            <w:pPr>
              <w:pStyle w:val="Cell"/>
            </w:pPr>
            <w:r>
              <w:t xml:space="preserve">The triple difference stays in [0.403, 0.455] against the primary 0.423; the largest shift is 0.032</w:t>
            </w:r>
          </w:p>
        </w:tc>
        <w:tc>
          <w:tcPr>
            <w:tcW w:w="2268" w:type="dxa"/>
          </w:tcPr>
          <w:p>
            <w:pPr>
              <w:pStyle w:val="Cell"/>
            </w:pPr>
            <w:r>
              <w:t xml:space="preserve">No.</w:t>
            </w:r>
          </w:p>
        </w:tc>
      </w:tr>
      <w:tr>
        <w:tc>
          <w:tcPr>
            <w:tcW w:w="2268" w:type="dxa"/>
          </w:tcPr>
          <w:p>
            <w:pPr>
              <w:pStyle w:val="Cell"/>
            </w:pPr>
            <w:r>
              <w:t xml:space="preserve">Run-to-run stability of the generation</w:t>
            </w:r>
          </w:p>
        </w:tc>
        <w:tc>
          <w:tcPr>
            <w:tcW w:w="2268" w:type="dxa"/>
          </w:tcPr>
          <w:p>
            <w:pPr>
              <w:pStyle w:val="Cell"/>
            </w:pPr>
            <w:r>
              <w:t xml:space="preserve">Two identical unseeded runs</w:t>
            </w:r>
          </w:p>
        </w:tc>
        <w:tc>
          <w:tcPr>
            <w:tcW w:w="2268" w:type="dxa"/>
          </w:tcPr>
          <w:p>
            <w:pPr>
              <w:pStyle w:val="Cell"/>
            </w:pPr>
            <w:r>
              <w:t xml:space="preserve">Median absolute rbc difference 0.0602 per item, maximum 0.1854, no sign reversals</w:t>
            </w:r>
          </w:p>
        </w:tc>
        <w:tc>
          <w:tcPr>
            <w:tcW w:w="2268" w:type="dxa"/>
          </w:tcPr>
          <w:p>
            <w:pPr>
              <w:pStyle w:val="Cell"/>
            </w:pPr>
            <w:r>
              <w:t xml:space="preserve">No, and it closes a stated limitation: every contrast is read against the 0.060 band.</w:t>
            </w:r>
          </w:p>
        </w:tc>
      </w:tr>
      <w:tr>
        <w:tc>
          <w:tcPr>
            <w:tcW w:w="2268" w:type="dxa"/>
          </w:tcPr>
          <w:p>
            <w:pPr>
              <w:pStyle w:val="Cell"/>
            </w:pPr>
            <w:r>
              <w:t xml:space="preserve">Deflator for the macro-covariate comparator</w:t>
            </w:r>
          </w:p>
        </w:tc>
        <w:tc>
          <w:tcPr>
            <w:tcW w:w="2268" w:type="dxa"/>
          </w:tcPr>
          <w:p>
            <w:pPr>
              <w:pStyle w:val="Cell"/>
            </w:pPr>
            <w:r>
              <w:t xml:space="preserve">Market dollars against purchasing parity</w:t>
            </w:r>
          </w:p>
        </w:tc>
        <w:tc>
          <w:tcPr>
            <w:tcW w:w="2268" w:type="dxa"/>
          </w:tcPr>
          <w:p>
            <w:pPr>
              <w:pStyle w:val="Cell"/>
            </w:pPr>
            <w:r>
              <w:t xml:space="preserve">Median r 0.6177 under dollars, 0.6317 under parity; normalized error 0.0522 and 0.0527</w:t>
            </w:r>
          </w:p>
        </w:tc>
        <w:tc>
          <w:tcPr>
            <w:tcW w:w="2268" w:type="dxa"/>
          </w:tcPr>
          <w:p>
            <w:pPr>
              <w:pStyle w:val="Cell"/>
            </w:pPr>
            <w:r>
              <w:t xml:space="preserve">No for the comparison with the model. Yes for one claim, therefore not made: the covariate-alone ranking is deflator-dependent.</w:t>
            </w:r>
          </w:p>
        </w:tc>
      </w:tr>
      <w:tr>
        <w:tc>
          <w:tcPr>
            <w:tcW w:w="2268" w:type="dxa"/>
          </w:tcPr>
          <w:p>
            <w:pPr>
              <w:pStyle w:val="Cell"/>
            </w:pPr>
            <w:r>
              <w:t xml:space="preserve">Israel as a bloc of one in the comparator</w:t>
            </w:r>
          </w:p>
        </w:tc>
        <w:tc>
          <w:tcPr>
            <w:tcW w:w="2268" w:type="dxa"/>
          </w:tcPr>
          <w:p>
            <w:pPr>
              <w:pStyle w:val="Cell"/>
            </w:pPr>
            <w:r>
              <w:t xml:space="preserve">Israel handled as its own regional bloc</w:t>
            </w:r>
          </w:p>
        </w:tc>
        <w:tc>
          <w:tcPr>
            <w:tcW w:w="2268" w:type="dxa"/>
          </w:tcPr>
          <w:p>
            <w:pPr>
              <w:pStyle w:val="Cell"/>
            </w:pPr>
            <w:r>
              <w:t xml:space="preserve">The comparator's median r moves from 0.6177 to 0.6741; the gap to the model from 0.174 to 0.177</w:t>
            </w:r>
          </w:p>
        </w:tc>
        <w:tc>
          <w:tcPr>
            <w:tcW w:w="2268" w:type="dxa"/>
          </w:tcPr>
          <w:p>
            <w:pPr>
              <w:pStyle w:val="Cell"/>
            </w:pPr>
            <w:r>
              <w:t xml:space="preserve">No.</w:t>
            </w:r>
          </w:p>
        </w:tc>
      </w:tr>
      <w:tr>
        <w:tc>
          <w:tcPr>
            <w:tcW w:w="2268" w:type="dxa"/>
          </w:tcPr>
          <w:p>
            <w:pPr>
              <w:pStyle w:val="Cell"/>
            </w:pPr>
            <w:r>
              <w:t xml:space="preserve">Influential countries in the comparator</w:t>
            </w:r>
          </w:p>
        </w:tc>
        <w:tc>
          <w:tcPr>
            <w:tcW w:w="2268" w:type="dxa"/>
          </w:tcPr>
          <w:p>
            <w:pPr>
              <w:pStyle w:val="Cell"/>
            </w:pPr>
            <w:r>
              <w:t xml:space="preserve">Leave-one-out over the 30 countries</w:t>
            </w:r>
          </w:p>
        </w:tc>
        <w:tc>
          <w:tcPr>
            <w:tcW w:w="2268" w:type="dxa"/>
          </w:tcPr>
          <w:p>
            <w:pPr>
              <w:pStyle w:val="Cell"/>
            </w:pPr>
            <w:r>
              <w:t xml:space="preserve">Excluding Ireland moves the headline by 0.001; the high-leverage country is Ukraine (mean hat 0.495)</w:t>
            </w:r>
          </w:p>
        </w:tc>
        <w:tc>
          <w:tcPr>
            <w:tcW w:w="2268" w:type="dxa"/>
          </w:tcPr>
          <w:p>
            <w:pPr>
              <w:pStyle w:val="Cell"/>
            </w:pPr>
            <w:r>
              <w:t xml:space="preserve">No.</w:t>
            </w:r>
          </w:p>
        </w:tc>
      </w:tr>
      <w:tr>
        <w:tc>
          <w:tcPr>
            <w:tcW w:w="2268" w:type="dxa"/>
          </w:tcPr>
          <w:p>
            <w:pPr>
              <w:pStyle w:val="Cell"/>
            </w:pPr>
            <w:r>
              <w:t xml:space="preserve">Coverage in the Llama third-person arm</w:t>
            </w:r>
          </w:p>
        </w:tc>
        <w:tc>
          <w:tcPr>
            <w:tcW w:w="2268" w:type="dxa"/>
          </w:tcPr>
          <w:p>
            <w:pPr>
              <w:pStyle w:val="Cell"/>
            </w:pPr>
            <w:r>
              <w:t xml:space="preserve">Restricting to items above 80% coverage</w:t>
            </w:r>
          </w:p>
        </w:tc>
        <w:tc>
          <w:tcPr>
            <w:tcW w:w="2268" w:type="dxa"/>
          </w:tcPr>
          <w:p>
            <w:pPr>
              <w:pStyle w:val="Cell"/>
            </w:pPr>
            <w:r>
              <w:t xml:space="preserve">Median rbc falls from +0.1729 on all 42 items to −0.0009 on the 19 items above the threshold</w:t>
            </w:r>
          </w:p>
        </w:tc>
        <w:tc>
          <w:tcPr>
            <w:tcW w:w="2268" w:type="dxa"/>
          </w:tcPr>
          <w:p>
            <w:pPr>
              <w:pStyle w:val="Cell"/>
            </w:pPr>
            <w:r>
              <w:t xml:space="preserve">Yes. The arm cannot identify a framing effect; the framing null rests on Qwen alone.</w:t>
            </w:r>
          </w:p>
        </w:tc>
      </w:tr>
      <w:tr>
        <w:tc>
          <w:tcPr>
            <w:tcW w:w="2268" w:type="dxa"/>
          </w:tcPr>
          <w:p>
            <w:pPr>
              <w:pStyle w:val="Cell"/>
            </w:pPr>
            <w:r>
              <w:t xml:space="preserve">Aggregator for the dispersion ratios</w:t>
            </w:r>
          </w:p>
        </w:tc>
        <w:tc>
          <w:tcPr>
            <w:tcW w:w="2268" w:type="dxa"/>
          </w:tcPr>
          <w:p>
            <w:pPr>
              <w:pStyle w:val="Cell"/>
            </w:pPr>
            <w:r>
              <w:t xml:space="preserve">Mean of ratios, median, and ratio of means</w:t>
            </w:r>
          </w:p>
        </w:tc>
        <w:tc>
          <w:tcPr>
            <w:tcW w:w="2268" w:type="dxa"/>
          </w:tcPr>
          <w:p>
            <w:pPr>
              <w:pStyle w:val="Cell"/>
            </w:pPr>
            <w:r>
              <w:t xml:space="preserve">Within-country 0.6052, 0.5727, 0.5859; between-country 0.2821 median, 0.2952 mean</w:t>
            </w:r>
          </w:p>
        </w:tc>
        <w:tc>
          <w:tcPr>
            <w:tcW w:w="2268" w:type="dxa"/>
          </w:tcPr>
          <w:p>
            <w:pPr>
              <w:pStyle w:val="Cell"/>
            </w:pPr>
            <w:r>
              <w:t xml:space="preserve">No. All three within-country estimators fail the pre-declared 0.9–1.1 band.</w:t>
            </w:r>
          </w:p>
        </w:tc>
      </w:tr>
      <w:tr>
        <w:tc>
          <w:tcPr>
            <w:tcW w:w="2268" w:type="dxa"/>
          </w:tcPr>
          <w:p>
            <w:pPr>
              <w:pStyle w:val="Cell"/>
            </w:pPr>
            <w:r>
              <w:t xml:space="preserve">Estimator for the offset reduction</w:t>
            </w:r>
          </w:p>
        </w:tc>
        <w:tc>
          <w:tcPr>
            <w:tcW w:w="2268" w:type="dxa"/>
          </w:tcPr>
          <w:p>
            <w:pPr>
              <w:pStyle w:val="Cell"/>
            </w:pPr>
            <w:r>
              <w:t xml:space="preserve">Four defensible estimators</w:t>
            </w:r>
          </w:p>
        </w:tc>
        <w:tc>
          <w:tcPr>
            <w:tcW w:w="2268" w:type="dxa"/>
          </w:tcPr>
          <w:p>
            <w:pPr>
              <w:pStyle w:val="Cell"/>
            </w:pPr>
            <w:r>
              <w:t xml:space="preserve">Ratio of medians 64.2%, ratio of means 62.9%, median of per-item reductions 59.9%, mean of per-item reductions 53.7%</w:t>
            </w:r>
          </w:p>
        </w:tc>
        <w:tc>
          <w:tcPr>
            <w:tcW w:w="2268" w:type="dxa"/>
          </w:tcPr>
          <w:p>
            <w:pPr>
              <w:pStyle w:val="Cell"/>
            </w:pPr>
            <w:r>
              <w:t xml:space="preserve">Yes for the number quoted: 59.9%, the median of the per-item reductions, named as such.</w:t>
            </w:r>
          </w:p>
        </w:tc>
      </w:tr>
      <w:tr>
        <w:tc>
          <w:tcPr>
            <w:tcW w:w="2268" w:type="dxa"/>
          </w:tcPr>
          <w:p>
            <w:pPr>
              <w:pStyle w:val="Cell"/>
            </w:pPr>
            <w:r>
              <w:t xml:space="preserve">Specification for the cross-level agreement</w:t>
            </w:r>
          </w:p>
        </w:tc>
        <w:tc>
          <w:tcPr>
            <w:tcW w:w="2268" w:type="dxa"/>
          </w:tcPr>
          <w:p>
            <w:pPr>
              <w:pStyle w:val="Cell"/>
            </w:pPr>
            <w:r>
              <w:t xml:space="preserve">As coded, forward items only, sign-aligned</w:t>
            </w:r>
          </w:p>
        </w:tc>
        <w:tc>
          <w:tcPr>
            <w:tcW w:w="2268" w:type="dxa"/>
          </w:tcPr>
          <w:p>
            <w:pPr>
              <w:pStyle w:val="Cell"/>
            </w:pPr>
            <w:r>
              <w:t xml:space="preserve">Pearson 0.9368 as coded, 0.7745 forward-only, 0.8355 sign-aligned</w:t>
            </w:r>
          </w:p>
        </w:tc>
        <w:tc>
          <w:tcPr>
            <w:tcW w:w="2268" w:type="dxa"/>
          </w:tcPr>
          <w:p>
            <w:pPr>
              <w:pStyle w:val="Cell"/>
            </w:pPr>
            <w:r>
              <w:t xml:space="preserve">No for the existence of the agreement. Yes for its description: about a third of the raw magnitude is the shared direction failure.</w:t>
            </w:r>
          </w:p>
        </w:tc>
      </w:tr>
      <w:tr>
        <w:tc>
          <w:tcPr>
            <w:tcW w:w="2268" w:type="dxa"/>
          </w:tcPr>
          <w:p>
            <w:pPr>
              <w:pStyle w:val="Cell"/>
            </w:pPr>
            <w:r>
              <w:t xml:space="preserve">Frame for country-level quantities</w:t>
            </w:r>
          </w:p>
        </w:tc>
        <w:tc>
          <w:tcPr>
            <w:tcW w:w="2268" w:type="dxa"/>
          </w:tcPr>
          <w:p>
            <w:pPr>
              <w:pStyle w:val="Cell"/>
            </w:pPr>
            <w:r>
              <w:t xml:space="preserve">Full frame against the human–model intersection</w:t>
            </w:r>
          </w:p>
        </w:tc>
        <w:tc>
          <w:tcPr>
            <w:tcW w:w="2268" w:type="dxa"/>
          </w:tcPr>
          <w:p>
            <w:pPr>
              <w:pStyle w:val="Cell"/>
            </w:pPr>
            <w:r>
              <w:t xml:space="preserve">Median rbc moves from 0.4433 to 0.4425; single items move by up to 0.109 (health)</w:t>
            </w:r>
          </w:p>
        </w:tc>
        <w:tc>
          <w:tcPr>
            <w:tcW w:w="2268" w:type="dxa"/>
          </w:tcPr>
          <w:p>
            <w:pPr>
              <w:pStyle w:val="Cell"/>
            </w:pPr>
            <w:r>
              <w:t xml:space="preserve">No for the median. The frame is fixed in one place and stated.</w:t>
            </w:r>
          </w:p>
        </w:tc>
      </w:tr>
      <w:tr>
        <w:tc>
          <w:tcPr>
            <w:tcW w:w="2268" w:type="dxa"/>
          </w:tcPr>
          <w:p>
            <w:pPr>
              <w:pStyle w:val="Cell"/>
            </w:pPr>
            <w:r>
              <w:t xml:space="preserve">Stability across rounds</w:t>
            </w:r>
          </w:p>
        </w:tc>
        <w:tc>
          <w:tcPr>
            <w:tcW w:w="2268" w:type="dxa"/>
          </w:tcPr>
          <w:p>
            <w:pPr>
              <w:pStyle w:val="Cell"/>
            </w:pPr>
            <w:r>
              <w:t xml:space="preserve">The March round against the final round</w:t>
            </w:r>
          </w:p>
        </w:tc>
        <w:tc>
          <w:tcPr>
            <w:tcW w:w="2268" w:type="dxa"/>
          </w:tcPr>
          <w:p>
            <w:pPr>
              <w:pStyle w:val="Cell"/>
            </w:pPr>
            <w:r>
              <w:t xml:space="preserve">Median absolute item-level rbc change 0.0415, against a same-round replicate median of 0.060</w:t>
            </w:r>
          </w:p>
        </w:tc>
        <w:tc>
          <w:tcPr>
            <w:tcW w:w="2268" w:type="dxa"/>
          </w:tcPr>
          <w:p>
            <w:pPr>
              <w:pStyle w:val="Cell"/>
            </w:pPr>
            <w:r>
              <w:t xml:space="preserve">No.</w:t>
            </w:r>
          </w:p>
        </w:tc>
      </w:tr>
      <w:tr>
        <w:tc>
          <w:tcPr>
            <w:tcW w:w="2268" w:type="dxa"/>
          </w:tcPr>
          <w:p>
            <w:pPr>
              <w:pStyle w:val="Cell"/>
            </w:pPr>
            <w:r>
              <w:t xml:space="preserve">Human-side missingness rule</w:t>
            </w:r>
          </w:p>
        </w:tc>
        <w:tc>
          <w:tcPr>
            <w:tcW w:w="2268" w:type="dxa"/>
          </w:tcPr>
          <w:p>
            <w:pPr>
              <w:pStyle w:val="Cell"/>
            </w:pPr>
            <w:r>
              <w:t xml:space="preserve">Correcting the missing-code set for the coarse scales</w:t>
            </w:r>
          </w:p>
        </w:tc>
        <w:tc>
          <w:tcPr>
            <w:tcW w:w="2268" w:type="dxa"/>
          </w:tcPr>
          <w:p>
            <w:pPr>
              <w:pStyle w:val="Cell"/>
            </w:pPr>
            <w:r>
              <w:t xml:space="preserve">Median rbc 0.418 to 0.431; items above 0.70 from eight to nine; inverted items from twelve to eleven; within-country dispersion ratio 0.553 to 0.605</w:t>
            </w:r>
          </w:p>
        </w:tc>
        <w:tc>
          <w:tcPr>
            <w:tcW w:w="2268" w:type="dxa"/>
          </w:tcPr>
          <w:p>
            <w:pPr>
              <w:pStyle w:val="Cell"/>
            </w:pPr>
            <w:r>
              <w:t xml:space="preserve">Yes for several reported figures, all corrected. No for any conclusion.</w:t>
            </w:r>
          </w:p>
        </w:tc>
      </w:tr>
    </w:tbl>
    <w:p>
      <w:pPr>
        <w:pStyle w:val="Caption"/>
      </w:pPr>
      <w:r>
        <w:t xml:space="preserve">Table A6. Sensitivity of the between-country correlation to the response-extraction rule, the 15 arms landed at the time of the check.</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2"/>
        <w:gridCol w:w="1512"/>
        <w:gridCol w:w="1512"/>
        <w:gridCol w:w="1512"/>
        <w:gridCol w:w="1512"/>
        <w:gridCol w:w="1512"/>
      </w:tblGrid>
      <w:tr>
        <w:tc>
          <w:tcPr>
            <w:tcW w:w="1512" w:type="dxa"/>
            <w:tcBorders>
              <w:bottom w:val="single" w:sz="8" w:space="0" w:color="000000"/>
            </w:tcBorders>
          </w:tcPr>
          <w:p>
            <w:pPr>
              <w:pStyle w:val="Cell"/>
            </w:pPr>
            <w:r>
              <w:rPr>
                <w:b/>
              </w:rPr>
              <w:t xml:space="preserve">Arm</w:t>
            </w:r>
          </w:p>
        </w:tc>
        <w:tc>
          <w:tcPr>
            <w:tcW w:w="1512" w:type="dxa"/>
            <w:tcBorders>
              <w:bottom w:val="single" w:sz="8" w:space="0" w:color="000000"/>
            </w:tcBorders>
          </w:tcPr>
          <w:p>
            <w:pPr>
              <w:pStyle w:val="Cell"/>
            </w:pPr>
            <w:r>
              <w:rPr>
                <w:b/>
              </w:rPr>
              <w:t xml:space="preserve">Responses rejected</w:t>
            </w:r>
          </w:p>
        </w:tc>
        <w:tc>
          <w:tcPr>
            <w:tcW w:w="1512" w:type="dxa"/>
            <w:tcBorders>
              <w:bottom w:val="single" w:sz="8" w:space="0" w:color="000000"/>
            </w:tcBorders>
          </w:tcPr>
          <w:p>
            <w:pPr>
              <w:pStyle w:val="Cell"/>
            </w:pPr>
            <w:r>
              <w:rPr>
                <w:b/>
              </w:rPr>
              <w:t xml:space="preserve">Of those, carry an in-range value</w:t>
            </w:r>
          </w:p>
        </w:tc>
        <w:tc>
          <w:tcPr>
            <w:tcW w:w="1512" w:type="dxa"/>
            <w:tcBorders>
              <w:bottom w:val="single" w:sz="8" w:space="0" w:color="000000"/>
            </w:tcBorders>
          </w:tcPr>
          <w:p>
            <w:pPr>
              <w:pStyle w:val="Cell"/>
            </w:pPr>
            <w:r>
              <w:rPr>
                <w:b/>
              </w:rPr>
              <w:t xml:space="preserve">Median rbc, shipped rule</w:t>
            </w:r>
          </w:p>
        </w:tc>
        <w:tc>
          <w:tcPr>
            <w:tcW w:w="1512" w:type="dxa"/>
            <w:tcBorders>
              <w:bottom w:val="single" w:sz="8" w:space="0" w:color="000000"/>
            </w:tcBorders>
          </w:tcPr>
          <w:p>
            <w:pPr>
              <w:pStyle w:val="Cell"/>
            </w:pPr>
            <w:r>
              <w:rPr>
                <w:b/>
              </w:rPr>
              <w:t xml:space="preserve">Range across the four rules</w:t>
            </w:r>
          </w:p>
        </w:tc>
        <w:tc>
          <w:tcPr>
            <w:tcW w:w="1512" w:type="dxa"/>
            <w:tcBorders>
              <w:bottom w:val="single" w:sz="8" w:space="0" w:color="000000"/>
            </w:tcBorders>
          </w:tcPr>
          <w:p>
            <w:pPr>
              <w:pStyle w:val="Cell"/>
            </w:pPr>
            <w:r>
              <w:rPr>
                <w:b/>
              </w:rPr>
              <w:t xml:space="preserve">Largest shift in any single item</w:t>
            </w:r>
          </w:p>
        </w:tc>
      </w:tr>
      <w:tr>
        <w:tc>
          <w:tcPr>
            <w:tcW w:w="1512" w:type="dxa"/>
          </w:tcPr>
          <w:p>
            <w:pPr>
              <w:pStyle w:val="Cell"/>
            </w:pPr>
            <w:r>
              <w:t xml:space="preserve">Qwen 1P</w:t>
            </w:r>
          </w:p>
        </w:tc>
        <w:tc>
          <w:tcPr>
            <w:tcW w:w="1512" w:type="dxa"/>
          </w:tcPr>
          <w:p>
            <w:pPr>
              <w:pStyle w:val="Cell"/>
            </w:pPr>
            <w:r>
              <w:t xml:space="preserve">619 (0.07%)</w:t>
            </w:r>
          </w:p>
        </w:tc>
        <w:tc>
          <w:tcPr>
            <w:tcW w:w="1512" w:type="dxa"/>
          </w:tcPr>
          <w:p>
            <w:pPr>
              <w:pStyle w:val="Cell"/>
            </w:pPr>
            <w:r>
              <w:t xml:space="preserve">0 (0.0%)</w:t>
            </w:r>
          </w:p>
        </w:tc>
        <w:tc>
          <w:tcPr>
            <w:tcW w:w="1512" w:type="dxa"/>
          </w:tcPr>
          <w:p>
            <w:pPr>
              <w:pStyle w:val="Cell"/>
            </w:pPr>
            <w:r>
              <w:t xml:space="preserve">+0.4433</w:t>
            </w:r>
          </w:p>
        </w:tc>
        <w:tc>
          <w:tcPr>
            <w:tcW w:w="1512" w:type="dxa"/>
          </w:tcPr>
          <w:p>
            <w:pPr>
              <w:pStyle w:val="Cell"/>
            </w:pPr>
            <w:r>
              <w:t xml:space="preserve">+0.4433 to +0.4433</w:t>
            </w:r>
          </w:p>
        </w:tc>
        <w:tc>
          <w:tcPr>
            <w:tcW w:w="1512" w:type="dxa"/>
          </w:tcPr>
          <w:p>
            <w:pPr>
              <w:pStyle w:val="Cell"/>
            </w:pPr>
            <w:r>
              <w:t xml:space="preserve">0.0000</w:t>
            </w:r>
          </w:p>
        </w:tc>
      </w:tr>
      <w:tr>
        <w:tc>
          <w:tcPr>
            <w:tcW w:w="1512" w:type="dxa"/>
          </w:tcPr>
          <w:p>
            <w:pPr>
              <w:pStyle w:val="Cell"/>
            </w:pPr>
            <w:r>
              <w:t xml:space="preserve">Qwen 3P</w:t>
            </w:r>
          </w:p>
        </w:tc>
        <w:tc>
          <w:tcPr>
            <w:tcW w:w="1512" w:type="dxa"/>
          </w:tcPr>
          <w:p>
            <w:pPr>
              <w:pStyle w:val="Cell"/>
            </w:pPr>
            <w:r>
              <w:t xml:space="preserve">71 (0.01%)</w:t>
            </w:r>
          </w:p>
        </w:tc>
        <w:tc>
          <w:tcPr>
            <w:tcW w:w="1512" w:type="dxa"/>
          </w:tcPr>
          <w:p>
            <w:pPr>
              <w:pStyle w:val="Cell"/>
            </w:pPr>
            <w:r>
              <w:t xml:space="preserve">5 (7.0%)</w:t>
            </w:r>
          </w:p>
        </w:tc>
        <w:tc>
          <w:tcPr>
            <w:tcW w:w="1512" w:type="dxa"/>
          </w:tcPr>
          <w:p>
            <w:pPr>
              <w:pStyle w:val="Cell"/>
            </w:pPr>
            <w:r>
              <w:t xml:space="preserve">+0.4426</w:t>
            </w:r>
          </w:p>
        </w:tc>
        <w:tc>
          <w:tcPr>
            <w:tcW w:w="1512" w:type="dxa"/>
          </w:tcPr>
          <w:p>
            <w:pPr>
              <w:pStyle w:val="Cell"/>
            </w:pPr>
            <w:r>
              <w:t xml:space="preserve">+0.4426 to +0.4426</w:t>
            </w:r>
          </w:p>
        </w:tc>
        <w:tc>
          <w:tcPr>
            <w:tcW w:w="1512" w:type="dxa"/>
          </w:tcPr>
          <w:p>
            <w:pPr>
              <w:pStyle w:val="Cell"/>
            </w:pPr>
            <w:r>
              <w:t xml:space="preserve">0.0007</w:t>
            </w:r>
          </w:p>
        </w:tc>
      </w:tr>
      <w:tr>
        <w:tc>
          <w:tcPr>
            <w:tcW w:w="1512" w:type="dxa"/>
          </w:tcPr>
          <w:p>
            <w:pPr>
              <w:pStyle w:val="Cell"/>
            </w:pPr>
            <w:r>
              <w:t xml:space="preserve">Llama 1P</w:t>
            </w:r>
          </w:p>
        </w:tc>
        <w:tc>
          <w:tcPr>
            <w:tcW w:w="1512" w:type="dxa"/>
          </w:tcPr>
          <w:p>
            <w:pPr>
              <w:pStyle w:val="Cell"/>
            </w:pPr>
            <w:r>
              <w:t xml:space="preserve">64 (0.01%)</w:t>
            </w:r>
          </w:p>
        </w:tc>
        <w:tc>
          <w:tcPr>
            <w:tcW w:w="1512" w:type="dxa"/>
          </w:tcPr>
          <w:p>
            <w:pPr>
              <w:pStyle w:val="Cell"/>
            </w:pPr>
            <w:r>
              <w:t xml:space="preserve">24 (37.5%)</w:t>
            </w:r>
          </w:p>
        </w:tc>
        <w:tc>
          <w:tcPr>
            <w:tcW w:w="1512" w:type="dxa"/>
          </w:tcPr>
          <w:p>
            <w:pPr>
              <w:pStyle w:val="Cell"/>
            </w:pPr>
            <w:r>
              <w:t xml:space="preserve">+0.3486</w:t>
            </w:r>
          </w:p>
        </w:tc>
        <w:tc>
          <w:tcPr>
            <w:tcW w:w="1512" w:type="dxa"/>
          </w:tcPr>
          <w:p>
            <w:pPr>
              <w:pStyle w:val="Cell"/>
            </w:pPr>
            <w:r>
              <w:t xml:space="preserve">+0.3486 to +0.3486</w:t>
            </w:r>
          </w:p>
        </w:tc>
        <w:tc>
          <w:tcPr>
            <w:tcW w:w="1512" w:type="dxa"/>
          </w:tcPr>
          <w:p>
            <w:pPr>
              <w:pStyle w:val="Cell"/>
            </w:pPr>
            <w:r>
              <w:t xml:space="preserve">0.0072</w:t>
            </w:r>
          </w:p>
        </w:tc>
      </w:tr>
      <w:tr>
        <w:tc>
          <w:tcPr>
            <w:tcW w:w="1512" w:type="dxa"/>
          </w:tcPr>
          <w:p>
            <w:pPr>
              <w:pStyle w:val="Cell"/>
            </w:pPr>
            <w:r>
              <w:t xml:space="preserve">Llama 3P</w:t>
            </w:r>
          </w:p>
        </w:tc>
        <w:tc>
          <w:tcPr>
            <w:tcW w:w="1512" w:type="dxa"/>
          </w:tcPr>
          <w:p>
            <w:pPr>
              <w:pStyle w:val="Cell"/>
            </w:pPr>
            <w:r>
              <w:t xml:space="preserve">196,067 (22.72%)</w:t>
            </w:r>
          </w:p>
        </w:tc>
        <w:tc>
          <w:tcPr>
            <w:tcW w:w="1512" w:type="dxa"/>
          </w:tcPr>
          <w:p>
            <w:pPr>
              <w:pStyle w:val="Cell"/>
            </w:pPr>
            <w:r>
              <w:t xml:space="preserve">44,374 (22.6%)</w:t>
            </w:r>
          </w:p>
        </w:tc>
        <w:tc>
          <w:tcPr>
            <w:tcW w:w="1512" w:type="dxa"/>
          </w:tcPr>
          <w:p>
            <w:pPr>
              <w:pStyle w:val="Cell"/>
            </w:pPr>
            <w:r>
              <w:t xml:space="preserve">+0.1729</w:t>
            </w:r>
          </w:p>
        </w:tc>
        <w:tc>
          <w:tcPr>
            <w:tcW w:w="1512" w:type="dxa"/>
          </w:tcPr>
          <w:p>
            <w:pPr>
              <w:pStyle w:val="Cell"/>
            </w:pPr>
            <w:r>
              <w:t xml:space="preserve">+0.1603 to +0.1798</w:t>
            </w:r>
          </w:p>
        </w:tc>
        <w:tc>
          <w:tcPr>
            <w:tcW w:w="1512" w:type="dxa"/>
          </w:tcPr>
          <w:p>
            <w:pPr>
              <w:pStyle w:val="Cell"/>
            </w:pPr>
            <w:r>
              <w:t xml:space="preserve">0.0596</w:t>
            </w:r>
          </w:p>
        </w:tc>
      </w:tr>
      <w:tr>
        <w:tc>
          <w:tcPr>
            <w:tcW w:w="1512" w:type="dxa"/>
          </w:tcPr>
          <w:p>
            <w:pPr>
              <w:pStyle w:val="Cell"/>
            </w:pPr>
            <w:r>
              <w:t xml:space="preserve">demographics only</w:t>
            </w:r>
          </w:p>
        </w:tc>
        <w:tc>
          <w:tcPr>
            <w:tcW w:w="1512" w:type="dxa"/>
          </w:tcPr>
          <w:p>
            <w:pPr>
              <w:pStyle w:val="Cell"/>
            </w:pPr>
            <w:r>
              <w:t xml:space="preserve">6,333 (0.73%)</w:t>
            </w:r>
          </w:p>
        </w:tc>
        <w:tc>
          <w:tcPr>
            <w:tcW w:w="1512" w:type="dxa"/>
          </w:tcPr>
          <w:p>
            <w:pPr>
              <w:pStyle w:val="Cell"/>
            </w:pPr>
            <w:r>
              <w:t xml:space="preserve">419 (6.6%)</w:t>
            </w:r>
          </w:p>
        </w:tc>
        <w:tc>
          <w:tcPr>
            <w:tcW w:w="1512" w:type="dxa"/>
          </w:tcPr>
          <w:p>
            <w:pPr>
              <w:pStyle w:val="Cell"/>
            </w:pPr>
            <w:r>
              <w:t xml:space="preserve">-0.0286</w:t>
            </w:r>
          </w:p>
        </w:tc>
        <w:tc>
          <w:tcPr>
            <w:tcW w:w="1512" w:type="dxa"/>
          </w:tcPr>
          <w:p>
            <w:pPr>
              <w:pStyle w:val="Cell"/>
            </w:pPr>
            <w:r>
              <w:t xml:space="preserve">-0.0363 to -0.0286</w:t>
            </w:r>
          </w:p>
        </w:tc>
        <w:tc>
          <w:tcPr>
            <w:tcW w:w="1512" w:type="dxa"/>
          </w:tcPr>
          <w:p>
            <w:pPr>
              <w:pStyle w:val="Cell"/>
            </w:pPr>
            <w:r>
              <w:t xml:space="preserve">0.0919</w:t>
            </w:r>
          </w:p>
        </w:tc>
      </w:tr>
      <w:tr>
        <w:tc>
          <w:tcPr>
            <w:tcW w:w="1512" w:type="dxa"/>
          </w:tcPr>
          <w:p>
            <w:pPr>
              <w:pStyle w:val="Cell"/>
            </w:pPr>
            <w:r>
              <w:t xml:space="preserve">+ country</w:t>
            </w:r>
          </w:p>
        </w:tc>
        <w:tc>
          <w:tcPr>
            <w:tcW w:w="1512" w:type="dxa"/>
          </w:tcPr>
          <w:p>
            <w:pPr>
              <w:pStyle w:val="Cell"/>
            </w:pPr>
            <w:r>
              <w:t xml:space="preserve">10,729 (1.24%)</w:t>
            </w:r>
          </w:p>
        </w:tc>
        <w:tc>
          <w:tcPr>
            <w:tcW w:w="1512" w:type="dxa"/>
          </w:tcPr>
          <w:p>
            <w:pPr>
              <w:pStyle w:val="Cell"/>
            </w:pPr>
            <w:r>
              <w:t xml:space="preserve">165 (1.5%)</w:t>
            </w:r>
          </w:p>
        </w:tc>
        <w:tc>
          <w:tcPr>
            <w:tcW w:w="1512" w:type="dxa"/>
          </w:tcPr>
          <w:p>
            <w:pPr>
              <w:pStyle w:val="Cell"/>
            </w:pPr>
            <w:r>
              <w:t xml:space="preserve">+0.5232</w:t>
            </w:r>
          </w:p>
        </w:tc>
        <w:tc>
          <w:tcPr>
            <w:tcW w:w="1512" w:type="dxa"/>
          </w:tcPr>
          <w:p>
            <w:pPr>
              <w:pStyle w:val="Cell"/>
            </w:pPr>
            <w:r>
              <w:t xml:space="preserve">+0.5232 to +0.5239</w:t>
            </w:r>
          </w:p>
        </w:tc>
        <w:tc>
          <w:tcPr>
            <w:tcW w:w="1512" w:type="dxa"/>
          </w:tcPr>
          <w:p>
            <w:pPr>
              <w:pStyle w:val="Cell"/>
            </w:pPr>
            <w:r>
              <w:t xml:space="preserve">0.0067</w:t>
            </w:r>
          </w:p>
        </w:tc>
      </w:tr>
      <w:tr>
        <w:tc>
          <w:tcPr>
            <w:tcW w:w="1512" w:type="dxa"/>
          </w:tcPr>
          <w:p>
            <w:pPr>
              <w:pStyle w:val="Cell"/>
            </w:pPr>
            <w:r>
              <w:t xml:space="preserve">+ socioeconomic</w:t>
            </w:r>
          </w:p>
        </w:tc>
        <w:tc>
          <w:tcPr>
            <w:tcW w:w="1512" w:type="dxa"/>
          </w:tcPr>
          <w:p>
            <w:pPr>
              <w:pStyle w:val="Cell"/>
            </w:pPr>
            <w:r>
              <w:t xml:space="preserve">1,716 (0.20%)</w:t>
            </w:r>
          </w:p>
        </w:tc>
        <w:tc>
          <w:tcPr>
            <w:tcW w:w="1512" w:type="dxa"/>
          </w:tcPr>
          <w:p>
            <w:pPr>
              <w:pStyle w:val="Cell"/>
            </w:pPr>
            <w:r>
              <w:t xml:space="preserve">6 (0.3%)</w:t>
            </w:r>
          </w:p>
        </w:tc>
        <w:tc>
          <w:tcPr>
            <w:tcW w:w="1512" w:type="dxa"/>
          </w:tcPr>
          <w:p>
            <w:pPr>
              <w:pStyle w:val="Cell"/>
            </w:pPr>
            <w:r>
              <w:t xml:space="preserve">+0.3967</w:t>
            </w:r>
          </w:p>
        </w:tc>
        <w:tc>
          <w:tcPr>
            <w:tcW w:w="1512" w:type="dxa"/>
          </w:tcPr>
          <w:p>
            <w:pPr>
              <w:pStyle w:val="Cell"/>
            </w:pPr>
            <w:r>
              <w:t xml:space="preserve">+0.3967 to +0.3967</w:t>
            </w:r>
          </w:p>
        </w:tc>
        <w:tc>
          <w:tcPr>
            <w:tcW w:w="1512" w:type="dxa"/>
          </w:tcPr>
          <w:p>
            <w:pPr>
              <w:pStyle w:val="Cell"/>
            </w:pPr>
            <w:r>
              <w:t xml:space="preserve">0.0005</w:t>
            </w:r>
          </w:p>
        </w:tc>
      </w:tr>
      <w:tr>
        <w:tc>
          <w:tcPr>
            <w:tcW w:w="1512" w:type="dxa"/>
          </w:tcPr>
          <w:p>
            <w:pPr>
              <w:pStyle w:val="Cell"/>
            </w:pPr>
            <w:r>
              <w:t xml:space="preserve">+ political</w:t>
            </w:r>
          </w:p>
        </w:tc>
        <w:tc>
          <w:tcPr>
            <w:tcW w:w="1512" w:type="dxa"/>
          </w:tcPr>
          <w:p>
            <w:pPr>
              <w:pStyle w:val="Cell"/>
            </w:pPr>
            <w:r>
              <w:t xml:space="preserve">1,307 (0.15%)</w:t>
            </w:r>
          </w:p>
        </w:tc>
        <w:tc>
          <w:tcPr>
            <w:tcW w:w="1512" w:type="dxa"/>
          </w:tcPr>
          <w:p>
            <w:pPr>
              <w:pStyle w:val="Cell"/>
            </w:pPr>
            <w:r>
              <w:t xml:space="preserve">2 (0.2%)</w:t>
            </w:r>
          </w:p>
        </w:tc>
        <w:tc>
          <w:tcPr>
            <w:tcW w:w="1512" w:type="dxa"/>
          </w:tcPr>
          <w:p>
            <w:pPr>
              <w:pStyle w:val="Cell"/>
            </w:pPr>
            <w:r>
              <w:t xml:space="preserve">+0.2870</w:t>
            </w:r>
          </w:p>
        </w:tc>
        <w:tc>
          <w:tcPr>
            <w:tcW w:w="1512" w:type="dxa"/>
          </w:tcPr>
          <w:p>
            <w:pPr>
              <w:pStyle w:val="Cell"/>
            </w:pPr>
            <w:r>
              <w:t xml:space="preserve">+0.2870 to +0.2870</w:t>
            </w:r>
          </w:p>
        </w:tc>
        <w:tc>
          <w:tcPr>
            <w:tcW w:w="1512" w:type="dxa"/>
          </w:tcPr>
          <w:p>
            <w:pPr>
              <w:pStyle w:val="Cell"/>
            </w:pPr>
            <w:r>
              <w:t xml:space="preserve">0.0003</w:t>
            </w:r>
          </w:p>
        </w:tc>
      </w:tr>
      <w:tr>
        <w:tc>
          <w:tcPr>
            <w:tcW w:w="1512" w:type="dxa"/>
          </w:tcPr>
          <w:p>
            <w:pPr>
              <w:pStyle w:val="Cell"/>
            </w:pPr>
            <w:r>
              <w:t xml:space="preserve">no country</w:t>
            </w:r>
          </w:p>
        </w:tc>
        <w:tc>
          <w:tcPr>
            <w:tcW w:w="1512" w:type="dxa"/>
          </w:tcPr>
          <w:p>
            <w:pPr>
              <w:pStyle w:val="Cell"/>
            </w:pPr>
            <w:r>
              <w:t xml:space="preserve">409 (0.05%)</w:t>
            </w:r>
          </w:p>
        </w:tc>
        <w:tc>
          <w:tcPr>
            <w:tcW w:w="1512" w:type="dxa"/>
          </w:tcPr>
          <w:p>
            <w:pPr>
              <w:pStyle w:val="Cell"/>
            </w:pPr>
            <w:r>
              <w:t xml:space="preserve">1 (0.2%)</w:t>
            </w:r>
          </w:p>
        </w:tc>
        <w:tc>
          <w:tcPr>
            <w:tcW w:w="1512" w:type="dxa"/>
          </w:tcPr>
          <w:p>
            <w:pPr>
              <w:pStyle w:val="Cell"/>
            </w:pPr>
            <w:r>
              <w:t xml:space="preserve">+0.3441</w:t>
            </w:r>
          </w:p>
        </w:tc>
        <w:tc>
          <w:tcPr>
            <w:tcW w:w="1512" w:type="dxa"/>
          </w:tcPr>
          <w:p>
            <w:pPr>
              <w:pStyle w:val="Cell"/>
            </w:pPr>
            <w:r>
              <w:t xml:space="preserve">+0.3441 to +0.3441</w:t>
            </w:r>
          </w:p>
        </w:tc>
        <w:tc>
          <w:tcPr>
            <w:tcW w:w="1512" w:type="dxa"/>
          </w:tcPr>
          <w:p>
            <w:pPr>
              <w:pStyle w:val="Cell"/>
            </w:pPr>
            <w:r>
              <w:t xml:space="preserve">0.0007</w:t>
            </w:r>
          </w:p>
        </w:tc>
      </w:tr>
      <w:tr>
        <w:tc>
          <w:tcPr>
            <w:tcW w:w="1512" w:type="dxa"/>
          </w:tcPr>
          <w:p>
            <w:pPr>
              <w:pStyle w:val="Cell"/>
            </w:pPr>
            <w:r>
              <w:t xml:space="preserve">no region</w:t>
            </w:r>
          </w:p>
        </w:tc>
        <w:tc>
          <w:tcPr>
            <w:tcW w:w="1512" w:type="dxa"/>
          </w:tcPr>
          <w:p>
            <w:pPr>
              <w:pStyle w:val="Cell"/>
            </w:pPr>
            <w:r>
              <w:t xml:space="preserve">648 (0.08%)</w:t>
            </w:r>
          </w:p>
        </w:tc>
        <w:tc>
          <w:tcPr>
            <w:tcW w:w="1512" w:type="dxa"/>
          </w:tcPr>
          <w:p>
            <w:pPr>
              <w:pStyle w:val="Cell"/>
            </w:pPr>
            <w:r>
              <w:t xml:space="preserve">1 (0.2%)</w:t>
            </w:r>
          </w:p>
        </w:tc>
        <w:tc>
          <w:tcPr>
            <w:tcW w:w="1512" w:type="dxa"/>
          </w:tcPr>
          <w:p>
            <w:pPr>
              <w:pStyle w:val="Cell"/>
            </w:pPr>
            <w:r>
              <w:t xml:space="preserve">+0.4157</w:t>
            </w:r>
          </w:p>
        </w:tc>
        <w:tc>
          <w:tcPr>
            <w:tcW w:w="1512" w:type="dxa"/>
          </w:tcPr>
          <w:p>
            <w:pPr>
              <w:pStyle w:val="Cell"/>
            </w:pPr>
            <w:r>
              <w:t xml:space="preserve">+0.4157 to +0.4157</w:t>
            </w:r>
          </w:p>
        </w:tc>
        <w:tc>
          <w:tcPr>
            <w:tcW w:w="1512" w:type="dxa"/>
          </w:tcPr>
          <w:p>
            <w:pPr>
              <w:pStyle w:val="Cell"/>
            </w:pPr>
            <w:r>
              <w:t xml:space="preserve">0.0000</w:t>
            </w:r>
          </w:p>
        </w:tc>
      </w:tr>
      <w:tr>
        <w:tc>
          <w:tcPr>
            <w:tcW w:w="1512" w:type="dxa"/>
          </w:tcPr>
          <w:p>
            <w:pPr>
              <w:pStyle w:val="Cell"/>
            </w:pPr>
            <w:r>
              <w:t xml:space="preserve">no political</w:t>
            </w:r>
          </w:p>
        </w:tc>
        <w:tc>
          <w:tcPr>
            <w:tcW w:w="1512" w:type="dxa"/>
          </w:tcPr>
          <w:p>
            <w:pPr>
              <w:pStyle w:val="Cell"/>
            </w:pPr>
            <w:r>
              <w:t xml:space="preserve">808 (0.09%)</w:t>
            </w:r>
          </w:p>
        </w:tc>
        <w:tc>
          <w:tcPr>
            <w:tcW w:w="1512" w:type="dxa"/>
          </w:tcPr>
          <w:p>
            <w:pPr>
              <w:pStyle w:val="Cell"/>
            </w:pPr>
            <w:r>
              <w:t xml:space="preserve">0 (0.0%)</w:t>
            </w:r>
          </w:p>
        </w:tc>
        <w:tc>
          <w:tcPr>
            <w:tcW w:w="1512" w:type="dxa"/>
          </w:tcPr>
          <w:p>
            <w:pPr>
              <w:pStyle w:val="Cell"/>
            </w:pPr>
            <w:r>
              <w:t xml:space="preserve">+0.5231</w:t>
            </w:r>
          </w:p>
        </w:tc>
        <w:tc>
          <w:tcPr>
            <w:tcW w:w="1512" w:type="dxa"/>
          </w:tcPr>
          <w:p>
            <w:pPr>
              <w:pStyle w:val="Cell"/>
            </w:pPr>
            <w:r>
              <w:t xml:space="preserve">+0.5231 to +0.5231</w:t>
            </w:r>
          </w:p>
        </w:tc>
        <w:tc>
          <w:tcPr>
            <w:tcW w:w="1512" w:type="dxa"/>
          </w:tcPr>
          <w:p>
            <w:pPr>
              <w:pStyle w:val="Cell"/>
            </w:pPr>
            <w:r>
              <w:t xml:space="preserve">0.0000</w:t>
            </w:r>
          </w:p>
        </w:tc>
      </w:tr>
      <w:tr>
        <w:tc>
          <w:tcPr>
            <w:tcW w:w="1512" w:type="dxa"/>
          </w:tcPr>
          <w:p>
            <w:pPr>
              <w:pStyle w:val="Cell"/>
            </w:pPr>
            <w:r>
              <w:t xml:space="preserve">Qwen 1P anchored</w:t>
            </w:r>
          </w:p>
        </w:tc>
        <w:tc>
          <w:tcPr>
            <w:tcW w:w="1512" w:type="dxa"/>
          </w:tcPr>
          <w:p>
            <w:pPr>
              <w:pStyle w:val="Cell"/>
            </w:pPr>
            <w:r>
              <w:t xml:space="preserve">53 (0.01%)</w:t>
            </w:r>
          </w:p>
        </w:tc>
        <w:tc>
          <w:tcPr>
            <w:tcW w:w="1512" w:type="dxa"/>
          </w:tcPr>
          <w:p>
            <w:pPr>
              <w:pStyle w:val="Cell"/>
            </w:pPr>
            <w:r>
              <w:t xml:space="preserve">0 (0.0%)</w:t>
            </w:r>
          </w:p>
        </w:tc>
        <w:tc>
          <w:tcPr>
            <w:tcW w:w="1512" w:type="dxa"/>
          </w:tcPr>
          <w:p>
            <w:pPr>
              <w:pStyle w:val="Cell"/>
            </w:pPr>
            <w:r>
              <w:t xml:space="preserve">+0.6501</w:t>
            </w:r>
          </w:p>
        </w:tc>
        <w:tc>
          <w:tcPr>
            <w:tcW w:w="1512" w:type="dxa"/>
          </w:tcPr>
          <w:p>
            <w:pPr>
              <w:pStyle w:val="Cell"/>
            </w:pPr>
            <w:r>
              <w:t xml:space="preserve">+0.6501 to +0.6501</w:t>
            </w:r>
          </w:p>
        </w:tc>
        <w:tc>
          <w:tcPr>
            <w:tcW w:w="1512" w:type="dxa"/>
          </w:tcPr>
          <w:p>
            <w:pPr>
              <w:pStyle w:val="Cell"/>
            </w:pPr>
            <w:r>
              <w:t xml:space="preserve">0.0000</w:t>
            </w:r>
          </w:p>
        </w:tc>
      </w:tr>
      <w:tr>
        <w:tc>
          <w:tcPr>
            <w:tcW w:w="1512" w:type="dxa"/>
          </w:tcPr>
          <w:p>
            <w:pPr>
              <w:pStyle w:val="Cell"/>
            </w:pPr>
            <w:r>
              <w:t xml:space="preserve">no country, anchored</w:t>
            </w:r>
          </w:p>
        </w:tc>
        <w:tc>
          <w:tcPr>
            <w:tcW w:w="1512" w:type="dxa"/>
          </w:tcPr>
          <w:p>
            <w:pPr>
              <w:pStyle w:val="Cell"/>
            </w:pPr>
            <w:r>
              <w:t xml:space="preserve">75 (0.02%)</w:t>
            </w:r>
          </w:p>
        </w:tc>
        <w:tc>
          <w:tcPr>
            <w:tcW w:w="1512" w:type="dxa"/>
          </w:tcPr>
          <w:p>
            <w:pPr>
              <w:pStyle w:val="Cell"/>
            </w:pPr>
            <w:r>
              <w:t xml:space="preserve">0 (0.0%)</w:t>
            </w:r>
          </w:p>
        </w:tc>
        <w:tc>
          <w:tcPr>
            <w:tcW w:w="1512" w:type="dxa"/>
          </w:tcPr>
          <w:p>
            <w:pPr>
              <w:pStyle w:val="Cell"/>
            </w:pPr>
            <w:r>
              <w:t xml:space="preserve">+0.3891</w:t>
            </w:r>
          </w:p>
        </w:tc>
        <w:tc>
          <w:tcPr>
            <w:tcW w:w="1512" w:type="dxa"/>
          </w:tcPr>
          <w:p>
            <w:pPr>
              <w:pStyle w:val="Cell"/>
            </w:pPr>
            <w:r>
              <w:t xml:space="preserve">+0.3891 to +0.3891</w:t>
            </w:r>
          </w:p>
        </w:tc>
        <w:tc>
          <w:tcPr>
            <w:tcW w:w="1512" w:type="dxa"/>
          </w:tcPr>
          <w:p>
            <w:pPr>
              <w:pStyle w:val="Cell"/>
            </w:pPr>
            <w:r>
              <w:t xml:space="preserve">0.0000</w:t>
            </w:r>
          </w:p>
        </w:tc>
      </w:tr>
      <w:tr>
        <w:tc>
          <w:tcPr>
            <w:tcW w:w="1512" w:type="dxa"/>
          </w:tcPr>
          <w:p>
            <w:pPr>
              <w:pStyle w:val="Cell"/>
            </w:pPr>
            <w:r>
              <w:t xml:space="preserve">no region, anchored</w:t>
            </w:r>
          </w:p>
        </w:tc>
        <w:tc>
          <w:tcPr>
            <w:tcW w:w="1512" w:type="dxa"/>
          </w:tcPr>
          <w:p>
            <w:pPr>
              <w:pStyle w:val="Cell"/>
            </w:pPr>
            <w:r>
              <w:t xml:space="preserve">46 (0.01%)</w:t>
            </w:r>
          </w:p>
        </w:tc>
        <w:tc>
          <w:tcPr>
            <w:tcW w:w="1512" w:type="dxa"/>
          </w:tcPr>
          <w:p>
            <w:pPr>
              <w:pStyle w:val="Cell"/>
            </w:pPr>
            <w:r>
              <w:t xml:space="preserve">0 (0.0%)</w:t>
            </w:r>
          </w:p>
        </w:tc>
        <w:tc>
          <w:tcPr>
            <w:tcW w:w="1512" w:type="dxa"/>
          </w:tcPr>
          <w:p>
            <w:pPr>
              <w:pStyle w:val="Cell"/>
            </w:pPr>
            <w:r>
              <w:t xml:space="preserve">+0.6369</w:t>
            </w:r>
          </w:p>
        </w:tc>
        <w:tc>
          <w:tcPr>
            <w:tcW w:w="1512" w:type="dxa"/>
          </w:tcPr>
          <w:p>
            <w:pPr>
              <w:pStyle w:val="Cell"/>
            </w:pPr>
            <w:r>
              <w:t xml:space="preserve">+0.6369 to +0.6369</w:t>
            </w:r>
          </w:p>
        </w:tc>
        <w:tc>
          <w:tcPr>
            <w:tcW w:w="1512" w:type="dxa"/>
          </w:tcPr>
          <w:p>
            <w:pPr>
              <w:pStyle w:val="Cell"/>
            </w:pPr>
            <w:r>
              <w:t xml:space="preserve">0.0000</w:t>
            </w:r>
          </w:p>
        </w:tc>
      </w:tr>
      <w:tr>
        <w:tc>
          <w:tcPr>
            <w:tcW w:w="1512" w:type="dxa"/>
          </w:tcPr>
          <w:p>
            <w:pPr>
              <w:pStyle w:val="Cell"/>
            </w:pPr>
            <w:r>
              <w:t xml:space="preserve">repeat run</w:t>
            </w:r>
          </w:p>
        </w:tc>
        <w:tc>
          <w:tcPr>
            <w:tcW w:w="1512" w:type="dxa"/>
          </w:tcPr>
          <w:p>
            <w:pPr>
              <w:pStyle w:val="Cell"/>
            </w:pPr>
            <w:r>
              <w:t xml:space="preserve">67 (0.01%)</w:t>
            </w:r>
          </w:p>
        </w:tc>
        <w:tc>
          <w:tcPr>
            <w:tcW w:w="1512" w:type="dxa"/>
          </w:tcPr>
          <w:p>
            <w:pPr>
              <w:pStyle w:val="Cell"/>
            </w:pPr>
            <w:r>
              <w:t xml:space="preserve">1 (1.5%)</w:t>
            </w:r>
          </w:p>
        </w:tc>
        <w:tc>
          <w:tcPr>
            <w:tcW w:w="1512" w:type="dxa"/>
          </w:tcPr>
          <w:p>
            <w:pPr>
              <w:pStyle w:val="Cell"/>
            </w:pPr>
            <w:r>
              <w:t xml:space="preserve">+0.3249</w:t>
            </w:r>
          </w:p>
        </w:tc>
        <w:tc>
          <w:tcPr>
            <w:tcW w:w="1512" w:type="dxa"/>
          </w:tcPr>
          <w:p>
            <w:pPr>
              <w:pStyle w:val="Cell"/>
            </w:pPr>
            <w:r>
              <w:t xml:space="preserve">+0.3249 to +0.3249</w:t>
            </w:r>
          </w:p>
        </w:tc>
        <w:tc>
          <w:tcPr>
            <w:tcW w:w="1512" w:type="dxa"/>
          </w:tcPr>
          <w:p>
            <w:pPr>
              <w:pStyle w:val="Cell"/>
            </w:pPr>
            <w:r>
              <w:t xml:space="preserve">0.0003</w:t>
            </w:r>
          </w:p>
        </w:tc>
      </w:tr>
    </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18"/>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s>
</file>