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 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Overall, the models treat the country name as a group-level prior. The label carries most of the aggregate signal. Enriching the profile beyond it adds no consistent gain. The response format decides whether the ordering comes out right or inverted.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its direction. The practical one is a benchmark against model-free alternatives, the comparison a prospective user needs.</w:t>
      </w:r>
    </w:p>
    <w:p>
      <w:pPr>
        <w:pStyle w:val="Body"/>
      </w:pPr>
      <w:r>
        <w:t xml:space="preserve">To answer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response-scale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Country cues can generate cross-national differentiation without demonstrating calibrated population simulation.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produce inverted country orderings on those items and correct ones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carry no verbal anchor labels for scale endpoints.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A 2 (country label: present, absent) × 2 (response scale: numbers only, numbers with verbal endpoints) experiment follows. Four arms make it up, and it runs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final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w:t>
      </w:r>
      <w:r>
        <w:rPr>
          <w:i/>
        </w:rPr>
        <w:t>r</w:t>
      </w:r>
      <w:r>
        <w:rPr>
          <w:i/>
          <w:vertAlign w:val="subscript"/>
        </w:rPr>
        <w:t>prof</w:t>
      </w:r>
      <w:r>
        <w:t xml:space="preserve"> is each country’s 42-item aggregate profile correlation, used for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performs best and is the reference for the focused analyses below. Against the pre-declared thresholds, 20 of 42 items exceed 0.5 and nine exceed 0.7.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Figure 2(b) ranks the same items under Qwen 1P. The full labeled rankings appear in Appendix Figures A1 and A4. Figure 6(b) draws the individual level on the same scale, and the two together make the disparity visible: the aggregate series spans 1.64 correlation units, the individual series 0.30, a ratio of 5.5.</w:t>
      </w:r>
    </w:p>
    <w:p>
      <w:pPr>
        <w:pStyle w:val="Body"/>
      </w:pPr>
      <w:r>
        <w:t xml:space="preserve">Figure 2(b) shows that 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Figure 4 gives every block’s effect at both margins, and Appendix Figure A3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determines the sign with which that signal appears.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country label by the response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first- and third-person framing do not differ in either model (Table A4). Even the largest implies less than 0.1% shared variance.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across 30 countries and that scale anchoring moves both levels together.</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(rq3_cell_summary.csv).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Supplying verbal endpoint labels removes the item inversions, reverses the sign of the country-label effect on reverse-coded items, and triples individual-level recovery. One manipulation does all three. Two of the three main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w:t>
      </w:r>
    </w:p>
    <w:p>
      <w:pPr>
        <w:pStyle w:val="Body"/>
      </w:pPr>
      <w:r>
        <w:t xml:space="preserve">Identifiability does not explain the label’s contribution. If it were the mechanism, recovery would track it. Recovery instead varies widely among profiles that identify the country equally well, and the sparsest profile containing the country beats every richer one (Appendix, Country identifiability). The model treats the country as a group-level prior and respondent detail as noise around it. Almost none of the variation it produces within a country is respondent-specific: in a replicate arm 95% of the within-country variance is generation noise.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42 items whose cross-national ordering is reversed, so a screening rule based on either would pass the battery unchanged.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give a different sign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contributions are of three kinds.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w:t>
      </w:r>
    </w:p>
    <w:p>
      <w:pPr>
        <w:pStyle w:val="Body"/>
      </w:pPr>
      <w:r>
        <w:t xml:space="preserve">The methodological contribution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experiment crosses the country label with the response format, which turns the item inversions from an interpretation into a result. Recovery is reported item by item against a measured run-to-run floor. A pooled correlation would have hidden the inverted items.</w:t>
      </w:r>
    </w:p>
    <w:p>
      <w:pPr>
        <w:pStyle w:val="Body"/>
      </w:pPr>
      <w:r>
        <w:t xml:space="preserve">The practical contribution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w:t>
      </w:r>
    </w:p>
    <w:p>
      <w:pPr>
        <w:pStyle w:val="Body"/>
      </w:pPr>
      <w:r>
        <w:t xml:space="preserve">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Body"/>
      </w:pPr>
      <w:r>
        <w:t xml:space="preserve">Note. 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t xml:space="preserve">Figure A3.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 A table is the display because the object is 12 domains by four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Note. 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t xml:space="preserve">Figure A4.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Body"/>
      </w:pPr>
      <w:r>
        <w:t xml:space="preserve">Note. 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t xml:space="preserve">Table A5. 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Body"/>
      </w:pPr>
      <w:r>
        <w:t xml:space="preserve">Note. 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t xml:space="preserve">Table A6. 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Body"/>
      </w:pPr>
      <w:r>
        <w:t xml:space="preserve">Note. 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