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major open-weight LLMs,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Naming the two endpoints of the response scale in words removes the item-level inversions and roughly triples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However, they are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Early evaluations found that model responses track human ones across several domains.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Later work found compressed distributions and misrepresented groups.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gaps constrain the existing silicon-sampling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decides its direction.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To address these gaps, this study puts three questions to one design, in four steps.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model-free comparators.</w:t>
      </w:r>
    </w:p>
    <w:p>
      <w:pPr>
        <w:pStyle w:val="Body"/>
      </w:pPr>
      <w:r>
        <w:t xml:space="preserve">Overall, the models treat the country name as a group-level prior. The label carries most of the aggregate signal. Enriching the profile beyond it adds no consistent gain. The response format decides whether the model ranks countries the right way round or backwards. None of it amounts to individual-level recovery, and a regional average that uses no model at all recovers the same country means better. The study contributes on three fronts. The empirical contribution is a joint evaluation of item-level country rankings, within-country individual recovery, and the label’s incremental contribution on the same matched respondents. The methodological one is the experimental identification of that prior and of the format that decides which way the ordering runs. The practical one is a benchmark against model-free alternatives, the comparison a prospective user needs.</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largely within one or a few countries.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w:t>
      </w:r>
    </w:p>
    <w:p>
      <w:pPr>
        <w:pStyle w:val="Body"/>
      </w:pPr>
      <w:r>
        <w:t xml:space="preserve">The literature supports two expectations. First, recovery should be uneven across items, and part of that unevenness should follow how the response scale is presented, because option format shifts model answers independently of content (Section 2.2). Second, a pooled correlation that mixes items of different scale lengths should overstate recovery, because much of the covariance it captures falls between items and not between countries.</w:t>
      </w:r>
    </w:p>
    <w:p>
      <w:pPr>
        <w:pStyle w:val="Body"/>
      </w:pPr>
      <w:r>
        <w:t xml:space="preserve">RQ1. How accurately does silicon sampling recover public attitudes at the aggregate level, and how far does that accuracy vary from item to item?</w:t>
      </w:r>
    </w:p>
    <w:p>
      <w:pPr>
        <w:pStyle w:val="H2"/>
      </w:pPr>
      <w:r>
        <w:t xml:space="preserve">2.2 Cultural bias and the country cue in LLM responses</w:t>
      </w:r>
    </w:p>
    <w:p>
      <w:pPr>
        <w:pStyle w:val="Body"/>
      </w:pPr>
      <w:r>
        <w:t xml:space="preserve">Before any country is named, model outputs already lean toward some populations. Cultural bias here means systematic differences in whose values and associations those default outputs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Naming a country moves the output, though not necessarily toward the population named.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Yet the resulting correspondence is ambiguous: agreement with national averages may reflect calibrated country knowledge, stereotypic associations, or both.</w:t>
      </w:r>
    </w:p>
    <w:p>
      <w:pPr>
        <w:pStyle w:val="Body"/>
      </w:pPr>
      <w:r>
        <w:t xml:space="preserve">The response format can create cross-national differences by itself. Format here means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This study therefore tests whether the country label adds recovery beyond demographic composition and whether richer profiles add further gains. The two readings of the label predict two different patterns. If the label activates calibrated knowledge that richer detail refines, recovery should rise with each level of enrichment. If it activates a group-level prior, the label should produce one large step and further detail should add little. A label account also predicts that the cue is specific to the country named: attaching the wrong country’s name should pull recovery toward the named country and away from the respondents’ real one. Format predicts something different. If the numeric scale is read in the wrong direction on reverse-coded items, the same country knowledge will rank countries backwards on those items and correctly elsewhere, and supplying verbal endpoints should remove the inversion without touching the model’s knowledge.</w:t>
      </w:r>
    </w:p>
    <w:p>
      <w:pPr>
        <w:pStyle w:val="Body"/>
      </w:pPr>
      <w:r>
        <w:t xml:space="preserve">RQ2. Which part of the prompt produces the aggregate signal, and why does the model rank countries backwards on some items?</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Being the person and predicting the person are two different requests. Answering in persona speaks from the profile. Predicting how the person would answer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RQ3 tests it.</w:t>
      </w:r>
    </w:p>
    <w:p>
      <w:pPr>
        <w:pStyle w:val="Body"/>
      </w:pPr>
      <w:r>
        <w:t xml:space="preserve">Richer conditioning rescues individual recovery only when it is far richer than a demographic profile.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all three together, because the two levels have to be told apart before either can be used:</w:t>
      </w:r>
    </w:p>
    <w:p>
      <w:pPr>
        <w:pStyle w:val="Body"/>
      </w:pPr>
      <w:r>
        <w:t xml:space="preserve">RQ3. How much individual-level recovery is there, does first- versus third-person framing change it,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below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FigTitle"/>
      </w:pPr>
      <w:r>
        <w:rPr>
          <w:b/>
        </w:rPr>
        <w:t xml:space="preserve">Figure 1. </w:t>
      </w:r>
      <w:r>
        <w:t xml:space="preserve">The simulation pipeline.</w:t>
      </w:r>
    </w:p>
    <w:p>
      <w:pPr>
        <w:pStyle w:val="FigNote"/>
      </w:pPr>
      <w:r>
        <w:rPr>
          <w:i/>
        </w:rPr>
        <w:t xml:space="preserve">Note. </w:t>
      </w:r>
      <w:r>
        <w:t xml:space="preserve">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Qwen, Llama) × 2 (prompt: first person, third person) crossing. Two open-weight instruction-tuned models are tested: Qwen 2.5-7B-Instruct (Alibaba) and Llama 3.1-8B-Instruct (Meta). Both are run locally on a university high-performance computing cluster (NVIDIA A100) using vLLM for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on whether most people can be trusted, try to be fair, and are helpful, carry the full ESS question wording, which embeds verbal endpoint descriptions. Every other item is presented with the abbreviated codebook wording reported in Table A1. Prompts specify the numeric scale range as digits (e.g., “Scale: 0-10”) and name no scale endpoints in words.</w:t>
      </w:r>
    </w:p>
    <w:p>
      <w:pPr>
        <w:pStyle w:val="Body"/>
      </w:pPr>
      <w:r>
        <w:t xml:space="preserve">For each country, 685 respondents are randomly subsampled from the ESS. That is the number available in the smallest country sample, so it is the largest subsample an equal-sized design can draw, and the size is set by the data and not by a computational limit. The subsample is drawn with no design weights. The human benchmark is weighted by the ESS post-stratification weight (pspwght) throughout, and the sensitivity of the results to that choice is reported in Section 4.4. The sample size is sufficient at both levels of analysis.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41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codes from the International Organization for Standardization (ISO)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Appendix B.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The same with-and-without logic runs over the whole profile. The 20 backstory variables partition into 10 named blocks: the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because single variables often repeat one another. The profile contains near-duplicate pairs: age and birth year, education level and education years, household size and children at home. Age and birth year encode the same fact, so dropping one leaves its twin in place and the contrast measures the repetition. Where a block holds no such pair, its variables are also tested one at a time.</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swapped-label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Body"/>
      </w:pPr>
      <w:r>
        <w:t xml:space="preserve">A 2 (country label: present, absent) × 2 (response scale: numbers only, numbers with verbal endpoints) experiment tests whether the format decides the direction of the label’s effect. Its four arms run on a 22-item batch: 12 of the 13 reverse-coded items (vote is excluded, because its response options carry no scale direction), six forward-coded controls (items whose numeric scale runs in the intuitive direction), and four placebo items whose endpoints the question text already describes. The reverse-item set and the two exclusions were fixed in advance, which leaves 10 forward-coded and 10 reverse-coded items in the analysis.</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Each country’s 42-item aggregate profile correlation, </w:t>
      </w:r>
      <w:r>
        <w:rPr>
          <w:i/>
        </w:rPr>
        <w:t>r</w:t>
      </w:r>
      <w:r>
        <w:rPr>
          <w:i/>
          <w:vertAlign w:val="subscript"/>
        </w:rPr>
        <w:t>prof</w:t>
      </w:r>
      <w:r>
        <w:t xml:space="preserve">, carries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D.</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4.1.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into </w:t>
      </w:r>
      <w:r>
        <w:rPr>
          <w:i/>
        </w:rPr>
        <w:t>r</w:t>
      </w:r>
      <w:r>
        <w:rPr>
          <w:i/>
          <w:vertAlign w:val="subscript"/>
        </w:rPr>
        <w:t>bc</w:t>
      </w:r>
      <w:r>
        <w:t xml:space="preserve"> and an accuracy term, separating rank correspondence from calibration. Model and prompt contrasts use paired t-tests across the 42 items.</w:t>
      </w:r>
    </w:p>
    <w:p>
      <w:pPr>
        <w:pStyle w:val="H1"/>
      </w:pPr>
      <w:r>
        <w:t xml:space="preserve">4 Results</w:t>
      </w:r>
    </w:p>
    <w:p>
      <w:pPr>
        <w:pStyle w:val="H2"/>
      </w:pPr>
      <w:r>
        <w:t xml:space="preserve">4.1 Silicon sampling’s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with the pooled correlation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Against the pre-declared thresholds, 20 of 42 items exceed 0.5 and nine exceed 0.7. Qwen 1P performs best of the four conditions and is the reference for the focused analyses below, and all four appear in Figures 2 and 6, so the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FigTitle"/>
      </w:pPr>
      <w:r>
        <w:rPr>
          <w:b/>
        </w:rPr>
        <w:t xml:space="preserve">Figure 2. </w:t>
      </w:r>
      <w:r>
        <w:t xml:space="preserve">Aggregate recovery: by condition, and item by item.</w:t>
      </w:r>
    </w:p>
    <w:p>
      <w:pPr>
        <w:pStyle w:val="FigNote"/>
      </w:pPr>
      <w:r>
        <w:rPr>
          <w:i/>
        </w:rPr>
        <w:t xml:space="preserve">Note. </w:t>
      </w:r>
      <w:r>
        <w:t xml:space="preserve">Panel (a): every item’s between-country correlation in each condition, with the median across items marked. The pooled correlation is drawn once, as a labeled counterexample (all pooled p &lt; 0.001). The Llama 3P arm (†) loses 24% of its scheduled responses to a parse failure and is not read substantively (Section 4.4). The anchored arm repeats Qwen 1P with the two scale endpoints named in words, on the 22-item batch of Section 4.2. Panel (b): the same 42 items under Qwen 1P, ranked, with the highest and lowest named and reverse-coded items marked. Figure 6 is the individual-level counterpart, drawn on the scale of panel (b).</w:t>
      </w:r>
    </w:p>
    <w:p>
      <w:pPr>
        <w:pStyle w:val="Body"/>
      </w:pPr>
      <w:r>
        <w:t xml:space="preserve">Institutional trust and subjective well-being recover best, whereas income, safety, and health invert. Panel (b) ranks the same 42 items under Qwen 1P, and the full labeled ranking is in Appendix Figure A1. Trust items dominate the top (trust in the police 0.82, trust in parliament 0.79, trust in the legal system 0.78). The model reverses the cross-national ordering of 11 items, and the two most severe are whether gay men and lesbians should be free to live as they wish (−0.82) and whether same-sex couples should have the right to adopt (−0.73). Ranks beyond the top two are not reported. They exchange places between independent runs of the same condition, as the noise floor of 0.060 per item implies.</w:t>
      </w:r>
    </w:p>
    <w:p>
      <w:pPr>
        <w:pStyle w:val="Body"/>
      </w:pPr>
      <w:r>
        <w:t xml:space="preserve">Of the 11 inversions, 10 are reverse-coded items, and direction alone explains 66% of the variance in </w:t>
      </w:r>
      <w:r>
        <w:rPr>
          <w:i/>
        </w:rPr>
        <w:t>r</w:t>
      </w:r>
      <w:r>
        <w:rPr>
          <w:i/>
          <w:vertAlign w:val="subscript"/>
        </w:rPr>
        <w:t>bc</w:t>
      </w:r>
      <w:r>
        <w:t xml:space="preserve"> across the 42 items. Among forward-coded items, recovery also rises with the size of the true cross-national differences (</w:t>
      </w:r>
      <w:r>
        <w:rPr>
          <w:i/>
        </w:rPr>
        <w:t>r</w:t>
      </w:r>
      <w:r>
        <w:t xml:space="preserve"> = 0.46, p = 0.012 across the 29 items). One inversion is not explained by direction. Whether European unification should go further (−0.23) is forward-coded. It is a bipolar item whose numeric direction is a convention. In Figure 2(b) it is the one circle in the negative tail. Appendix Figure A2 puts a recovered item and an inverted one side by side.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F). A reader who wants to rank countries gets moderate performance. A reader who wants to use the number as an estimate of a country’s value gets almost nothing.</w:t>
      </w:r>
    </w:p>
    <w:p>
      <w:pPr>
        <w:pStyle w:val="Body"/>
      </w:pPr>
      <w:r>
        <w:t xml:space="preserve">Predictors that use no model at all recover the same country means better. One predicts each country’s item mean by the leave-one-out average of its regional neighbors. It gives a median </w:t>
      </w:r>
      <w:r>
        <w:rPr>
          <w:i/>
        </w:rPr>
        <w:t>r</w:t>
      </w:r>
      <w:r>
        <w:rPr>
          <w:i/>
          <w:vertAlign w:val="subscript"/>
        </w:rPr>
        <w:t>bc</w:t>
      </w:r>
      <w:r>
        <w:t xml:space="preserve"> of 0.55 against the model’s 0.44 and a median normalized error of 0.056 against 0.180, and it wins on level accuracy for 41 of 42 items. Adding log GDP per capita to region dummies raises the comparator to 0.62 and 0.052. Section 5.3 takes up what that means for a user.</w:t>
      </w:r>
    </w:p>
    <w:p>
      <w:pPr>
        <w:pStyle w:val="H2"/>
      </w:pPr>
      <w:r>
        <w:t xml:space="preserve">4.2 The country label carries the signal, the response format its direction</w:t>
      </w:r>
    </w:p>
    <w:p>
      <w:pPr>
        <w:pStyle w:val="Body"/>
      </w:pPr>
      <w:r>
        <w:t xml:space="preserve">Addressing RQ2, the swapped-label arm shows that the model reads the country name it is given. Scored against the respondents’ own country, the swapped arm reaches a forward-item median </w:t>
      </w:r>
      <w:r>
        <w:rPr>
          <w:i/>
        </w:rPr>
        <w:t>r</w:t>
      </w:r>
      <w:r>
        <w:rPr>
          <w:i/>
          <w:vertAlign w:val="subscript"/>
        </w:rPr>
        <w:t>bc</w:t>
      </w:r>
      <w:r>
        <w:t xml:space="preserve"> of 0.34, against 0.40 for the same profile with no country name at all, an arm whose harmonized categories still identify the country well above chance (Section 5.4). Per item the paired difference is −0.096, with a bootstrap interval over items of [−0.142, −0.003]. A wrong name costs the respondents’ own country more than no name does. A cue the model attends to should do that.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rest of the profile still carries country information of its own. The two scorings are not mechanically coupled: under the derangement the named and the true countries’ human means correlate at a median of −0.07. Figure 3 puts the conditions side by side.</w:t>
      </w:r>
    </w:p>
    <w:p>
      <w:pPr>
        <w:pStyle w:val="Fig"/>
      </w:pPr>
      <w:r>
        <w:drawing>
          <wp:inline distT="0" distB="0" distL="0" distR="0">
            <wp:extent cx="5279136" cy="2947416"/>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279136" cy="2947416"/>
                    </a:xfrm>
                    <a:prstGeom prst="rect">
                      <a:avLst/>
                    </a:prstGeom>
                  </pic:spPr>
                </pic:pic>
              </a:graphicData>
            </a:graphic>
          </wp:inline>
        </w:drawing>
      </w:r>
    </w:p>
    <w:p>
      <w:pPr>
        <w:pStyle w:val="FigTitle"/>
      </w:pPr>
      <w:r>
        <w:rPr>
          <w:b/>
        </w:rPr>
        <w:t xml:space="preserve">Figure 3. </w:t>
      </w:r>
      <w:r>
        <w:t xml:space="preserve">A wrong country name costs the country the respondents came from, Qwen 1P.</w:t>
      </w:r>
    </w:p>
    <w:p>
      <w:pPr>
        <w:pStyle w:val="FigNote"/>
      </w:pPr>
      <w:r>
        <w:rPr>
          <w:i/>
        </w:rPr>
        <w:t xml:space="preserve">Note. </w:t>
      </w:r>
      <w:r>
        <w:t xml:space="preserve">Median </w:t>
      </w:r>
      <w:r>
        <w:rPr>
          <w:i/>
        </w:rPr>
        <w:t>r</w:t>
      </w:r>
      <w:r>
        <w:rPr>
          <w:i/>
          <w:vertAlign w:val="subscript"/>
        </w:rPr>
        <w:t>bc</w:t>
      </w:r>
      <w:r>
        <w:t xml:space="preserve"> over items, with forward- and reverse-coded items shown separately. The dashed line is the same profile with no country name in the prompt. The comparison that carries the argument is the third row against that line. The second row against the third is small and its interval includes zero, so the arm is not evidence that recovery transfers to the country named.</w:t>
      </w:r>
    </w:p>
    <w:p>
      <w:pPr>
        <w:pStyle w:val="Body"/>
      </w:pPr>
      <w:r>
        <w:t xml:space="preserve">Removing the country sentence moves recovery more than removing anything else does. It is taken out of an otherwise identical rich profile, holding the same respondents and items. With the country present the paired item-level correlation is higher by a median 0.135 on forward-coded items, where 27 of 29 improve (p &lt; 0.001), and lower by 0.176 on reverse-coded items, where 1 of 13 improves. Of the three original removal contrasts, only the country label produces an effect that survives correction for multiplicity and exceeds the noise floor (Appendix H).</w:t>
      </w:r>
    </w:p>
    <w:p>
      <w:pPr>
        <w:pStyle w:val="Body"/>
      </w:pPr>
      <w:r>
        <w:t xml:space="preserve">No other block comes near the country label. Adding the country name to a backstory that already specifies gender, age, and birth year raises median </w:t>
      </w:r>
      <w:r>
        <w:rPr>
          <w:i/>
        </w:rPr>
        <w:t>r</w:t>
      </w:r>
      <w:r>
        <w:rPr>
          <w:i/>
          <w:vertAlign w:val="subscript"/>
        </w:rPr>
        <w:t>bc</w:t>
      </w:r>
      <w:r>
        <w:t xml:space="preserve"> from −0.03 to 0.52 (Fisher z +0.73 on forward items, −0.44 on reverse items), and nothing else approaches either of its margins. Figure 4 gives every block’s effect at both margins, and Appendix Figure A3 gives the country-label contrast item by item. Union membership and internet use is the only other block beyond the noise floor on both (+0.09 added, +0.08 removed, forward items). Added one variable at a time, that gain comes from internet use (+0.13 against union’s +0.06), itself a strong country gradient.</w:t>
      </w:r>
    </w:p>
    <w:p>
      <w:pPr>
        <w:pStyle w:val="Fig"/>
      </w:pPr>
      <w:r>
        <w:drawing>
          <wp:inline distT="0" distB="0" distL="0" distR="0">
            <wp:extent cx="5760720" cy="454358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760720" cy="4543586"/>
                    </a:xfrm>
                    <a:prstGeom prst="rect">
                      <a:avLst/>
                    </a:prstGeom>
                  </pic:spPr>
                </pic:pic>
              </a:graphicData>
            </a:graphic>
          </wp:inline>
        </w:drawing>
      </w:r>
    </w:p>
    <w:p>
      <w:pPr>
        <w:pStyle w:val="FigTitle"/>
      </w:pPr>
      <w:r>
        <w:rPr>
          <w:b/>
        </w:rPr>
        <w:t xml:space="preserve">Figure 4. </w:t>
      </w:r>
      <w:r>
        <w:t xml:space="preserve">Each backstory block’s effect on aggregate recovery at the two margins that bound it, Qwen 1P.</w:t>
      </w:r>
    </w:p>
    <w:p>
      <w:pPr>
        <w:pStyle w:val="FigNote"/>
      </w:pPr>
      <w:r>
        <w:rPr>
          <w:i/>
        </w:rPr>
        <w:t xml:space="preserve">Note. </w:t>
      </w:r>
      <w:r>
        <w:t xml:space="preserve">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base has no add margin, because every other block is added to it. Reverse-coded items are the 13 whose numeric scale runs against the direction of the question. They are drawn as separate bars because the effect reverses sign with wording, and one bar per block would average the forward gain against the reverse loss and read as no effect. The shaded band is run-to-run noise, and effects inside it are left unlabeled: they are smaller than the difference between two identical runs. The same contrast item by item is in Appendix Figure A3. Per-block values ship with the figure data.</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label needs no demographics at all. It recovers 0.52 without them,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country-label contrast replicates in the second model. Under Llama 1P the same removal moves forward items by +0.25 and reverse items by −0.20, with 25 of 29 forward items improving. Taken together the two margins and the swapped-label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the 2 × 2 experiment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cross-national signal, and the response format decides whether the countries come out in the right order or backwards. These are one interacting mechanism, not two parallel ones, and the inversions follow from the format and not from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FigTitle"/>
      </w:pPr>
      <w:r>
        <w:rPr>
          <w:b/>
        </w:rPr>
        <w:t xml:space="preserve">Figure 5. </w:t>
      </w:r>
      <w:r>
        <w:t xml:space="preserve">The country label by the response format, 22 items, Qwen 1P.</w:t>
      </w:r>
    </w:p>
    <w:p>
      <w:pPr>
        <w:pStyle w:val="FigNote"/>
      </w:pPr>
      <w:r>
        <w:rPr>
          <w:i/>
        </w:rPr>
        <w:t xml:space="preserve">Note. </w:t>
      </w:r>
      <w:r>
        <w:t xml:space="preserve">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even the largest implies less than 0.1% shared variance. First- and third-person framing do not differ in either model (Table A4). With 20,550 respondents per condition many of these correlations are statistically significant and substantively negligible. That weakness is not an absence of demographic signal in the human benchmark: the five-predictor ceiling is 0.210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FigTitle"/>
      </w:pPr>
      <w:r>
        <w:rPr>
          <w:b/>
        </w:rPr>
        <w:t xml:space="preserve">Figure 6. </w:t>
      </w:r>
      <w:r>
        <w:t xml:space="preserve">Individual-level recovery: by condition, and item by item.</w:t>
      </w:r>
    </w:p>
    <w:p>
      <w:pPr>
        <w:pStyle w:val="FigNote"/>
      </w:pPr>
      <w:r>
        <w:rPr>
          <w:i/>
        </w:rPr>
        <w:t xml:space="preserve">Note. </w:t>
      </w:r>
      <w:r>
        <w:t xml:space="preserve">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Individual recovery is weak in every country. It is computed for each of the 1,260 country-item cells. Under Qwen 1P, mean </w:t>
      </w:r>
      <w:r>
        <w:rPr>
          <w:i/>
        </w:rPr>
        <w:t>r</w:t>
      </w:r>
      <w:r>
        <w:rPr>
          <w:i/>
          <w:vertAlign w:val="subscript"/>
        </w:rPr>
        <w:t>wc</w:t>
      </w:r>
      <w:r>
        <w:t xml:space="preserve"> is 0.027, with a standard deviation of 0.079. Of these, 826 are positive and 453 reach p &lt; 0.05. Even Israel, the highest country mean at 0.077, has less than 1% of individual variance explained. In a replicate arm 95% of the within-country variance the model produces is generation noise. No country reaches a level that supports substantive individual inference.</w:t>
      </w:r>
    </w:p>
    <w:p>
      <w:pPr>
        <w:pStyle w:val="Body"/>
      </w:pPr>
      <w:r>
        <w:t xml:space="preserve">Recovery varies more by item than by country. Life satisfaction (0.146) and happiness (0.142) recover best, whereas feeling about household income (−0.148) and whether gay men and lesbians should be free to live as they wish (−0.085) are consistently negative. At this level 11 of the 42 items are negative, the same count as at the aggregate level and largely the same items (Appendix Figure A4, and Table A3 by domain). That is the pattern a direction failure operating at both levels would produce. What is asked therefore matters more than which country is simulated.</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Dispersion fails the pre-declared band in both directions. Under Qwen 1P the mean ratio of model to human standard deviations is 0.61, using the mean of the per-cell ratios. The median is 0.57 and the ratio of means 0.59, and all three fail the pre-declared 0.9–1.1 band. Llama 3P instead expands variance (1.41). Aggregate rank correspondence therefore does not imply distributional recovery.</w:t>
      </w:r>
    </w:p>
    <w:p>
      <w:pPr>
        <w:pStyle w:val="Body"/>
      </w:pPr>
      <w:r>
        <w:t xml:space="preserve">The two levels sit far apart. The pooled correlation lies between 0.64 and 0.83 across conditions while within-country recovery is near zero (Figures 2 and 6). Figure 6(b) draws the individual level on the axis of Figure 2(b), so the two series are directly comparable: the aggregate spans 1.64 correlation units against the individual 0.30, a ratio of 5.5. The aggregate-individual dissociation is established for single-country designs. What is new is that it survives across 30 countries and that scale anchoring moves both levels together.</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Using range-normalized error in place of </w:t>
      </w:r>
      <w:r>
        <w:rPr>
          <w:i/>
        </w:rPr>
        <w:t>r</w:t>
      </w:r>
      <w:r>
        <w:rPr>
          <w:i/>
          <w:vertAlign w:val="subscript"/>
        </w:rPr>
        <w:t>prof</w:t>
      </w:r>
      <w:r>
        <w:t xml:space="preserve"> gives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pairwise, so counting is better than correlating: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FigTitle"/>
      </w:pPr>
      <w:r>
        <w:rPr>
          <w:b/>
        </w:rPr>
        <w:t xml:space="preserve">Figure 7. </w:t>
      </w:r>
      <w:r>
        <w:t xml:space="preserve">Aggregate against individual country rankings, Qwen 1P.</w:t>
      </w:r>
    </w:p>
    <w:p>
      <w:pPr>
        <w:pStyle w:val="FigNote"/>
      </w:pPr>
      <w:r>
        <w:rPr>
          <w:i/>
        </w:rPr>
        <w:t xml:space="preserve">Note. </w:t>
      </w:r>
      <w:r>
        <w:t xml:space="preserve">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Only Switzerland and Israel are drawn in black, because the text works through that pair. Every other country is drawn alike.</w:t>
      </w:r>
    </w:p>
    <w:p>
      <w:pPr>
        <w:pStyle w:val="H2"/>
      </w:pPr>
      <w:r>
        <w:t xml:space="preserve">4.4 Robustness checks</w:t>
      </w:r>
    </w:p>
    <w:p>
      <w:pPr>
        <w:pStyle w:val="Body"/>
      </w:pPr>
      <w:r>
        <w:t xml:space="preserve">The 16 checks leave the conclusions where they stand, with one exception: parse coverage in the Llama third-person arm. They vary the human benchmark, the investigator codings, the estimator and the aggregator, the comparator’s specification, parse coverage, and the run and the round. Appendix Table A5 gives the quantity each one moves. Two of them set the terms on which the rest are read, and both are given here.</w:t>
      </w:r>
    </w:p>
    <w:p>
      <w:pPr>
        <w:pStyle w:val="Body"/>
      </w:pPr>
      <w:r>
        <w:t xml:space="preserve">The direction coding was fixed in advance and a second model reproduces it. It comes from the ESS codebook and was set before any result was seen, and its agreement with an independently trained model is </w:t>
      </w:r>
      <w:r>
        <w:rPr>
          <w:i/>
        </w:rPr>
        <w:t>r</w:t>
      </w:r>
      <w:r>
        <w:t xml:space="preserve"> = 0.84.</w:t>
      </w:r>
    </w:p>
    <w:p>
      <w:pPr>
        <w:pStyle w:val="Body"/>
      </w:pPr>
      <w:r>
        <w:t xml:space="preserve">Run-to-run stability sets the band an effect has to clear.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Of the eight items beyond the band, the two largest are items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three unrelated failures, and the scale experiment shows they are not. Naming the two scale endpoints in words removes the item inversions, reverses the sign of the country-label effect on reverse-coded items, and triples individual-level recovery, so one manipulation does all three. Two of the three main results therefore share a cause, and the cause lies in the measurement instrument. The country label result stands apart: the label, and not the profile around it, carries the aggregate signal.</w:t>
      </w:r>
    </w:p>
    <w:p>
      <w:pPr>
        <w:pStyle w:val="H2"/>
      </w:pPr>
      <w:r>
        <w:t xml:space="preserve">5.1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it is used as noise. Almost none of the variation the model produces within a country is respondent-specific, and nearly all of it is generation noise (Section 4.3). The label is also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and the model does neither. It compresses cross-national spread, it shifts every country’s mean in the same direction, and most of the agreement available at the observed ranking is lost to that displacement (Section 4.1 and Appendix F).</w:t>
      </w:r>
    </w:p>
    <w:p>
      <w:pPr>
        <w:pStyle w:val="Body"/>
      </w:pPr>
      <w:r>
        <w:t xml:space="preserve">Two other readings do not survive. Identifiability is not the mechanism, because recovery would track it if it were. Recovery instead varies widely among profiles that identify the country equally well, with the sparsest profile containing the country beating every richer one (Appendix I). Sensible cue use is not the mechanism either. Country may be the most informative single cue for these outcomes, so leaning on it could be cue use and not stereotype activation, and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A model can tell countries apart without representing any of them, as human national-character beliefs can (Terracciano et al., 2005). LLM population simulations show uneven correspondence across countries (Durmus et al., 2023; Qu &amp; Wang, 2024).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label result speaks to two literatures at once. Cultural-alignment research asks which national profiles models resemble (Durmus et al., 2023; Tao et al., 2024). Survey-simulation research asks whether conditioned outputs reproduce the target population (Bail, 2024; Bisbee et al., 2024). A country label delivers the first without the second.</w:t>
      </w:r>
    </w:p>
    <w:p>
      <w:pPr>
        <w:pStyle w:val="H2"/>
      </w:pPr>
      <w:r>
        <w:t xml:space="preserve">5.2 Item-level failure is a property of the instrument</w:t>
      </w:r>
    </w:p>
    <w:p>
      <w:pPr>
        <w:pStyle w:val="Body"/>
      </w:pPr>
      <w:r>
        <w:t xml:space="preserve">The inversions are an instrument effect: the anchoring experiment of Section 4.2 removes them while holding the model, the respondents, and the items fixed. Prompt format is therefore part of the measurement instrument, and the instrument here was minimal by design, giving the model a bare numeric range where an ESS respondent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and only the anchored arm separates the two.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rank countries the other way round under another one.</w:t>
      </w:r>
    </w:p>
    <w:p>
      <w:pPr>
        <w:pStyle w:val="Body"/>
      </w:pPr>
      <w:r>
        <w:t xml:space="preserve">Most of the variance in item-level recovery follows direction, and what is left has a pattern of its own. The items that recover are about the country, and the ones that invert (income, health, safety) are about the respondent. One reading, formed after the results, is that the model recovers what is publicly said about a country and not what its residents report about themselves. Institutional trust and subjective well-being have a large descriptive literature and track visible national conditions (Norris, 2011; Diener et al., 1995), while how safe a respondent feels walking home after dark has no comparable public ordering. The reading fits the prior of Section 5.1 and predicts which items a country cue can carry, and recovery is larger where the true cross-national differences are larger (Section 4.1).</w:t>
      </w:r>
    </w:p>
    <w:p>
      <w:pPr>
        <w:pStyle w:val="Body"/>
      </w:pPr>
      <w:r>
        <w:t xml:space="preserve">High pooled correlations mask negative item-level country correlations by combining well-recovered and inverted items. In these data, high pooled and profile correlations coexist with the reversed items, so a screening rule based on either would pass the battery unchanged. Item-level diagnostics are therefore necessary before pooled or profile metrics are used.</w:t>
      </w:r>
    </w:p>
    <w:p>
      <w:pPr>
        <w:pStyle w:val="H2"/>
      </w:pPr>
      <w:r>
        <w:t xml:space="preserve">5.3 Aggregate recovery supports rank comparison, not individual or distributional inference</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evidence for a different claim, not weak evidence for individual recovery. Recent evaluations point the same way, as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demographic prompting on its own does not close the gap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The pattern is about items, not about which countries are well represented.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Both comparators in Section 4.1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supports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three contributions are empirical, methodological, and practical. The empirical one is the evaluation itself: item rankings, individual recovery, and the label’s incremental contribution, measured for the first time on the same respondents, items, and prompts. What it finds is a group-level prior: the label carries the aggregate signal, no richer profile improves on it, and none of it reaches the individual level. The methodological one is to make those readings testable. Each block is observed at both of the margins that bound it, so no ordering of additions can be chosen after the fact. A swapped-label arm tests whether the cue is specific to the country named, and a 2 × 2 turns the item inversions from an interpretation into a result. Recovery is reported item by item against a measured run-to-run floor. A pooled correlation would have hidden the inverted items. The practical one is a standard of adequacy. Recovery is judged against model-free comparators a researcher who holds survey data already has, and on these items the regional average wins.</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 Third, the no-country arm still carries country information in the composition of harmonized categories, where a classifier recovers the country 28.7% of the time against a 3.3% baseline. Its 0.34 median recovery therefore bounds what composition achieves without a country name, and the arm is not a zero-information control. Fourth, the scale experiment uses Qwen 1P only, and no experiment here separates calibrated country knowledge from stereotype activation. Fifth, the Llama third-person arm lost 24% of scheduled responses to a format-compliance failure, which bounds what that arm can show (Appendix M).</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and this design has one replicate pair. Two quantities a user needs are still unmeasured here, multivariate structure and subgroup calibration. Each should be judged against the estimand it is meant to serve.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runs in fourteen sections, A to N, in the order the chapter calls on them. Its figures and tables are numbered straight through, A1 onward, so a label such as Table A2 gives the table’s own number and not the section it sits in.</w:t>
      </w:r>
    </w:p>
    <w:p>
      <w:pPr>
        <w:pStyle w:val="H2"/>
      </w:pPr>
      <w:r>
        <w:t xml:space="preserve">Appendix A. Survey items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FigTitle"/>
      </w:pPr>
      <w:r>
        <w:rPr>
          <w:b/>
        </w:rPr>
        <w:t xml:space="preserve">Table A1. </w:t>
      </w:r>
      <w:r>
        <w:t xml:space="preserve">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FigNote"/>
      </w:pPr>
      <w:r>
        <w:rPr>
          <w:i/>
        </w:rPr>
        <w:t xml:space="preserve">Note. </w:t>
      </w:r>
      <w:r>
        <w:t xml:space="preserve">Scale is the numeric range supplied to the model, with no verbal endpoints except in the three social trust questions. Domain is the grouping used in the domain-level analyses.</w:t>
      </w:r>
    </w:p>
    <w:p>
      <w:pPr>
        <w:pStyle w:val="H2"/>
      </w:pPr>
      <w:r>
        <w:t xml:space="preserve">Appendix B. Example prompt</w:t>
      </w:r>
    </w:p>
    <w:p>
      <w:pPr>
        <w:pStyle w:val="Body"/>
      </w:pPr>
      <w:r>
        <w:t xml:space="preserve">The abbreviated example illustrates the first-person framing. It is reproduced as the model received it, including the scale line, which states the numeric range and names no endpoint.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Body"/>
      </w:pPr>
      <w:r>
        <w:t xml:space="preserve">Scale: 0-10</w:t>
      </w:r>
    </w:p>
    <w:p>
      <w:pPr>
        <w:pStyle w:val="Body"/>
      </w:pPr>
      <w:r>
        <w:t xml:space="preserve">Respond with ONLY a single number within the scale range. No explanation.</w:t>
      </w:r>
    </w:p>
    <w:p>
      <w:pPr>
        <w:pStyle w:val="H2"/>
      </w:pPr>
      <w:r>
        <w:t xml:space="preserve">Appendix C. Backstory leakage</w:t>
      </w:r>
    </w:p>
    <w:p>
      <w:pPr>
        <w:pStyle w:val="Body"/>
      </w:pPr>
      <w:r>
        <w:t xml:space="preserve">Table A2 shows how removing leaked outcome information changes the seven affected items. Its final column distinguishes direct echoes from attenuated inverse mappings.</w:t>
      </w:r>
    </w:p>
    <w:p>
      <w:pPr>
        <w:pStyle w:val="FigTitle"/>
      </w:pPr>
      <w:r>
        <w:rPr>
          <w:b/>
        </w:rPr>
        <w:t xml:space="preserve">Table A2. </w:t>
      </w:r>
      <w:r>
        <w:t xml:space="preserve">Backstory leakage for the seven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FigNote"/>
      </w:pPr>
      <w:r>
        <w:rPr>
          <w:i/>
        </w:rPr>
        <w:t xml:space="preserve">Note. </w:t>
      </w:r>
      <w:r>
        <w:t xml:space="preserve">“Echo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2"/>
      </w:pPr>
      <w:r>
        <w:t xml:space="preserve">Appendix D. 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H2"/>
      </w:pPr>
      <w:r>
        <w:t xml:space="preserve">Appendix E. Per-item aggregate recovery</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FigTitle"/>
      </w:pPr>
      <w:r>
        <w:rPr>
          <w:b/>
        </w:rPr>
        <w:t xml:space="preserve">Figure A1. </w:t>
      </w:r>
      <w:r>
        <w:t xml:space="preserve">Per-item country-level recovery: </w:t>
      </w:r>
      <w:r>
        <w:rPr>
          <w:i/>
        </w:rPr>
        <w:t>r</w:t>
      </w:r>
      <w:r>
        <w:rPr>
          <w:i/>
          <w:vertAlign w:val="subscript"/>
        </w:rPr>
        <w:t>bc</w:t>
      </w:r>
      <w:r>
        <w:t xml:space="preserve"> for all 42 ESS items under Qwen 1P, ranked from most positive to most negative.</w:t>
      </w:r>
    </w:p>
    <w:p>
      <w:pPr>
        <w:pStyle w:val="FigNote"/>
      </w:pPr>
      <w:r>
        <w:rPr>
          <w:i/>
        </w:rPr>
        <w:t xml:space="preserve">Note. </w:t>
      </w:r>
      <w:r>
        <w:t xml:space="preserve">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Figure A2 is the one place a reader sees both directly, and the compression it shows is what the concordance coefficient below puts a number on.</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FigTitle"/>
      </w:pPr>
      <w:r>
        <w:rPr>
          <w:b/>
        </w:rPr>
        <w:t xml:space="preserve">Figure A2. </w:t>
      </w:r>
      <w:r>
        <w:t xml:space="preserve">Country-level scatter for two contrasting items, Qwen 1P.</w:t>
      </w:r>
    </w:p>
    <w:p>
      <w:pPr>
        <w:pStyle w:val="FigNote"/>
      </w:pPr>
      <w:r>
        <w:rPr>
          <w:i/>
        </w:rPr>
        <w:t xml:space="preserve">Note. </w:t>
      </w:r>
      <w:r>
        <w:t xml:space="preserve">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2"/>
      </w:pPr>
      <w:r>
        <w:t xml:space="preserve">Appendix F. 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w:t>
      </w:r>
      <w:r>
        <w:rPr>
          <w:i/>
        </w:rPr>
        <w:t>r</w:t>
      </w:r>
      <w:r>
        <w:rPr>
          <w:i/>
          <w:vertAlign w:val="subscript"/>
        </w:rPr>
        <w:t>bc</w:t>
      </w:r>
      <w:r>
        <w:t xml:space="preserve">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rPr>
          <w:i/>
          <w:vertAlign w:val="subscript"/>
        </w:rPr>
        <w:t>bc</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Of the 42 items, 11 have negative concordance, which is worse than no agreement at all.</w:t>
      </w:r>
    </w:p>
    <w:p>
      <w:pPr>
        <w:pStyle w:val="H2"/>
      </w:pPr>
      <w:r>
        <w:t xml:space="preserve">Appendix G. The country-label contrast</w:t>
      </w:r>
    </w:p>
    <w:p>
      <w:pPr>
        <w:pStyle w:val="Body"/>
      </w:pPr>
      <w:r>
        <w:t xml:space="preserve">Figure A3 reports the country-label contrast item by item, the per-item form of the block effect in Figure 4.</w:t>
      </w:r>
    </w:p>
    <w:p>
      <w:pPr>
        <w:pStyle w:val="Fig"/>
      </w:pPr>
      <w:r>
        <w:drawing>
          <wp:inline distT="0" distB="0" distL="0" distR="0">
            <wp:extent cx="5628146" cy="676656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628146" cy="6766560"/>
                    </a:xfrm>
                    <a:prstGeom prst="rect">
                      <a:avLst/>
                    </a:prstGeom>
                  </pic:spPr>
                </pic:pic>
              </a:graphicData>
            </a:graphic>
          </wp:inline>
        </w:drawing>
      </w:r>
    </w:p>
    <w:p>
      <w:pPr>
        <w:pStyle w:val="FigTitle"/>
      </w:pPr>
      <w:r>
        <w:rPr>
          <w:b/>
        </w:rPr>
        <w:t xml:space="preserve">Figure A3. </w:t>
      </w:r>
      <w:r>
        <w:t xml:space="preserve">The country-label contrast, item by item, Qwen 1P.</w:t>
      </w:r>
    </w:p>
    <w:p>
      <w:pPr>
        <w:pStyle w:val="FigNote"/>
      </w:pPr>
      <w:r>
        <w:rPr>
          <w:i/>
        </w:rPr>
        <w:t xml:space="preserve">Note. </w:t>
      </w:r>
      <w:r>
        <w:t xml:space="preserve">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H2"/>
      </w:pPr>
      <w:r>
        <w:t xml:space="preserve">Appendix H. Block ablations</w:t>
      </w:r>
    </w:p>
    <w:p>
      <w:pPr>
        <w:pStyle w:val="Body"/>
      </w:pPr>
      <w:r>
        <w:t xml:space="preserve">Every block of the 20-variable partition is observed at two margins, added alone to the sparse base plus the label and removed alone from the full profile, on the same respondents throughout,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point the same way but fall inside the noise floor, so they are reported as negligible. Across the remaining blocks the largest forward margin in either direction is +0.09, the union and internet block, and the single-variable arms attribute it to internet use. Per-block and per-item margins ship with the Figure 4 data.</w:t>
      </w:r>
    </w:p>
    <w:p>
      <w:pPr>
        <w:pStyle w:val="H2"/>
      </w:pPr>
      <w:r>
        <w:t xml:space="preserve">Appendix I. Country identifiability</w:t>
      </w:r>
    </w:p>
    <w:p>
      <w:pPr>
        <w:pStyle w:val="Body"/>
      </w:pPr>
      <w:r>
        <w:t xml:space="preserve">A multinomial classifier was trained to recover the country from the rendered backstory text of each of the 10 variants, with a majority-class baseline of 3.33%. Eight of them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2"/>
      </w:pPr>
      <w:r>
        <w:t xml:space="preserve">Appendix J. 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0.210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w:t>
      </w:r>
    </w:p>
    <w:p>
      <w:pPr>
        <w:pStyle w:val="Body"/>
      </w:pPr>
      <w:r>
        <w:t xml:space="preserve">Table A3 breaks individual-level recovery down by domain. Political efficacy, institutional trust, and subjective well-being recover best, while income, health, and safety are negative. The largest domain mean in any condition is 0.125, against the demographic ceiling of 0.210 in Section 3.5, so no domain reaches even two thirds of what a demographic profile could deliver.</w:t>
      </w:r>
    </w:p>
    <w:p>
      <w:pPr>
        <w:pStyle w:val="FigTitle"/>
      </w:pPr>
      <w:r>
        <w:rPr>
          <w:b/>
        </w:rPr>
        <w:t xml:space="preserve">Table A3. </w:t>
      </w:r>
      <w:r>
        <w:t xml:space="preserve">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FigNote"/>
      </w:pPr>
      <w:r>
        <w:rPr>
          <w:i/>
        </w:rPr>
        <w:t xml:space="preserve">Note. </w:t>
      </w:r>
      <w:r>
        <w:t xml:space="preserve">Each cell is the mean within-country correlation over the items in that domain. The demographic ceiling for comparison is 0.210 (Section 3.5).</w:t>
      </w:r>
    </w:p>
    <w:p>
      <w:pPr>
        <w:pStyle w:val="Body"/>
      </w:pPr>
      <w:r>
        <w:t xml:space="preserve">Of the 42 items, 11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A4).</w:t>
      </w:r>
    </w:p>
    <w:p>
      <w:pPr>
        <w:pStyle w:val="Body"/>
      </w:pPr>
      <w:r>
        <w:t xml:space="preserve">Figure A4 reports the full per-item individual-level recovery, the individual-level counterpart of Figure A1.</w:t>
      </w:r>
    </w:p>
    <w:p>
      <w:pPr>
        <w:pStyle w:val="Fig"/>
      </w:pPr>
      <w:r>
        <w:drawing>
          <wp:inline distT="0" distB="0" distL="0" distR="0">
            <wp:extent cx="5760720" cy="616841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760720" cy="6168410"/>
                    </a:xfrm>
                    <a:prstGeom prst="rect">
                      <a:avLst/>
                    </a:prstGeom>
                  </pic:spPr>
                </pic:pic>
              </a:graphicData>
            </a:graphic>
          </wp:inline>
        </w:drawing>
      </w:r>
    </w:p>
    <w:p>
      <w:pPr>
        <w:pStyle w:val="FigTitle"/>
      </w:pPr>
      <w:r>
        <w:rPr>
          <w:b/>
        </w:rPr>
        <w:t xml:space="preserve">Figure A4. </w:t>
      </w:r>
      <w:r>
        <w:t xml:space="preserve">Per-item individual-level recovery: mean within-country </w:t>
      </w:r>
      <w:r>
        <w:rPr>
          <w:i/>
        </w:rPr>
        <w:t>r</w:t>
      </w:r>
      <w:r>
        <w:rPr>
          <w:i/>
          <w:vertAlign w:val="subscript"/>
        </w:rPr>
        <w:t>wc</w:t>
      </w:r>
      <w:r>
        <w:t xml:space="preserve"> for all 42 ESS items under Qwen 1P, ranked from most positive to most negative.</w:t>
      </w:r>
    </w:p>
    <w:p>
      <w:pPr>
        <w:pStyle w:val="FigNote"/>
      </w:pPr>
      <w:r>
        <w:rPr>
          <w:i/>
        </w:rPr>
        <w:t xml:space="preserve">Note. </w:t>
      </w:r>
      <w:r>
        <w:t xml:space="preserve">The individual-level counterpart of Figure A1, ranked on its own values. Figure 6(b) shows the same quantity in the aggregate item order.</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w:t>
      </w:r>
    </w:p>
    <w:p>
      <w:pPr>
        <w:pStyle w:val="FigTitle"/>
      </w:pPr>
      <w:r>
        <w:rPr>
          <w:b/>
        </w:rPr>
        <w:t xml:space="preserve">Table A4. </w:t>
      </w:r>
      <w:r>
        <w:t xml:space="preserve">Paired t-tests for model and prompt comparisons on the per-item mean </w:t>
      </w:r>
      <w:r>
        <w:rPr>
          <w:i/>
        </w:rPr>
        <w:t>r</w:t>
      </w:r>
      <w:r>
        <w:rPr>
          <w:i/>
          <w:vertAlign w:val="subscript"/>
        </w:rPr>
        <w:t>wc</w:t>
      </w:r>
      <w:r>
        <w:t xml:space="preserve">, N = 42 items.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FigNote"/>
      </w:pPr>
      <w:r>
        <w:rPr>
          <w:i/>
        </w:rPr>
        <w:t xml:space="preserve">Note. </w:t>
      </w:r>
      <w:r>
        <w:t xml:space="preserve">After Bonferroni correction for four tests (α = 0.0125), the first-person Qwen-Llama contrast reaches the adjusted threshold. The other three do not. Reported p values are unadjusted.</w:t>
      </w:r>
    </w:p>
    <w:p>
      <w:pPr>
        <w:pStyle w:val="H2"/>
      </w:pPr>
      <w:r>
        <w:t xml:space="preserve">Appendix K. Aggregate robustness checks</w:t>
      </w:r>
    </w:p>
    <w:p>
      <w:pPr>
        <w:pStyle w:val="Body"/>
      </w:pPr>
      <w:r>
        <w:t xml:space="preserve">Table A5 lists all 16 checks with the quantity each moves. One changes a conclusion, and Section 4.4 states it. Three others turn on the choice of estimator. The within-country dispersion ratio has three defensible aggregators (mean of ratios 0.61, median 0.57, ratio of means 0.59) and all three fail the pre-declared 0.9–1.1 band, so the choice is named wherever the quantity appears and no conclusion rests on it. Design weighting correlates the weighted and unweighted per-item coefficients at 0.999 while moving a single item by up to 0.103, so the item-level maximum is reported. The direction classification was frozen from the ESS codebook before any result was seen, and the direction R² rises from 0.658 to 0.746 when the three pre-declared unstable items are dropped, so the objection strengthens the result.</w:t>
      </w:r>
    </w:p>
    <w:p>
      <w:pPr>
        <w:pStyle w:val="FigTitle"/>
      </w:pPr>
      <w:r>
        <w:rPr>
          <w:b/>
        </w:rPr>
        <w:t xml:space="preserve">Table A5. </w:t>
      </w:r>
      <w:r>
        <w:t xml:space="preserve">The 16 robustness checks: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51"/>
        <w:gridCol w:w="1534"/>
        <w:gridCol w:w="3632"/>
        <w:gridCol w:w="2555"/>
      </w:tblGrid>
      <w:tr>
        <w:tc>
          <w:tcPr>
            <w:tcW w:w="1351" w:type="dxa"/>
            <w:tcBorders>
              <w:bottom w:val="single" w:sz="8" w:space="0" w:color="000000"/>
            </w:tcBorders>
          </w:tcPr>
          <w:p>
            <w:pPr>
              <w:pStyle w:val="Cell"/>
            </w:pPr>
            <w:r>
              <w:rPr>
                <w:b/>
              </w:rPr>
              <w:t xml:space="preserve">Check</w:t>
            </w:r>
          </w:p>
        </w:tc>
        <w:tc>
          <w:tcPr>
            <w:tcW w:w="1534" w:type="dxa"/>
            <w:tcBorders>
              <w:bottom w:val="single" w:sz="8" w:space="0" w:color="000000"/>
            </w:tcBorders>
          </w:tcPr>
          <w:p>
            <w:pPr>
              <w:pStyle w:val="Cell"/>
            </w:pPr>
            <w:r>
              <w:rPr>
                <w:b/>
              </w:rPr>
              <w:t xml:space="preserve">What it varies</w:t>
            </w:r>
          </w:p>
        </w:tc>
        <w:tc>
          <w:tcPr>
            <w:tcW w:w="3632" w:type="dxa"/>
            <w:tcBorders>
              <w:bottom w:val="single" w:sz="8" w:space="0" w:color="000000"/>
            </w:tcBorders>
          </w:tcPr>
          <w:p>
            <w:pPr>
              <w:pStyle w:val="Cell"/>
            </w:pPr>
            <w:r>
              <w:rPr>
                <w:b/>
              </w:rPr>
              <w:t xml:space="preserve">Result</w:t>
            </w:r>
          </w:p>
        </w:tc>
        <w:tc>
          <w:tcPr>
            <w:tcW w:w="2555" w:type="dxa"/>
            <w:tcBorders>
              <w:bottom w:val="single" w:sz="8" w:space="0" w:color="000000"/>
            </w:tcBorders>
          </w:tcPr>
          <w:p>
            <w:pPr>
              <w:pStyle w:val="Cell"/>
            </w:pPr>
            <w:r>
              <w:rPr>
                <w:b/>
              </w:rPr>
              <w:t xml:space="preserve">Any conclusion change?</w:t>
            </w:r>
          </w:p>
        </w:tc>
      </w:tr>
      <w:tr>
        <w:tc>
          <w:tcPr>
            <w:tcW w:w="1351" w:type="dxa"/>
          </w:tcPr>
          <w:p>
            <w:pPr>
              <w:pStyle w:val="Cell"/>
            </w:pPr>
            <w:r>
              <w:t xml:space="preserve">Design weighting of the human benchmark</w:t>
            </w:r>
          </w:p>
        </w:tc>
        <w:tc>
          <w:tcPr>
            <w:tcW w:w="1534" w:type="dxa"/>
          </w:tcPr>
          <w:p>
            <w:pPr>
              <w:pStyle w:val="Cell"/>
            </w:pPr>
            <w:r>
              <w:t xml:space="preserve">Human country means computed unweighted instead of with pspwght</w:t>
            </w:r>
          </w:p>
        </w:tc>
        <w:tc>
          <w:tcPr>
            <w:tcW w:w="3632" w:type="dxa"/>
          </w:tcPr>
          <w:p>
            <w:pPr>
              <w:pStyle w:val="Cell"/>
            </w:pPr>
            <w:r>
              <w:t xml:space="preserve">The two coefficient vectors correlate at 0.9987; the largest item-level change is 0.103 (health)</w:t>
            </w:r>
          </w:p>
        </w:tc>
        <w:tc>
          <w:tcPr>
            <w:tcW w:w="2555" w:type="dxa"/>
          </w:tcPr>
          <w:p>
            <w:pPr>
              <w:pStyle w:val="Cell"/>
            </w:pPr>
            <w:r>
              <w:t xml:space="preserve">No. The median and the direction decomposition are unaffected.</w:t>
            </w:r>
          </w:p>
        </w:tc>
      </w:tr>
      <w:tr>
        <w:tc>
          <w:tcPr>
            <w:tcW w:w="1351" w:type="dxa"/>
          </w:tcPr>
          <w:p>
            <w:pPr>
              <w:pStyle w:val="Cell"/>
            </w:pPr>
            <w:r>
              <w:t xml:space="preserve">Direction classification of the 42 items</w:t>
            </w:r>
          </w:p>
        </w:tc>
        <w:tc>
          <w:tcPr>
            <w:tcW w:w="1534" w:type="dxa"/>
          </w:tcPr>
          <w:p>
            <w:pPr>
              <w:pStyle w:val="Cell"/>
            </w:pPr>
            <w:r>
              <w:t xml:space="preserve">The frozen classification against the four disputed codings</w:t>
            </w:r>
          </w:p>
        </w:tc>
        <w:tc>
          <w:tcPr>
            <w:tcW w:w="3632" w:type="dxa"/>
          </w:tcPr>
          <w:p>
            <w:pPr>
              <w:pStyle w:val="Cell"/>
            </w:pPr>
            <w:r>
              <w:t xml:space="preserve">R² = 0.6576 on all 42 items, 0.6531 excluding vote, 0.7455 further excluding the two screened items</w:t>
            </w:r>
          </w:p>
        </w:tc>
        <w:tc>
          <w:tcPr>
            <w:tcW w:w="2555" w:type="dxa"/>
          </w:tcPr>
          <w:p>
            <w:pPr>
              <w:pStyle w:val="Cell"/>
            </w:pPr>
            <w:r>
              <w:t xml:space="preserve">No. The effect strengthens as the least interpretable items are removed.</w:t>
            </w:r>
          </w:p>
        </w:tc>
      </w:tr>
      <w:tr>
        <w:tc>
          <w:tcPr>
            <w:tcW w:w="1351" w:type="dxa"/>
          </w:tcPr>
          <w:p>
            <w:pPr>
              <w:pStyle w:val="Cell"/>
            </w:pPr>
            <w:r>
              <w:t xml:space="preserve">Items whose silicon dispersion is near zero</w:t>
            </w:r>
          </w:p>
        </w:tc>
        <w:tc>
          <w:tcPr>
            <w:tcW w:w="1534" w:type="dxa"/>
          </w:tcPr>
          <w:p>
            <w:pPr>
              <w:pStyle w:val="Cell"/>
            </w:pPr>
            <w:r>
              <w:t xml:space="preserve">A reliability screen on the silicon side</w:t>
            </w:r>
          </w:p>
        </w:tc>
        <w:tc>
          <w:tcPr>
            <w:tcW w:w="3632" w:type="dxa"/>
          </w:tcPr>
          <w:p>
            <w:pPr>
              <w:pStyle w:val="Cell"/>
            </w:pPr>
            <w:r>
              <w:t xml:space="preserve">Two items fall below it: hmsfmlsh (reliability 0.25) and rlgatnd (0.44); inprdsc (0.615) is retained</w:t>
            </w:r>
          </w:p>
        </w:tc>
        <w:tc>
          <w:tcPr>
            <w:tcW w:w="2555" w:type="dxa"/>
          </w:tcPr>
          <w:p>
            <w:pPr>
              <w:pStyle w:val="Cell"/>
            </w:pPr>
            <w:r>
              <w:t xml:space="preserve">No. Both are pre-declared uninterpretable and the primary anchored specification excludes them.</w:t>
            </w:r>
          </w:p>
        </w:tc>
      </w:tr>
      <w:tr>
        <w:tc>
          <w:tcPr>
            <w:tcW w:w="1351" w:type="dxa"/>
          </w:tcPr>
          <w:p>
            <w:pPr>
              <w:pStyle w:val="Cell"/>
            </w:pPr>
            <w:r>
              <w:t xml:space="preserve">Item set for the anchoring experiment</w:t>
            </w:r>
          </w:p>
        </w:tc>
        <w:tc>
          <w:tcPr>
            <w:tcW w:w="1534" w:type="dxa"/>
          </w:tcPr>
          <w:p>
            <w:pPr>
              <w:pStyle w:val="Cell"/>
            </w:pPr>
            <w:r>
              <w:t xml:space="preserve">Three pre-specified reverse-item sets</w:t>
            </w:r>
          </w:p>
        </w:tc>
        <w:tc>
          <w:tcPr>
            <w:tcW w:w="3632" w:type="dxa"/>
          </w:tcPr>
          <w:p>
            <w:pPr>
              <w:pStyle w:val="Cell"/>
            </w:pPr>
            <w:r>
              <w:t xml:space="preserve">All 12 in batch: +0.4912 [+0.1515, +0.8809], 11 of 12 up; primary 10: +0.4230 [+0.1259, +0.7928], 10 of 10 up; strictest 8: +0.1636 [+0.0507, +0.2671], 8 of 8 up</w:t>
            </w:r>
          </w:p>
        </w:tc>
        <w:tc>
          <w:tcPr>
            <w:tcW w:w="2555" w:type="dxa"/>
          </w:tcPr>
          <w:p>
            <w:pPr>
              <w:pStyle w:val="Cell"/>
            </w:pPr>
            <w:r>
              <w:t xml:space="preserve">No for the sign and the interval. Yes for the gap verdict: eliminated on the primary set, narrowed with a residual on the strictest.</w:t>
            </w:r>
          </w:p>
        </w:tc>
      </w:tr>
      <w:tr>
        <w:tc>
          <w:tcPr>
            <w:tcW w:w="1351" w:type="dxa"/>
          </w:tcPr>
          <w:p>
            <w:pPr>
              <w:pStyle w:val="Cell"/>
            </w:pPr>
            <w:r>
              <w:t xml:space="preserve">Choice of forward control items</w:t>
            </w:r>
          </w:p>
        </w:tc>
        <w:tc>
          <w:tcPr>
            <w:tcW w:w="1534" w:type="dxa"/>
          </w:tcPr>
          <w:p>
            <w:pPr>
              <w:pStyle w:val="Cell"/>
            </w:pPr>
            <w:r>
              <w:t xml:space="preserve">10 leave-one-out control sets</w:t>
            </w:r>
          </w:p>
        </w:tc>
        <w:tc>
          <w:tcPr>
            <w:tcW w:w="3632" w:type="dxa"/>
          </w:tcPr>
          <w:p>
            <w:pPr>
              <w:pStyle w:val="Cell"/>
            </w:pPr>
            <w:r>
              <w:t xml:space="preserve">The triple difference stays in [0.403, 0.455] against the primary 0.423; the largest shift is 0.032</w:t>
            </w:r>
          </w:p>
        </w:tc>
        <w:tc>
          <w:tcPr>
            <w:tcW w:w="2555" w:type="dxa"/>
          </w:tcPr>
          <w:p>
            <w:pPr>
              <w:pStyle w:val="Cell"/>
            </w:pPr>
            <w:r>
              <w:t xml:space="preserve">No.</w:t>
            </w:r>
          </w:p>
        </w:tc>
      </w:tr>
      <w:tr>
        <w:tc>
          <w:tcPr>
            <w:tcW w:w="1351" w:type="dxa"/>
          </w:tcPr>
          <w:p>
            <w:pPr>
              <w:pStyle w:val="Cell"/>
            </w:pPr>
            <w:r>
              <w:t xml:space="preserve">Run-to-run stability of the generation</w:t>
            </w:r>
          </w:p>
        </w:tc>
        <w:tc>
          <w:tcPr>
            <w:tcW w:w="1534" w:type="dxa"/>
          </w:tcPr>
          <w:p>
            <w:pPr>
              <w:pStyle w:val="Cell"/>
            </w:pPr>
            <w:r>
              <w:t xml:space="preserve">Two identical unseeded runs</w:t>
            </w:r>
          </w:p>
        </w:tc>
        <w:tc>
          <w:tcPr>
            <w:tcW w:w="3632" w:type="dxa"/>
          </w:tcPr>
          <w:p>
            <w:pPr>
              <w:pStyle w:val="Cell"/>
            </w:pPr>
            <w:r>
              <w:t xml:space="preserve">Median absolute rbc difference 0.0602 per item, maximum 0.1854, no sign reversals</w:t>
            </w:r>
          </w:p>
        </w:tc>
        <w:tc>
          <w:tcPr>
            <w:tcW w:w="2555" w:type="dxa"/>
          </w:tcPr>
          <w:p>
            <w:pPr>
              <w:pStyle w:val="Cell"/>
            </w:pPr>
            <w:r>
              <w:t xml:space="preserve">No, and it closes a stated limitation: every contrast is read against the 0.060 band.</w:t>
            </w:r>
          </w:p>
        </w:tc>
      </w:tr>
      <w:tr>
        <w:tc>
          <w:tcPr>
            <w:tcW w:w="1351" w:type="dxa"/>
          </w:tcPr>
          <w:p>
            <w:pPr>
              <w:pStyle w:val="Cell"/>
            </w:pPr>
            <w:r>
              <w:t xml:space="preserve">Deflator for the macro-covariate comparator</w:t>
            </w:r>
          </w:p>
        </w:tc>
        <w:tc>
          <w:tcPr>
            <w:tcW w:w="1534" w:type="dxa"/>
          </w:tcPr>
          <w:p>
            <w:pPr>
              <w:pStyle w:val="Cell"/>
            </w:pPr>
            <w:r>
              <w:t xml:space="preserve">Market dollars against purchasing parity</w:t>
            </w:r>
          </w:p>
        </w:tc>
        <w:tc>
          <w:tcPr>
            <w:tcW w:w="3632" w:type="dxa"/>
          </w:tcPr>
          <w:p>
            <w:pPr>
              <w:pStyle w:val="Cell"/>
            </w:pPr>
            <w:r>
              <w:t xml:space="preserve">Median r 0.6177 under dollars, 0.6317 under parity; normalized error 0.0522 and 0.0527</w:t>
            </w:r>
          </w:p>
        </w:tc>
        <w:tc>
          <w:tcPr>
            <w:tcW w:w="2555" w:type="dxa"/>
          </w:tcPr>
          <w:p>
            <w:pPr>
              <w:pStyle w:val="Cell"/>
            </w:pPr>
            <w:r>
              <w:t xml:space="preserve">No for the comparison with the model. Yes for one claim, therefore not made: the covariate-alone ranking is deflator-dependent.</w:t>
            </w:r>
          </w:p>
        </w:tc>
      </w:tr>
      <w:tr>
        <w:tc>
          <w:tcPr>
            <w:tcW w:w="1351" w:type="dxa"/>
          </w:tcPr>
          <w:p>
            <w:pPr>
              <w:pStyle w:val="Cell"/>
            </w:pPr>
            <w:r>
              <w:t xml:space="preserve">Israel as a bloc of one in the comparator</w:t>
            </w:r>
          </w:p>
        </w:tc>
        <w:tc>
          <w:tcPr>
            <w:tcW w:w="1534" w:type="dxa"/>
          </w:tcPr>
          <w:p>
            <w:pPr>
              <w:pStyle w:val="Cell"/>
            </w:pPr>
            <w:r>
              <w:t xml:space="preserve">Israel handled as its own regional bloc</w:t>
            </w:r>
          </w:p>
        </w:tc>
        <w:tc>
          <w:tcPr>
            <w:tcW w:w="3632" w:type="dxa"/>
          </w:tcPr>
          <w:p>
            <w:pPr>
              <w:pStyle w:val="Cell"/>
            </w:pPr>
            <w:r>
              <w:t xml:space="preserve">The comparator’s median r moves from 0.6177 to 0.6741; the gap to the model from 0.174 to 0.177</w:t>
            </w:r>
          </w:p>
        </w:tc>
        <w:tc>
          <w:tcPr>
            <w:tcW w:w="2555" w:type="dxa"/>
          </w:tcPr>
          <w:p>
            <w:pPr>
              <w:pStyle w:val="Cell"/>
            </w:pPr>
            <w:r>
              <w:t xml:space="preserve">No.</w:t>
            </w:r>
          </w:p>
        </w:tc>
      </w:tr>
      <w:tr>
        <w:tc>
          <w:tcPr>
            <w:tcW w:w="1351" w:type="dxa"/>
          </w:tcPr>
          <w:p>
            <w:pPr>
              <w:pStyle w:val="Cell"/>
            </w:pPr>
            <w:r>
              <w:t xml:space="preserve">Influential countries in the comparator</w:t>
            </w:r>
          </w:p>
        </w:tc>
        <w:tc>
          <w:tcPr>
            <w:tcW w:w="1534" w:type="dxa"/>
          </w:tcPr>
          <w:p>
            <w:pPr>
              <w:pStyle w:val="Cell"/>
            </w:pPr>
            <w:r>
              <w:t xml:space="preserve">Leave-one-out over the 30 countries</w:t>
            </w:r>
          </w:p>
        </w:tc>
        <w:tc>
          <w:tcPr>
            <w:tcW w:w="3632" w:type="dxa"/>
          </w:tcPr>
          <w:p>
            <w:pPr>
              <w:pStyle w:val="Cell"/>
            </w:pPr>
            <w:r>
              <w:t xml:space="preserve">Excluding Ireland moves the reported value by 0.001; the high-leverage country is Ukraine (mean hat 0.495)</w:t>
            </w:r>
          </w:p>
        </w:tc>
        <w:tc>
          <w:tcPr>
            <w:tcW w:w="2555" w:type="dxa"/>
          </w:tcPr>
          <w:p>
            <w:pPr>
              <w:pStyle w:val="Cell"/>
            </w:pPr>
            <w:r>
              <w:t xml:space="preserve">No.</w:t>
            </w:r>
          </w:p>
        </w:tc>
      </w:tr>
      <w:tr>
        <w:tc>
          <w:tcPr>
            <w:tcW w:w="1351" w:type="dxa"/>
          </w:tcPr>
          <w:p>
            <w:pPr>
              <w:pStyle w:val="Cell"/>
            </w:pPr>
            <w:r>
              <w:t xml:space="preserve">Coverage in the Llama third-person arm</w:t>
            </w:r>
          </w:p>
        </w:tc>
        <w:tc>
          <w:tcPr>
            <w:tcW w:w="1534" w:type="dxa"/>
          </w:tcPr>
          <w:p>
            <w:pPr>
              <w:pStyle w:val="Cell"/>
            </w:pPr>
            <w:r>
              <w:t xml:space="preserve">Restricting to items above 80% coverage</w:t>
            </w:r>
          </w:p>
        </w:tc>
        <w:tc>
          <w:tcPr>
            <w:tcW w:w="3632" w:type="dxa"/>
          </w:tcPr>
          <w:p>
            <w:pPr>
              <w:pStyle w:val="Cell"/>
            </w:pPr>
            <w:r>
              <w:t xml:space="preserve">Median rbc falls from +0.1729 on all 42 items to −0.0009 on the 19 items above the threshold</w:t>
            </w:r>
          </w:p>
        </w:tc>
        <w:tc>
          <w:tcPr>
            <w:tcW w:w="2555" w:type="dxa"/>
          </w:tcPr>
          <w:p>
            <w:pPr>
              <w:pStyle w:val="Cell"/>
            </w:pPr>
            <w:r>
              <w:t xml:space="preserve">Yes. The arm cannot identify a framing effect; the framing null rests on Qwen alone.</w:t>
            </w:r>
          </w:p>
        </w:tc>
      </w:tr>
      <w:tr>
        <w:tc>
          <w:tcPr>
            <w:tcW w:w="1351" w:type="dxa"/>
          </w:tcPr>
          <w:p>
            <w:pPr>
              <w:pStyle w:val="Cell"/>
            </w:pPr>
            <w:r>
              <w:t xml:space="preserve">Aggregator for the dispersion ratios</w:t>
            </w:r>
          </w:p>
        </w:tc>
        <w:tc>
          <w:tcPr>
            <w:tcW w:w="1534" w:type="dxa"/>
          </w:tcPr>
          <w:p>
            <w:pPr>
              <w:pStyle w:val="Cell"/>
            </w:pPr>
            <w:r>
              <w:t xml:space="preserve">Mean of ratios, median, and ratio of means</w:t>
            </w:r>
          </w:p>
        </w:tc>
        <w:tc>
          <w:tcPr>
            <w:tcW w:w="3632" w:type="dxa"/>
          </w:tcPr>
          <w:p>
            <w:pPr>
              <w:pStyle w:val="Cell"/>
            </w:pPr>
            <w:r>
              <w:t xml:space="preserve">Within-country 0.6052, 0.5727, 0.5859; between-country 0.2821 median, 0.2952 mean</w:t>
            </w:r>
          </w:p>
        </w:tc>
        <w:tc>
          <w:tcPr>
            <w:tcW w:w="2555" w:type="dxa"/>
          </w:tcPr>
          <w:p>
            <w:pPr>
              <w:pStyle w:val="Cell"/>
            </w:pPr>
            <w:r>
              <w:t xml:space="preserve">No. All three within-country estimators fail the pre-declared 0.9–1.1 band.</w:t>
            </w:r>
          </w:p>
        </w:tc>
      </w:tr>
      <w:tr>
        <w:tc>
          <w:tcPr>
            <w:tcW w:w="1351" w:type="dxa"/>
          </w:tcPr>
          <w:p>
            <w:pPr>
              <w:pStyle w:val="Cell"/>
            </w:pPr>
            <w:r>
              <w:t xml:space="preserve">Estimator for the offset reduction</w:t>
            </w:r>
          </w:p>
        </w:tc>
        <w:tc>
          <w:tcPr>
            <w:tcW w:w="1534" w:type="dxa"/>
          </w:tcPr>
          <w:p>
            <w:pPr>
              <w:pStyle w:val="Cell"/>
            </w:pPr>
            <w:r>
              <w:t xml:space="preserve">Four defensible estimators</w:t>
            </w:r>
          </w:p>
        </w:tc>
        <w:tc>
          <w:tcPr>
            <w:tcW w:w="3632" w:type="dxa"/>
          </w:tcPr>
          <w:p>
            <w:pPr>
              <w:pStyle w:val="Cell"/>
            </w:pPr>
            <w:r>
              <w:t xml:space="preserve">Ratio of medians 64.2%, ratio of means 62.9%, median of per-item reductions 59.9%, mean of per-item reductions 53.7%</w:t>
            </w:r>
          </w:p>
        </w:tc>
        <w:tc>
          <w:tcPr>
            <w:tcW w:w="2555" w:type="dxa"/>
          </w:tcPr>
          <w:p>
            <w:pPr>
              <w:pStyle w:val="Cell"/>
            </w:pPr>
            <w:r>
              <w:t xml:space="preserve">Yes for the number quoted: 59.9%, the median of the per-item reductions, named as such.</w:t>
            </w:r>
          </w:p>
        </w:tc>
      </w:tr>
      <w:tr>
        <w:tc>
          <w:tcPr>
            <w:tcW w:w="1351" w:type="dxa"/>
          </w:tcPr>
          <w:p>
            <w:pPr>
              <w:pStyle w:val="Cell"/>
            </w:pPr>
            <w:r>
              <w:t xml:space="preserve">Specification for the cross-level agreement</w:t>
            </w:r>
          </w:p>
        </w:tc>
        <w:tc>
          <w:tcPr>
            <w:tcW w:w="1534" w:type="dxa"/>
          </w:tcPr>
          <w:p>
            <w:pPr>
              <w:pStyle w:val="Cell"/>
            </w:pPr>
            <w:r>
              <w:t xml:space="preserve">As coded, forward items only, sign-aligned</w:t>
            </w:r>
          </w:p>
        </w:tc>
        <w:tc>
          <w:tcPr>
            <w:tcW w:w="3632" w:type="dxa"/>
          </w:tcPr>
          <w:p>
            <w:pPr>
              <w:pStyle w:val="Cell"/>
            </w:pPr>
            <w:r>
              <w:t xml:space="preserve">Pearson 0.9368 as coded, 0.7745 forward-only, 0.8355 sign-aligned</w:t>
            </w:r>
          </w:p>
        </w:tc>
        <w:tc>
          <w:tcPr>
            <w:tcW w:w="2555" w:type="dxa"/>
          </w:tcPr>
          <w:p>
            <w:pPr>
              <w:pStyle w:val="Cell"/>
            </w:pPr>
            <w:r>
              <w:t xml:space="preserve">No for the existence of the agreement. Yes for its description: about a third of the raw magnitude is the shared direction failure.</w:t>
            </w:r>
          </w:p>
        </w:tc>
      </w:tr>
      <w:tr>
        <w:tc>
          <w:tcPr>
            <w:tcW w:w="1351" w:type="dxa"/>
          </w:tcPr>
          <w:p>
            <w:pPr>
              <w:pStyle w:val="Cell"/>
            </w:pPr>
            <w:r>
              <w:t xml:space="preserve">Frame for country-level quantities</w:t>
            </w:r>
          </w:p>
        </w:tc>
        <w:tc>
          <w:tcPr>
            <w:tcW w:w="1534" w:type="dxa"/>
          </w:tcPr>
          <w:p>
            <w:pPr>
              <w:pStyle w:val="Cell"/>
            </w:pPr>
            <w:r>
              <w:t xml:space="preserve">Full frame against the human-model intersection</w:t>
            </w:r>
          </w:p>
        </w:tc>
        <w:tc>
          <w:tcPr>
            <w:tcW w:w="3632" w:type="dxa"/>
          </w:tcPr>
          <w:p>
            <w:pPr>
              <w:pStyle w:val="Cell"/>
            </w:pPr>
            <w:r>
              <w:t xml:space="preserve">Median rbc moves from 0.4433 to 0.4425; single items move by up to 0.109 (health)</w:t>
            </w:r>
          </w:p>
        </w:tc>
        <w:tc>
          <w:tcPr>
            <w:tcW w:w="2555" w:type="dxa"/>
          </w:tcPr>
          <w:p>
            <w:pPr>
              <w:pStyle w:val="Cell"/>
            </w:pPr>
            <w:r>
              <w:t xml:space="preserve">No for the median. The frame is fixed in one place and stated.</w:t>
            </w:r>
          </w:p>
        </w:tc>
      </w:tr>
      <w:tr>
        <w:tc>
          <w:tcPr>
            <w:tcW w:w="1351" w:type="dxa"/>
          </w:tcPr>
          <w:p>
            <w:pPr>
              <w:pStyle w:val="Cell"/>
            </w:pPr>
            <w:r>
              <w:t xml:space="preserve">Stability across rounds</w:t>
            </w:r>
          </w:p>
        </w:tc>
        <w:tc>
          <w:tcPr>
            <w:tcW w:w="1534" w:type="dxa"/>
          </w:tcPr>
          <w:p>
            <w:pPr>
              <w:pStyle w:val="Cell"/>
            </w:pPr>
            <w:r>
              <w:t xml:space="preserve">The March round against the final round</w:t>
            </w:r>
          </w:p>
        </w:tc>
        <w:tc>
          <w:tcPr>
            <w:tcW w:w="3632" w:type="dxa"/>
          </w:tcPr>
          <w:p>
            <w:pPr>
              <w:pStyle w:val="Cell"/>
            </w:pPr>
            <w:r>
              <w:t xml:space="preserve">Median absolute item-level rbc change 0.0415, against a same-round replicate median of 0.060</w:t>
            </w:r>
          </w:p>
        </w:tc>
        <w:tc>
          <w:tcPr>
            <w:tcW w:w="2555" w:type="dxa"/>
          </w:tcPr>
          <w:p>
            <w:pPr>
              <w:pStyle w:val="Cell"/>
            </w:pPr>
            <w:r>
              <w:t xml:space="preserve">No.</w:t>
            </w:r>
          </w:p>
        </w:tc>
      </w:tr>
      <w:tr>
        <w:tc>
          <w:tcPr>
            <w:tcW w:w="1351" w:type="dxa"/>
          </w:tcPr>
          <w:p>
            <w:pPr>
              <w:pStyle w:val="Cell"/>
            </w:pPr>
            <w:r>
              <w:t xml:space="preserve">Human-side missingness rule</w:t>
            </w:r>
          </w:p>
        </w:tc>
        <w:tc>
          <w:tcPr>
            <w:tcW w:w="1534" w:type="dxa"/>
          </w:tcPr>
          <w:p>
            <w:pPr>
              <w:pStyle w:val="Cell"/>
            </w:pPr>
            <w:r>
              <w:t xml:space="preserve">Correcting the missing-code set for the coarse scales</w:t>
            </w:r>
          </w:p>
        </w:tc>
        <w:tc>
          <w:tcPr>
            <w:tcW w:w="3632" w:type="dxa"/>
          </w:tcPr>
          <w:p>
            <w:pPr>
              <w:pStyle w:val="Cell"/>
            </w:pPr>
            <w:r>
              <w:t xml:space="preserve">Median rbc 0.418 to 0.431; items above 0.70 from 8 to 9; inverted items from 12 to 11; within-country dispersion ratio 0.553 to 0.605</w:t>
            </w:r>
          </w:p>
        </w:tc>
        <w:tc>
          <w:tcPr>
            <w:tcW w:w="2555" w:type="dxa"/>
          </w:tcPr>
          <w:p>
            <w:pPr>
              <w:pStyle w:val="Cell"/>
            </w:pPr>
            <w:r>
              <w:t xml:space="preserve">Yes for several reported figures, all corrected. No for any conclusion.</w:t>
            </w:r>
          </w:p>
        </w:tc>
      </w:tr>
    </w:tbl>
    <w:p>
      <w:pPr>
        <w:pStyle w:val="FigNote"/>
      </w:pPr>
      <w:r>
        <w:rPr>
          <w:i/>
        </w:rPr>
        <w:t xml:space="preserve">Note. </w:t>
      </w:r>
      <w:r>
        <w:t xml:space="preserve">Each row names what the check varies, what it moves, and whether any conclusion changes. The one Yes that changes a conclusion is parse coverage in the Llama third-person arm (Section 4.4).</w:t>
      </w:r>
    </w:p>
    <w:p>
      <w:pPr>
        <w:pStyle w:val="H2"/>
      </w:pPr>
      <w:r>
        <w:t xml:space="preserve">Appendix L. Data-processing checks</w:t>
      </w:r>
    </w:p>
    <w:p>
      <w:pPr>
        <w:pStyle w:val="Body"/>
      </w:pPr>
      <w:r>
        <w:t xml:space="preserve">Four data-processing checks leave the aggregate results unchanged. Weighted and unweighted per-item coefficients correlate at 0.9987, with a largest single-item change of 0.103 (Table A5). Computing each country mean on the human-model valid intersection moves per-item between-country correlations by at most about 0.1, for a few items. Two further checks ran on the earlier 500-respondent round: excluding the voting item’s ‘not eligible’ category, and replacing the human subsample with the full ESS sample. Both left the per-item correlations at </w:t>
      </w:r>
      <w:r>
        <w:rPr>
          <w:i/>
        </w:rPr>
        <w:t>r</w:t>
      </w:r>
      <w:r>
        <w:t xml:space="preserve"> = 0.99 and preserved every negative correlation, and the cross-round stability check in Table A5 carries them to the final 685-respondent round.</w:t>
      </w:r>
    </w:p>
    <w:p>
      <w:pPr>
        <w:pStyle w:val="H2"/>
      </w:pPr>
      <w:r>
        <w:t xml:space="preserve">Appendix M. Parse failures</w:t>
      </w:r>
    </w:p>
    <w:p>
      <w:pPr>
        <w:pStyle w:val="Body"/>
      </w:pPr>
      <w:r>
        <w:t xml:space="preserve">Of the 863,100 responses scheduled in the Llama third-person arm, 77.28% parsed. Of the remainder, 5.75% fall outside the declared scale, 8.25% carry a value above 1,000, and 8.71% contain no digit. Four explanations were tested and rejected. Truncation: failed outputs have a median length of 61 characters against a maximum of 317, and none falls within 2%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2"/>
      </w:pPr>
      <w:r>
        <w:t xml:space="preserve">Appendix N. Sensitivity to the extraction rule</w:t>
      </w:r>
    </w:p>
    <w:p>
      <w:pPr>
        <w:pStyle w:val="Body"/>
      </w:pPr>
      <w:r>
        <w:t xml:space="preserve">Every correlation reported here is computed on responses that survived a rule that takes the first number in the response text. That rule discards answers the model gave correctly, such as a junk number followed by a valid one, so all 11.3 million raw responses were re-parsed and every rejected response in the 15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primary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15 arms.</w:t>
      </w:r>
    </w:p>
    <w:p>
      <w:pPr>
        <w:pStyle w:val="FigTitle"/>
      </w:pPr>
      <w:r>
        <w:rPr>
          <w:b/>
        </w:rPr>
        <w:t xml:space="preserve">Table A6. </w:t>
      </w:r>
      <w:r>
        <w:t xml:space="preserve">Sensitivity of the between-country correlation to the response-extraction rule.</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p>
      <w:pPr>
        <w:pStyle w:val="FigNote"/>
      </w:pPr>
      <w:r>
        <w:rPr>
          <w:i/>
        </w:rPr>
        <w:t xml:space="preserve">Note. </w:t>
      </w:r>
      <w:r>
        <w:t xml:space="preserve">The four alternative extraction rules are those described above. The shipped rule takes the first number in the response text.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FigTitle">
    <w:name w:val="Figure Title"/>
    <w:pPr>
      <w:keepNext/>
      <w:spacing w:before="140" w:after="120" w:line="276" w:lineRule="auto"/>
      <w:jc w:val="center"/>
    </w:pPr>
    <w:rPr>
      <w:sz w:val="24"/>
    </w:rPr>
  </w:style>
  <w:style w:type="paragraph" w:styleId="FigNote">
    <w:name w:val="Figure Note"/>
    <w:pPr>
      <w:keepNext/>
      <w:spacing w:before="60" w:after="18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