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is a joint evaluation of item-level country rankings, within-country individual recovery, and the label’s incremental contribution on matched respondents. The second is the experimental identification of that prior and of the format that decides its direction. The third is a benchmark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 2 (prompt) crossing. Two major open-weight instruction-tuned models are tested: Qwen 2.5-7B-Instruct (Alibaba) and Llama 3.1-8B-Instruct (Meta). Both are run locally on a university high-performance computing cluster (NVIDIA A100) using vLLM for efficient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runs over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It is added alone to the sparse base plus the country label, and it is removed alone from the otherwise complete profile. These are the extreme positions a block can occupy in any order of additions, so the two margins bound its contribution under every ordering.</w:t>
      </w:r>
    </w:p>
    <w:p>
      <w:pPr>
        <w:pStyle w:val="Body"/>
      </w:pPr>
      <w:r>
        <w:t xml:space="preserve">Three probes settle what the margins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serves as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and the worst-recovered country sits inside it,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574792" cy="4858512"/>
                    </a:xfrm>
                    <a:prstGeom prst="rect">
                      <a:avLst/>
                    </a:prstGeom>
                  </pic:spPr>
                </pic:pic>
              </a:graphicData>
            </a:graphic>
          </wp:inline>
        </w:drawing>
      </w:r>
    </w:p>
    <w:p>
      <w:pPr>
        <w:pStyle w:val="Caption"/>
      </w:pPr>
      <w:r>
        <w:t xml:space="preserve">Figure 3.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3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model uses the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4 puts the conditions side by side.</w:t>
      </w:r>
    </w:p>
    <w:p>
      <w:pPr>
        <w:pStyle w:val="Fig"/>
      </w:pPr>
      <w:r>
        <w:drawing>
          <wp:inline distT="0" distB="0" distL="0" distR="0">
            <wp:extent cx="5279136" cy="294741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279136" cy="2947416"/>
                    </a:xfrm>
                    <a:prstGeom prst="rect">
                      <a:avLst/>
                    </a:prstGeom>
                  </pic:spPr>
                </pic:pic>
              </a:graphicData>
            </a:graphic>
          </wp:inline>
        </w:drawing>
      </w:r>
    </w:p>
    <w:p>
      <w:pPr>
        <w:pStyle w:val="Caption"/>
      </w:pPr>
      <w:r>
        <w:t xml:space="preserve">Figure 4.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reverse-coded shown separately as in Figure 3.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a 2 × 2 arm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uniformly weak in every country.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with a standard deviation of 0.079. Of these,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Holding identifiability at its maximum, recovery still spans 0.29 to 0.52, and the sparsest profile containing the country beats every richer one (Appendix, Country identifiability). The model treats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and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Finally,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which this design does only once.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3.</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3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3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