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highly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appears to use the country as a group-level prior and to largely ignore respondent detail. Individual-level recovery is negligible everywhere and unrelated to aggregate recovery across countries. A 2 × 2 experiment traces the item-level failures to the response scale: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Presser, &amp; Singer,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limitations constrain the existing literature. First, most evaluations remain centered on the United States; available cross-national studies cover relatively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governs the form it takes. A cross-national design can separate two candidate sources of aggregate recovery that single-country studies cannot compare: a country label may activate country-level associations, while compositional differences across national samples may also generate cross-national variation.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response-scale format sets the sign that signal takes. None of it amounts to individual-level recovery. Three things are new here: the first joint evaluation of item-level country rankings, within-country individual recovery, and the label’s incremental contribution on matched respondents; the experimental identification of that prior and of the format that sets its sign; and benchmarks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Diener, &amp; Diener,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broad range of attitudinal domains,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whether richer profiles add further gains, and whether the scale format governs the sign with which any such gain appears.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reverse-worded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governs the sign that signal takes on each item?</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RQ3. How much individual-level recovery is there, does first- versus third-person framing change it, and does it track aggregate recovery across countries?</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a level of recovery is only useful if it can be told apart from the level next to it:</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follows a 2 (model) × 2 (prompt) fully crossed design. Two major open-weight instruction-tuned models are tested: Qwen 2.5-7B-Instruct (Alibaba) and Llama 3.1-8B-Instruct (Meta). Both are run locally on a university HPC cluster (NVIDIA A100 GPU) using vLLM for efficient batched inference. Temperature is set to 0.7;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(most people can be trusted, ppltrst; people try to be fair, pplfair; people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 2);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identifying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final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with-against-without logic extends to the whole profile. The 20 backstory variables partition into ten named blocks: the ascriptive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not the single variable. The profile contains near-duplicate pairs: age and birth year, education level and education years, household size and children at home. Dropping one of a pair measures duplication, not information. Where a block has no such pair the variables are also tested singly.</w:t>
      </w:r>
    </w:p>
    <w:p>
      <w:pPr>
        <w:pStyle w:val="Body"/>
      </w:pPr>
      <w:r>
        <w:t xml:space="preserve">Every block is observed at two margins. It is added alone to the sparse base plus the country label, and it is removed alone from the otherwise complete profile. These are the extreme positions a block can occupy in any order of additions, so the two margins bound its contribution under every ordering.</w:t>
      </w:r>
    </w:p>
    <w:p>
      <w:pPr>
        <w:pStyle w:val="Body"/>
      </w:pPr>
      <w:r>
        <w:t xml:space="preserve">Three probes settle readings the margins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Tuñón, &amp; Dafoe,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w:t>
      </w:r>
      <w:r>
        <w:rPr>
          <w:i/>
        </w:rPr>
        <w:t>r</w:t>
      </w:r>
      <w:r>
        <w:rPr>
          <w:i/>
          <w:vertAlign w:val="subscript"/>
        </w:rPr>
        <w:t>pw</w:t>
      </w:r>
      <w:r>
        <w:t xml:space="preserve"> pools respondents across countries after centering within country; it appears once, in Figure 3, where its statistical power suits the per-item display. </w:t>
      </w:r>
      <w:r>
        <w:rPr>
          <w:i/>
        </w:rPr>
        <w:t>r</w:t>
      </w:r>
      <w:r>
        <w:rPr>
          <w:i/>
          <w:vertAlign w:val="subscript"/>
        </w:rPr>
        <w:t>pool</w:t>
      </w:r>
      <w:r>
        <w:t xml:space="preserve"> runs across all 1,260 country–item cells. It is reported once,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ceiling on what any demographic profile could recover at the individual level.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as </w:t>
      </w:r>
      <w:r>
        <w:rPr>
          <w:i/>
        </w:rPr>
        <w:t>r</w:t>
      </w:r>
      <w:r>
        <w:rPr>
          <w:i/>
          <w:vertAlign w:val="subscript"/>
        </w:rPr>
        <w:t>bc</w:t>
      </w:r>
      <w:r>
        <w:t xml:space="preserve"> × </w:t>
      </w:r>
      <w:r>
        <w:rPr>
          <w:i/>
        </w:rPr>
        <w:t>C</w:t>
      </w:r>
      <w:r>
        <w:rPr>
          <w:i/>
          <w:vertAlign w:val="subscript"/>
        </w:rPr>
        <w:t>b</w:t>
      </w:r>
      <w:r>
        <w:t xml:space="preserve">,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per-item aggregate recovery is moderate but highly item-dependent. Country-profile and mean-error statistics also produce different country rankings, so no single aggregate measure captures performance. Figure 2 compares country-level and individual-level recovery across conditions. Panel (a)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removing each item's mean leaves a pooled correlation of 0.515. Panel (b) gives the individual-level counterpart.</w:t>
      </w:r>
    </w:p>
    <w:p>
      <w:pPr>
        <w:pStyle w:val="Body"/>
      </w:pPr>
      <w:r>
        <w:t xml:space="preserve">Qwen 1P has the highest item-level median correlation: against the pre-declared thresholds, 20 of 42 items exceed 0.5 and nine exceed 0.7. As the best-performing condition it serves as the reference for the focused analyses below. All four conditions appear in Figure 2 at both levels, so this choice does not affect the main conclusions.</w:t>
      </w:r>
    </w:p>
    <w:p>
      <w:pPr>
        <w:pStyle w:val="Fig"/>
      </w:pPr>
      <w:r>
        <w:drawing>
          <wp:inline distT="0" distB="0" distL="0" distR="0">
            <wp:extent cx="5660059" cy="6766560"/>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660059" cy="6766560"/>
                    </a:xfrm>
                    <a:prstGeom prst="rect">
                      <a:avLst/>
                    </a:prstGeom>
                  </pic:spPr>
                </pic:pic>
              </a:graphicData>
            </a:graphic>
          </wp:inline>
        </w:drawing>
      </w:r>
    </w:p>
    <w:p>
      <w:pPr>
        <w:pStyle w:val="Caption"/>
      </w:pPr>
      <w:r>
        <w:t xml:space="preserve">Figure 2. Aggregate and individual recovery by model–prompt condition.</w:t>
      </w:r>
    </w:p>
    <w:p>
      <w:pPr>
        <w:pStyle w:val="Body"/>
      </w:pPr>
      <w:r>
        <w:t xml:space="preserve">Note. Panel (a) shows every item's between-country correlation, with the pooled correlation drawn once as a labeled counterexample (all pooled p &lt; 0.001). Panel (b) shows median within-country individual-level recovery against the demographic-explainable ceiling. The Qwen 1P anchored arm repeats Qwen 1P with verbally anchored response scales on the 22-item batch (Section 4.2).</w:t>
      </w:r>
    </w:p>
    <w:p>
      <w:pPr>
        <w:pStyle w:val="Body"/>
      </w:pPr>
      <w:r>
        <w:t xml:space="preserve">Figure 3 places country-level and individual-level recovery on a shared vertical axis so that the two are directly comparable; the full 42-item rankings appear in Appendix Figures A1 and A3. The shared axis makes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3 it is the one circle in the negative tail. Section 4.2 tests the scale-direction account experimentally.</w:t>
      </w:r>
    </w:p>
    <w:p>
      <w:pPr>
        <w:pStyle w:val="Fig"/>
      </w:pPr>
      <w:r>
        <w:drawing>
          <wp:inline distT="0" distB="0" distL="0" distR="0">
            <wp:extent cx="5760720" cy="6663073"/>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760720" cy="6663073"/>
                    </a:xfrm>
                    <a:prstGeom prst="rect">
                      <a:avLst/>
                    </a:prstGeom>
                  </pic:spPr>
                </pic:pic>
              </a:graphicData>
            </a:graphic>
          </wp:inline>
        </w:drawing>
      </w:r>
    </w:p>
    <w:p>
      <w:pPr>
        <w:pStyle w:val="Caption"/>
      </w:pPr>
      <w:r>
        <w:t xml:space="preserve">Figure 3. Aggregate and individual recovery, 42 items and 30 country profiles, Qwen 1P.</w:t>
      </w:r>
    </w:p>
    <w:p>
      <w:pPr>
        <w:pStyle w:val="Body"/>
      </w:pPr>
      <w:r>
        <w:t xml:space="preserve">Note. Panel (a) shows country-level </w:t>
      </w:r>
      <w:r>
        <w:rPr>
          <w:i/>
        </w:rPr>
        <w:t>r</w:t>
      </w:r>
      <w:r>
        <w:rPr>
          <w:i/>
          <w:vertAlign w:val="subscript"/>
        </w:rPr>
        <w:t>bc</w:t>
      </w:r>
      <w:r>
        <w:t xml:space="preserve">, panel (b) the pooled within-country correlation </w:t>
      </w:r>
      <w:r>
        <w:rPr>
          <w:i/>
        </w:rPr>
        <w:t>r</w:t>
      </w:r>
      <w:r>
        <w:rPr>
          <w:i/>
          <w:vertAlign w:val="subscript"/>
        </w:rPr>
        <w:t>pw</w:t>
      </w:r>
      <w:r>
        <w:t xml:space="preserve">, on one shared scale and one item order. The aggregate series spans 1.64 correlation units and the individual series 0.30. Reverse-worded items are marked in both panels. Full rankings appear in Appendix Figures A1 and A3. Panel (c) shows each country's profile correlation </w:t>
      </w:r>
      <w:r>
        <w:rPr>
          <w:i/>
        </w:rPr>
        <w:t>r</w:t>
      </w:r>
      <w:r>
        <w:rPr>
          <w:i/>
          <w:vertAlign w:val="subscript"/>
        </w:rPr>
        <w:t>prof</w:t>
      </w:r>
      <w:r>
        <w:t xml:space="preserve">, with the lowest and highest countries named; the question is whether </w:t>
      </w:r>
      <w:r>
        <w:rPr>
          <w:i/>
        </w:rPr>
        <w:t>r</w:t>
      </w:r>
      <w:r>
        <w:rPr>
          <w:i/>
          <w:vertAlign w:val="subscript"/>
        </w:rPr>
        <w:t>prof</w:t>
      </w:r>
      <w:r>
        <w:t xml:space="preserve"> can pick out countries in which the model can be trusted, and every country falls between 0.69 and 0.91.</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3(c) shows all 30 countries. Under Qwen 1P, </w:t>
      </w:r>
      <w:r>
        <w:rPr>
          <w:i/>
        </w:rPr>
        <w:t>r</w:t>
      </w:r>
      <w:r>
        <w:rPr>
          <w:i/>
          <w:vertAlign w:val="subscript"/>
        </w:rPr>
        <w:t>prof</w:t>
      </w:r>
      <w:r>
        <w:t xml:space="preserve"> ranges from 0.69 in Bulgaria to 0.91 in Finland (mean 0.82, SD 0.06). Finland, Switzerland, Ireland, Norway, and Austria rank highest (0.88–0.91), while Bulgaria, Serbia, Ukraine, Israel, and Latvia rank lowest (0.69–0.76). The band is narrow: the worst-recovered country in the sample still scores 0.69,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(r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finally, close to independent. All 30 countries have positive mean bias under Qwen 1P, from 0.36 scale points in Finland to 1.40 in Bulgaria, consistent with a shift toward higher numeric responses. Mean SD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supplies the signal; the response scale sets its sign</w:t>
      </w:r>
    </w:p>
    <w:p>
      <w:pPr>
        <w:pStyle w:val="Body"/>
      </w:pPr>
      <w:r>
        <w:t xml:space="preserve">Addressing RQ2, the identifying estimate is one paired contrast: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327904" cy="3758184"/>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327904" cy="3758184"/>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ascriptive base has no add margin, because it is the base. Reverse-worded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 same contrast item by item is in Appendix Figure A4; per-block values ship with the figure data.</w:t>
      </w:r>
    </w:p>
    <w:p>
      <w:pPr>
        <w:pStyle w:val="Body"/>
      </w:pPr>
      <w:r>
        <w:t xml:space="preserve">Figure 4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versus 0.52).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falsification arm shows the label is read, and read as a country.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which is what a cue the model attends to should do, and what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profile keeps carrying a compositional share of its own. The two scorings are not mechanically coupled: under the derangement the named and the true countries' human means correlate at a median of −0.07. Figure 5 puts the conditions side by side.</w:t>
      </w:r>
    </w:p>
    <w:p>
      <w:pPr>
        <w:pStyle w:val="Fig"/>
      </w:pPr>
      <w:r>
        <w:drawing>
          <wp:inline distT="0" distB="0" distL="0" distR="0">
            <wp:extent cx="5361432" cy="2694432"/>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361432" cy="2694432"/>
                    </a:xfrm>
                    <a:prstGeom prst="rect">
                      <a:avLst/>
                    </a:prstGeom>
                  </pic:spPr>
                </pic:pic>
              </a:graphicData>
            </a:graphic>
          </wp:inline>
        </w:drawing>
      </w:r>
    </w:p>
    <w:p>
      <w:pPr>
        <w:pStyle w:val="Caption"/>
      </w:pPr>
      <w:r>
        <w:t xml:space="preserve">Figure 5. A wrong country name costs the country the respondents came from, Qwen 1P.</w:t>
      </w:r>
    </w:p>
    <w:p>
      <w:pPr>
        <w:pStyle w:val="Body"/>
      </w:pPr>
      <w:r>
        <w:t xml:space="preserve">Note. Median </w:t>
      </w:r>
      <w:r>
        <w:rPr>
          <w:i/>
        </w:rPr>
        <w:t>r</w:t>
      </w:r>
      <w:r>
        <w:rPr>
          <w:i/>
          <w:vertAlign w:val="subscript"/>
        </w:rPr>
        <w:t>bc</w:t>
      </w:r>
      <w:r>
        <w:t xml:space="preserve"> over items, forward- and reverse-worded shown separately as in Figure 4.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The inversions in Section 4.1 and the negative country-label effect above share one candidate explanation. The model may be reading the numeric scale in the wrong direction while holding correct country associations. That explanation is testable, and a 2 × 2 arm tests it on the 22-item batch (Figure 6).</w:t>
      </w:r>
    </w:p>
    <w:p>
      <w:pPr>
        <w:pStyle w:val="Body"/>
      </w:pPr>
      <w:r>
        <w:t xml:space="preserve">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genuine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760720" cy="5614878"/>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614878"/>
                    </a:xfrm>
                    <a:prstGeom prst="rect">
                      <a:avLst/>
                    </a:prstGeom>
                  </pic:spPr>
                </pic:pic>
              </a:graphicData>
            </a:graphic>
          </wp:inline>
        </w:drawing>
      </w:r>
    </w:p>
    <w:p>
      <w:pPr>
        <w:pStyle w:val="Caption"/>
      </w:pPr>
      <w:r>
        <w:t xml:space="preserve">Figure 6. The 2 × 2: country label by response-scale format, 22 items, Qwen 1P.</w:t>
      </w:r>
    </w:p>
    <w:p>
      <w:pPr>
        <w:pStyle w:val="Body"/>
      </w:pPr>
      <w:r>
        <w:t xml:space="preserve">Note. Panel (a): the four cell means with bootstrap intervals over items; verbal anchors flip the label’s effect on reverse-worded items from negative to positive. Panel (b): the same movement, item by item,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Figure 2(b) presents the individual-level results.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of 0.210 sits against an achieved 0.028, so the model recovers 13.5% of what a demographic profile could in principle deliver.</w:t>
      </w:r>
    </w:p>
    <w:p>
      <w:pPr>
        <w:pStyle w:val="Body"/>
      </w:pPr>
      <w:r>
        <w:t xml:space="preserve">The two levels sit far apart in the same display: </w:t>
      </w:r>
      <w:r>
        <w:rPr>
          <w:i/>
        </w:rPr>
        <w:t>r</w:t>
      </w:r>
      <w:r>
        <w:rPr>
          <w:i/>
          <w:vertAlign w:val="subscript"/>
        </w:rPr>
        <w:t>pool</w:t>
      </w:r>
      <w:r>
        <w:t xml:space="preserve"> lies between 0.64 and 0.83 across conditions while within-country recovery is near zero (Figure 2, panels (a) and (b)). The aggregate–individual dissociation is established for single-country designs; what is new is that it survives at thirty countries and that scale anchoring moves both levels together.</w:t>
      </w:r>
    </w:p>
    <w:p>
      <w:pPr>
        <w:pStyle w:val="Body"/>
      </w:pPr>
      <w:r>
        <w:t xml:space="preserve">The scale manipulation of Section 4.2 also moves this level. Anchoring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At the country level, individual recovery remains uniformly weak.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(SD 0.079). Of the 1,260 cells,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Individual-level recovery has no clear regional gradient and varies more by item than by country.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(90% CI [−0.49, 0.10]). Range-normalized aggregate error yields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a pairwise one, so it is better counted than correlated: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232 of the 435 country pairs reverse. Switzerland and Israel, the sharpest case in the text, are drawn in black.</w:t>
      </w:r>
    </w:p>
    <w:p>
      <w:pPr>
        <w:pStyle w:val="H2"/>
      </w:pPr>
      <w:r>
        <w:t xml:space="preserve">4.4 Robustness checks</w:t>
      </w:r>
    </w:p>
    <w:p>
      <w:pPr>
        <w:pStyle w:val="Body"/>
      </w:pPr>
      <w:r>
        <w:t xml:space="preserve">Sixteen checks are reported in Appendix Table A5, each with the quantity it moves and whether any conclusion changes. They cover the human benchmark (weighting, missingness, the country-mean frame), the investigator codings (item direction, item sets), estimator and aggregator choices, the comparator's specification, parse coverage, and stability across runs and rounds. Two change something and are stated here.</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r = 0.84.</w:t>
      </w:r>
    </w:p>
    <w:p>
      <w:pPr>
        <w:pStyle w:val="Body"/>
      </w:pPr>
      <w:r>
        <w:t xml:space="preserve">Run-to-run stability sets the interpretive band.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Coverage in the Llama third-person arm changes a conclusion.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 The remaining fourteen checks leave every conclusion in place.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headline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backstory experiment identifies the country label as the largest incremental source of aggregate recovery. Richer profiles do not improve on it: the full profile sits below the label alone, and political identity and the socioeconomic block lower recovery when added (Section 4.2). A model that found respondent detail uninformative would show flat margins. Negative margins indicate that the detail is used, and used badly.</w:t>
      </w:r>
    </w:p>
    <w:p>
      <w:pPr>
        <w:pStyle w:val="Body"/>
      </w:pPr>
      <w:r>
        <w:t xml:space="preserve">Two accounts can be separated by the data. If the label worked by making the country identifiable, recovery should track identifiability. It does not. Holding identifiability at its maximum, recovery still spans 0.29 to 0.52, and the sparsest profile containing the country beats every richer one (Appendix, Country identifiability). The model appears to treat the country as a group-level prior, and respondent detail as noise around it. Within a country almost none of the variation the model produces is respondent-specific. A replicate arm measures this directly: rerunning one arm under a different generation seed, on the same respondents and items, gives a paired difference whose implied generation noise accounts for 95% of that arm's within-country variance. Median within-country recovery is 0.028 against the 0.210 ceiling. And the label is what steers: replacing it with a wrong name costs the country the respondents came from (Section 4.2). Sociodemographic prompting and demographic fine-tuning add little individual recovery (Sun et al., 2025; Orlikowski et al., 2025).</w:t>
      </w:r>
    </w:p>
    <w:p>
      <w:pPr>
        <w:pStyle w:val="Body"/>
      </w:pPr>
      <w:r>
        <w:t xml:space="preserve">Calibration separates the two accounts as well.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Appendix, Concordance). The label positions countries against one another without calibrating the distance between them.</w:t>
      </w:r>
    </w:p>
    <w:p>
      <w:pPr>
        <w:pStyle w:val="Body"/>
      </w:pPr>
      <w:r>
        <w:t xml:space="preserve">One deflationary reading remains. Country may be the most informative single cue available for these outcomes, so leaning on it would be sensible cue use and not stereotype activation. Enrichment separates the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A model can approximate national averages by treating the country cue as a group-level prior. It does not, however, reproduce how attitudes covary with individual attributes. The first capacity may support narrow aggregate tasks. It does not establish the second.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pooled or profile recovery would certify a battery in which a substantial minority of items has the wrong sign.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w:t>
      </w:r>
    </w:p>
    <w:p>
      <w:pPr>
        <w:pStyle w:val="Body"/>
      </w:pPr>
      <w:r>
        <w:t xml:space="preserve">Direction does not explain everything. It accounts for two thirds of the variance in item-level recovery, and the remainder has a pattern: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(r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and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a third constraint, and the cheapest of the three to change.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Three contributions follow from this design. The study is the first to evaluate item-level country rankings, within-country individual recovery, and the country label’s incremental contribution on the same matched respondents. It identified the mechanism experimentally: a group-level prior whose sign the response-scale format sets. It also established the standard of adequacy: on these items a model-free regional average outperforms the model, so silicon sampling must beat the alternatives a researcher already holds.</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A classifier trained on its rendered backstories recovers the country 28.7% of the time, against a 3.3% baseline. Harmonized education, marital and activity categories differ in composition across countries. No backstory names a country, so the leak is compositional, and the 0.34 median recovery of that arm is an upper bound on what composition achieves without country knowledge.</w:t>
      </w:r>
    </w:p>
    <w:p>
      <w:pPr>
        <w:pStyle w:val="Body"/>
      </w:pPr>
      <w:r>
        <w:t xml:space="preserve">Fourth, the scale experiment uses Qwen 1P only. The country-label contrast replicates under Llama (Section 4.2), and no experiment here can distinguish calibrated country knowledge from stereotype activation. Finally, the Llama third-person arm lost 24% of scheduled responses to a format-compliance failure, not a scale-comprehension one, diagnosed in Appendix, Parse failures. It bounds what that arm can show.</w:t>
      </w:r>
    </w:p>
    <w:p>
      <w:pPr>
        <w:pStyle w:val="Body"/>
      </w:pPr>
      <w:r>
        <w:t xml:space="preserve">Future research should use factorial designs that independently vary prompt language, country cues, verbal scale anchors, and profile content. It should extend the benchmark to non-European surveys and larger or proprietary models. It should also test multivariate structure, subgroup calibration, and repeated-run stability. Missing or unparsable outputs should also be examined by item and country, not only as overall coverage loss. Full-profile country ablations would separate label effects from compositional interactions, while multilingual prompts would test whether the geographic pattern depends on English-speaking defaults. These extensions should be evaluated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Political Analysis, 31(3), 337-351. https://doi.org/10.1017/pan.2023.2</w:t>
      </w:r>
    </w:p>
    <w:p>
      <w:pPr>
        <w:pStyle w:val="Ref"/>
      </w:pPr>
      <w:r>
        <w:t xml:space="preserve">Ashokkumar, A., Hewitt, L., Ghezae, I., &amp; Willer, R. (2026). Large language models can predict the results of social science experiments. Nature. https://doi.org/10.1038/s41586-026-10742-x</w:t>
      </w:r>
    </w:p>
    <w:p>
      <w:pPr>
        <w:pStyle w:val="Ref"/>
      </w:pPr>
      <w:r>
        <w:t xml:space="preserve">Bail, C. A. (2024). Can Generative AI improve social science? Proceedings of the National Academy of Sciences, 121(21), e2314021121. https://doi.org/10.1073/pnas.2314021121</w:t>
      </w:r>
    </w:p>
    <w:p>
      <w:pPr>
        <w:pStyle w:val="Ref"/>
      </w:pPr>
      <w:r>
        <w:t xml:space="preserve">Bender, E. M., Gebru, T., McMillan-Major, A., &amp; Shmitchell, S. (2021). On the dangers of stochastic parrots: Can language models be too big? In Proceedings of the 2021 ACM Conference on Fairness, Accountability, and Transparency (FAccT ’21, pp. 610-623). ACM. https://doi.org/10.1145/3442188.3445922</w:t>
      </w:r>
    </w:p>
    <w:p>
      <w:pPr>
        <w:pStyle w:val="Ref"/>
      </w:pPr>
      <w:r>
        <w:t xml:space="preserve">Bisbee, J., Clinton, J. D., Dorff, C., Kenkel, B., &amp; Larson, J. M. (2024). Synthetic replacements for human survey data? The perils of large language models. Political Analysis, 32(4), 401-416. https://doi.org/10.1017/pan.2024.5</w:t>
      </w:r>
    </w:p>
    <w:p>
      <w:pPr>
        <w:pStyle w:val="Ref"/>
      </w:pPr>
      <w:r>
        <w:t xml:space="preserve">Boelaert, J., Coavoux, S., Ollion, É., Petev, I., &amp; Präg, P. (2025). Machine bias: How do generative language models answer opinion polls? Sociological Methods &amp; Research, 54(3), 1156-1196. https://doi.org/10.1177/00491241251330582</w:t>
      </w:r>
    </w:p>
    <w:p>
      <w:pPr>
        <w:pStyle w:val="Ref"/>
      </w:pPr>
      <w:r>
        <w:t xml:space="preserve">Cao, Y., Liu, H., Arora, A., Augenstein, I., Röttger, P., &amp; Hershcovich, D. (2025). Specializing large language models to simulate survey response distributions for global populations. In Proceedings of the 2025 Conference of the Nations of the Americas Chapter of the Association for Computational Linguistics: Human Language Technologies (pp. 3141-3154). Association for Computational Linguistics. https://doi.org/10.18653/v1/2025.naacl-long.162</w:t>
      </w:r>
    </w:p>
    <w:p>
      <w:pPr>
        <w:pStyle w:val="Ref"/>
      </w:pPr>
      <w:r>
        <w:t xml:space="preserve">Curtin, R., Presser, S., &amp; Singer, E. (2005). Changes in telephone survey nonresponse over the past quarter century. Public Opinion Quarterly, 69(1), 87-98. https://doi.org/10.1093/poq/nfi002</w:t>
      </w:r>
    </w:p>
    <w:p>
      <w:pPr>
        <w:pStyle w:val="Ref"/>
      </w:pPr>
      <w:r>
        <w:t xml:space="preserve">Dalton, R. J., &amp; Welzel, C. (Eds.). (2014). The civic culture transformed: From allegiant to assertive citizens. Cambridge University Press. https://doi.org/10.1017/CBO9781139600002</w:t>
      </w:r>
    </w:p>
    <w:p>
      <w:pPr>
        <w:pStyle w:val="Ref"/>
      </w:pPr>
      <w:r>
        <w:t xml:space="preserve">Davidov, E., Meuleman, B., Cieciuch, J., Schmidt, P., &amp; Billiet, J. (2014). Measurement equivalence in cross-national research. Annual Review of Sociology, 40(1), 55–75. https://doi.org/10.1146/annurev-soc-071913-043137</w:t>
      </w:r>
    </w:p>
    <w:p>
      <w:pPr>
        <w:pStyle w:val="Ref"/>
      </w:pPr>
      <w:r>
        <w:t xml:space="preserve">Diener, E., Diener, M., &amp; Diener, C. (1995). Factors predicting the subjective well-being of nations. Journal of Personality and Social Psychology, 69(5), 851–864. https://doi.org/10.1037/0022-3514.69.5.851</w:t>
      </w:r>
    </w:p>
    <w:p>
      <w:pPr>
        <w:pStyle w:val="Ref"/>
      </w:pPr>
      <w:r>
        <w:t xml:space="preserve">Dillion, D., Tandon, N., Gu, Y., &amp; Gray, K. (2023). Can AI language models replace human participants? Trends in Cognitive Sciences, 27(7), 597–600. https://doi.org/10.1016/j.tics.2023.04.008</w:t>
      </w:r>
    </w:p>
    <w:p>
      <w:pPr>
        <w:pStyle w:val="Ref"/>
      </w:pPr>
      <w:r>
        <w:t xml:space="preserve">Dominguez-Olmedo, R., Hardt, M., &amp; Mendler-Dünner, C. (2024). Questioning the survey responses of large language models. In Advances in Neural Information Processing Systems,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Towards measuring the representation of subjective global opinions in language models. arXiv preprint arXiv:2306.16388. https://doi.org/10.48550/arXiv.2306.16388</w:t>
      </w:r>
    </w:p>
    <w:p>
      <w:pPr>
        <w:pStyle w:val="Ref"/>
      </w:pPr>
      <w:r>
        <w:t xml:space="preserve">Eggers, A. C., Tuñón, G., &amp; Dafoe, A. (2024). Placebo tests for causal inference. American Journal of Political Science, 68(3), 1106-1121. https://doi.org/10.1111/ajps.12818</w:t>
      </w:r>
    </w:p>
    <w:p>
      <w:pPr>
        <w:pStyle w:val="Ref"/>
      </w:pPr>
      <w:r>
        <w:t xml:space="preserve">European Social Survey European Research Infrastructure Consortium (ESS ERIC). (2026). ESS11 - integrated file, edition 4.1 [Data set]. Sikt - Norwegian Agency for Shared Services in Education and Research. https://doi.org/10.21338/ess11e04_1</w:t>
      </w:r>
    </w:p>
    <w:p>
      <w:pPr>
        <w:pStyle w:val="Ref"/>
      </w:pPr>
      <w:r>
        <w:t xml:space="preserve">Firebaugh, G. (1978). A rule for inferring individual-level relationships from aggregate data. American Sociological Review, 43(4), 557–572. https://doi.org/10.2307/2094779</w:t>
      </w:r>
    </w:p>
    <w:p>
      <w:pPr>
        <w:pStyle w:val="Ref"/>
      </w:pPr>
      <w:r>
        <w:t xml:space="preserve">Gao, Y., Lee, D., Burtch, G., &amp; Fazelpour, S. (2025). Take caution in using LLMs as human surrogates. Proceedings of the National Academy of Sciences, 122(24), e2501660122. https://doi.org/10.1073/pnas.2501660122</w:t>
      </w:r>
    </w:p>
    <w:p>
      <w:pPr>
        <w:pStyle w:val="Ref"/>
      </w:pPr>
      <w:r>
        <w:t xml:space="preserve">Hofmann, V., Kalluri, P. R., Jurafsky, D., &amp; King, S. (2024). AI generates covertly racist decisions about people based on their dialect. Nature, 633(8028), 147-154. https://doi.org/10.1038/s41586-024-07856-5</w:t>
      </w:r>
    </w:p>
    <w:p>
      <w:pPr>
        <w:pStyle w:val="Ref"/>
      </w:pPr>
      <w:r>
        <w:t xml:space="preserve">Inglehart, R., &amp; Welzel, C. (2005). Modernization, cultural change, and democracy: The human development sequence. Cambridge University Press. https://doi.org/10.1017/CBO9780511790881</w:t>
      </w:r>
    </w:p>
    <w:p>
      <w:pPr>
        <w:pStyle w:val="Ref"/>
      </w:pPr>
      <w:r>
        <w:t xml:space="preserve">Kamruzzaman, M., &amp; Kim, G. L. (2024). Exploring changes in nation perception with nationality-assigned personas in LLMs. arXiv preprint arXiv:2406.13993. https://doi.org/10.48550/arXiv.2406.13993</w:t>
      </w:r>
    </w:p>
    <w:p>
      <w:pPr>
        <w:pStyle w:val="Ref"/>
      </w:pPr>
      <w:r>
        <w:t xml:space="preserve">Keeter, S., Hatley, N., Kennedy, C., &amp; Lau, A. (2017). What low response rates mean for telephone surveys. Pew Research Center. https://www.pewresearch.org/methods/2017/05/15/what-low-response-rates-mean-for-telephone-surveys/</w:t>
      </w:r>
    </w:p>
    <w:p>
      <w:pPr>
        <w:pStyle w:val="Ref"/>
      </w:pPr>
      <w:r>
        <w:t xml:space="preserve">King, G. (1997). A solution to the ecological inference problem: Reconstructing individual behavior from aggregate data. Princeton University Press. https://doi.org/10.1515/9781400849208</w:t>
      </w:r>
    </w:p>
    <w:p>
      <w:pPr>
        <w:pStyle w:val="Ref"/>
      </w:pPr>
      <w:r>
        <w:t xml:space="preserve">King, G., Murray, C. J. L., Salomon, J. A., &amp; Tandon, A. (2004). Enhancing the validity and cross-cultural comparability of measurement in survey research. American Political Science Review, 98(1), 191-207. https://doi.org/10.1017/S000305540400108X</w:t>
      </w:r>
    </w:p>
    <w:p>
      <w:pPr>
        <w:pStyle w:val="Ref"/>
      </w:pPr>
      <w:r>
        <w:t xml:space="preserve">Kozlowski, A. C., &amp; Evans, J. (2025). Simulating subjects: The promise and peril of artificial intelligence stand-ins for social agents and interactions. Sociological Methods &amp; Research, 54(3), 1017–1073. https://doi.org/10.1177/00491241251337316</w:t>
      </w:r>
    </w:p>
    <w:p>
      <w:pPr>
        <w:pStyle w:val="Ref"/>
      </w:pPr>
      <w:r>
        <w:t xml:space="preserve">Li, D., Li, L., &amp; Qiu, H. S. (2025). ChatGPT is not a man but Das Man: Representativeness and structural consistency of silicon samples generated by large language models. arXiv preprint arXiv:2507.02919. https://doi.org/10.48550/arXiv.2507.02919</w:t>
      </w:r>
    </w:p>
    <w:p>
      <w:pPr>
        <w:pStyle w:val="Ref"/>
      </w:pPr>
      <w:r>
        <w:t xml:space="preserve">Lu, J. G., Song, L. L., &amp; Zhang, L. D. (2025). Cultural tendencies in generative AI. Nature Human Behaviour, 9, 2360-2369. https://doi.org/10.1038/s41562-025-02242-1</w:t>
      </w:r>
    </w:p>
    <w:p>
      <w:pPr>
        <w:pStyle w:val="Ref"/>
      </w:pPr>
      <w:r>
        <w:t xml:space="preserve">Miranda, F., &amp; Balbi, P. P. (2025). Simulating public opinion: Comparing distributional and individual-level predictions from LLMs and random forests. Entropy, 27(9), 923. https://doi.org/10.3390/e27090923</w:t>
      </w:r>
    </w:p>
    <w:p>
      <w:pPr>
        <w:pStyle w:val="Ref"/>
      </w:pPr>
      <w:r>
        <w:t xml:space="preserve">Naous, T., Ryan, M. J., Ritter, A., &amp; Xu, W. (2024). Having beer after prayer? Measuring cultural bias in large language models. In Proceedings of the 62nd Annual Meeting of the Association for Computational Linguistics (Vol. 1, pp. 16366–16393). Association for Computational Linguistics. https://doi.org/10.18653/v1/2024.acl-long.862</w:t>
      </w:r>
    </w:p>
    <w:p>
      <w:pPr>
        <w:pStyle w:val="Ref"/>
      </w:pPr>
      <w:r>
        <w:t xml:space="preserve">Narayanan Venkit, P., Gautam, S., Panchanadikar, R., Huang, T.-H. K., &amp; Wilson, S. (2023). Nationality bias in text generation. In Proceedings of the 17th Conference of the European Chapter of the Association for Computational Linguistics (pp. 116–122). Association for Computational Linguistics. https://doi.org/10.18653/v1/2023.eacl-main.9</w:t>
      </w:r>
    </w:p>
    <w:p>
      <w:pPr>
        <w:pStyle w:val="Ref"/>
      </w:pPr>
      <w:r>
        <w:t xml:space="preserve">Norris, P. (2011). Democratic deficit: Critical citizens revisited.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Proceedings of the 63rd Annual Meeting of the Association for Computational Linguistics (Vol. 1, pp. 2092–2111). ACL. https://doi.org/10.18653/v1/2025.acl-long.104</w:t>
      </w:r>
    </w:p>
    <w:p>
      <w:pPr>
        <w:pStyle w:val="Ref"/>
      </w:pPr>
      <w:r>
        <w:t xml:space="preserve">Park, J. S., Zou, C. Q., Kamphorst, J., Egan, N., Shaw, A., Hill, B. M., Cai, C., Morris, M. R., Liang, P., Willer, R., &amp; Bernstein, M. S. (2024). LLM agents grounded in self-reports enable general-purpose simulation of individuals.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Proceedings of the National Academy of Sciences, 122(48), e2519394122. https://doi.org/10.1073/pnas.2519394122</w:t>
      </w:r>
    </w:p>
    <w:p>
      <w:pPr>
        <w:pStyle w:val="Ref"/>
      </w:pPr>
      <w:r>
        <w:t xml:space="preserve">Qu, Y., &amp; Wang, J. (2024). Performance and biases of large language models in public opinion simulation. Humanities and Social Sciences Communications, 11, 1095. https://doi.org/10.1057/s41599-024-03609-x</w:t>
      </w:r>
    </w:p>
    <w:p>
      <w:pPr>
        <w:pStyle w:val="Ref"/>
      </w:pPr>
      <w:r>
        <w:t xml:space="preserve">Robinson, W. S. (1950). Ecological correlations and the behavior of individuals. American Sociological Review, 15(3),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Proceedings of the 62nd Annual Meeting of the Association for Computational Linguistics (Vol. 1, pp. 15295–15311). Association for Computational Linguistics. https://doi.org/10.18653/v1/2024.acl-long.816</w:t>
      </w:r>
    </w:p>
    <w:p>
      <w:pPr>
        <w:pStyle w:val="Ref"/>
      </w:pPr>
      <w:r>
        <w:t xml:space="preserve">Santurkar, S., Durmus, E., Ladhak, F., Lee, C., Liang, P., &amp; Hashimoto, T. (2023). Whose opinions do language models reflect? In Proceedings of the 40th International Conference on Machine Learning (ICML) (pp. 29971-30004). PMLR. https://proceedings.mlr.press/v202/santurkar23a.html</w:t>
      </w:r>
    </w:p>
    <w:p>
      <w:pPr>
        <w:pStyle w:val="Ref"/>
      </w:pPr>
      <w:r>
        <w:t xml:space="preserve">Sun, H., Pei, J., Choi, M., &amp; Jurgens, D. (2025). Sociodemographic prompting is not yet an effective approach for simulating subjective judgments with LLMs. In Proceedings of the 2025 Conference of the Nations of the Americas Chapter of the Association for Computational Linguistics: Human Language Technologies (Vol. 2, pp. 845-854). ACL. https://doi.org/10.18653/v1/2025.naacl-short.71</w:t>
      </w:r>
    </w:p>
    <w:p>
      <w:pPr>
        <w:pStyle w:val="Ref"/>
      </w:pPr>
      <w:r>
        <w:t xml:space="preserve">Tao, Y., Viberg, O., Baker, R. S., &amp; Kizilcec, R. F. (2024). Cultural bias and cultural alignment of large language models. PNAS Nexus, 3(9), pgae346. https://doi.org/10.1093/pnasnexus/pgae346</w:t>
      </w:r>
    </w:p>
    <w:p>
      <w:pPr>
        <w:pStyle w:val="Ref"/>
      </w:pPr>
      <w:r>
        <w:t xml:space="preserve">Terracciano, A., Abdel-Khalek, A. M., Ádám, N., Adamovová, L., Ahn, C. K., Ahn, H. N., et al. (2005). National character does not reflect mean personality trait levels in 49 cultures. Science, 310(5745), 96–100. https://doi.org/10.1126/science.1117199</w:t>
      </w:r>
    </w:p>
    <w:p>
      <w:pPr>
        <w:pStyle w:val="Ref"/>
      </w:pPr>
      <w:r>
        <w:t xml:space="preserve">Wang, A., Morgenstern, J., &amp; Dickerson, J. P. (2025). Large language models that replace human participants can harmfully misportray and flatten identity groups. Nature Machine Intelligence, 7(3), 400-411. https://doi.org/10.1038/s42256-025-00986-z</w:t>
      </w:r>
    </w:p>
    <w:p>
      <w:pPr>
        <w:pStyle w:val="Ref"/>
      </w:pPr>
      <w:r>
        <w:t xml:space="preserve">Weijters, B., &amp; Baumgartner, H. (2012). Misresponse to reversed and negated items in surveys: A review. Journal of Marketing Research, 49(5), 737–747. https://doi.org/10.1509/jmr.11.0368</w:t>
      </w:r>
    </w:p>
    <w:p>
      <w:pPr>
        <w:pStyle w:val="Ref"/>
      </w:pPr>
      <w:r>
        <w:t xml:space="preserve">Westwood, S. J. (2025). The potential existential threat of large language models to online survey research. Proceedings of the National Academy of Sciences, 122(47), e2518075122. https://doi.org/10.1073/pnas.2518075122</w:t>
      </w:r>
    </w:p>
    <w:p>
      <w:pPr>
        <w:pStyle w:val="Ref"/>
      </w:pPr>
      <w:r>
        <w:t xml:space="preserve">Williams, T., Weeber, F., Padó, S., &amp; Akbik, A. (2026). Beyond marginal distributions: A framework to evaluate the representativeness of demographic-aligned LLMs. In Findings of the Association for Computational Linguistics: ACL 2026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Proceedings of the National Academy of Sciences, 123(19), e2538145123. https://doi.org/10.1073/pnas.2538145123</w:t>
      </w:r>
    </w:p>
    <w:p>
      <w:pPr>
        <w:pStyle w:val="Ref"/>
      </w:pPr>
      <w:r>
        <w:t xml:space="preserve">Zheng, C., Zhou, H., Meng, F., Zhou, J., &amp; Huang, M. (2024). Large language models are not robust multiple choice selectors. In The Twelfth International Conference on Learning Representations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268"/>
        <w:gridCol w:w="2268"/>
        <w:gridCol w:w="2268"/>
        <w:gridCol w:w="2268"/>
      </w:tblGrid>
      <w:tr>
        <w:tc>
          <w:tcPr>
            <w:tcW w:w="2268" w:type="dxa"/>
            <w:tcBorders>
              <w:bottom w:val="single" w:sz="8" w:space="0" w:color="000000"/>
            </w:tcBorders>
          </w:tcPr>
          <w:p>
            <w:pPr>
              <w:pStyle w:val="Cell"/>
            </w:pPr>
            <w:r>
              <w:rPr>
                <w:b/>
              </w:rPr>
              <w:t xml:space="preserve">Variable</w:t>
            </w:r>
          </w:p>
        </w:tc>
        <w:tc>
          <w:tcPr>
            <w:tcW w:w="2268" w:type="dxa"/>
            <w:tcBorders>
              <w:bottom w:val="single" w:sz="8" w:space="0" w:color="000000"/>
            </w:tcBorders>
          </w:tcPr>
          <w:p>
            <w:pPr>
              <w:pStyle w:val="Cell"/>
            </w:pPr>
            <w:r>
              <w:rPr>
                <w:b/>
              </w:rPr>
              <w:t xml:space="preserve">Question Text</w:t>
            </w:r>
          </w:p>
        </w:tc>
        <w:tc>
          <w:tcPr>
            <w:tcW w:w="2268" w:type="dxa"/>
            <w:tcBorders>
              <w:bottom w:val="single" w:sz="8" w:space="0" w:color="000000"/>
            </w:tcBorders>
          </w:tcPr>
          <w:p>
            <w:pPr>
              <w:pStyle w:val="Cell"/>
            </w:pPr>
            <w:r>
              <w:rPr>
                <w:b/>
              </w:rPr>
              <w:t xml:space="preserve">Scale</w:t>
            </w:r>
          </w:p>
        </w:tc>
        <w:tc>
          <w:tcPr>
            <w:tcW w:w="2268" w:type="dxa"/>
            <w:tcBorders>
              <w:bottom w:val="single" w:sz="8" w:space="0" w:color="000000"/>
            </w:tcBorders>
          </w:tcPr>
          <w:p>
            <w:pPr>
              <w:pStyle w:val="Cell"/>
            </w:pPr>
            <w:r>
              <w:rPr>
                <w:b/>
              </w:rPr>
              <w:t xml:space="preserve">Domain</w:t>
            </w:r>
          </w:p>
        </w:tc>
      </w:tr>
      <w:tr>
        <w:tc>
          <w:tcPr>
            <w:tcW w:w="2268" w:type="dxa"/>
          </w:tcPr>
          <w:p>
            <w:pPr>
              <w:pStyle w:val="Cell"/>
            </w:pPr>
            <w:r>
              <w:t xml:space="preserve">health</w:t>
            </w:r>
          </w:p>
        </w:tc>
        <w:tc>
          <w:tcPr>
            <w:tcW w:w="2268" w:type="dxa"/>
          </w:tcPr>
          <w:p>
            <w:pPr>
              <w:pStyle w:val="Cell"/>
            </w:pPr>
            <w:r>
              <w:t xml:space="preserve">Subjective general health</w:t>
            </w:r>
          </w:p>
        </w:tc>
        <w:tc>
          <w:tcPr>
            <w:tcW w:w="2268" w:type="dxa"/>
          </w:tcPr>
          <w:p>
            <w:pPr>
              <w:pStyle w:val="Cell"/>
            </w:pPr>
            <w:r>
              <w:t xml:space="preserve">1-5</w:t>
            </w:r>
          </w:p>
        </w:tc>
        <w:tc>
          <w:tcPr>
            <w:tcW w:w="2268" w:type="dxa"/>
          </w:tcPr>
          <w:p>
            <w:pPr>
              <w:pStyle w:val="Cell"/>
            </w:pPr>
            <w:r>
              <w:t xml:space="preserve">Health</w:t>
            </w:r>
          </w:p>
        </w:tc>
      </w:tr>
      <w:tr>
        <w:tc>
          <w:tcPr>
            <w:tcW w:w="2268" w:type="dxa"/>
          </w:tcPr>
          <w:p>
            <w:pPr>
              <w:pStyle w:val="Cell"/>
            </w:pPr>
            <w:r>
              <w:t xml:space="preserve">imbgeco</w:t>
            </w:r>
          </w:p>
        </w:tc>
        <w:tc>
          <w:tcPr>
            <w:tcW w:w="2268" w:type="dxa"/>
          </w:tcPr>
          <w:p>
            <w:pPr>
              <w:pStyle w:val="Cell"/>
            </w:pPr>
            <w:r>
              <w:t xml:space="preserve">Immigration bad or good for country's economy</w:t>
            </w:r>
          </w:p>
        </w:tc>
        <w:tc>
          <w:tcPr>
            <w:tcW w:w="2268" w:type="dxa"/>
          </w:tcPr>
          <w:p>
            <w:pPr>
              <w:pStyle w:val="Cell"/>
            </w:pPr>
            <w:r>
              <w:t xml:space="preserve">0-10</w:t>
            </w:r>
          </w:p>
        </w:tc>
        <w:tc>
          <w:tcPr>
            <w:tcW w:w="2268" w:type="dxa"/>
          </w:tcPr>
          <w:p>
            <w:pPr>
              <w:pStyle w:val="Cell"/>
            </w:pPr>
            <w:r>
              <w:t xml:space="preserve">Immigration Attitudes</w:t>
            </w:r>
          </w:p>
        </w:tc>
      </w:tr>
      <w:tr>
        <w:tc>
          <w:tcPr>
            <w:tcW w:w="2268" w:type="dxa"/>
          </w:tcPr>
          <w:p>
            <w:pPr>
              <w:pStyle w:val="Cell"/>
            </w:pPr>
            <w:r>
              <w:t xml:space="preserve">imdfetn</w:t>
            </w:r>
          </w:p>
        </w:tc>
        <w:tc>
          <w:tcPr>
            <w:tcW w:w="2268" w:type="dxa"/>
          </w:tcPr>
          <w:p>
            <w:pPr>
              <w:pStyle w:val="Cell"/>
            </w:pPr>
            <w:r>
              <w:t xml:space="preserve">Allow many/few immigrants of different race/ethnic group from majority</w:t>
            </w:r>
          </w:p>
        </w:tc>
        <w:tc>
          <w:tcPr>
            <w:tcW w:w="2268" w:type="dxa"/>
          </w:tcPr>
          <w:p>
            <w:pPr>
              <w:pStyle w:val="Cell"/>
            </w:pPr>
            <w:r>
              <w:t xml:space="preserve">1-4</w:t>
            </w:r>
          </w:p>
        </w:tc>
        <w:tc>
          <w:tcPr>
            <w:tcW w:w="2268" w:type="dxa"/>
          </w:tcPr>
          <w:p>
            <w:pPr>
              <w:pStyle w:val="Cell"/>
            </w:pPr>
            <w:r>
              <w:t xml:space="preserve">Immigration Attitudes</w:t>
            </w:r>
          </w:p>
        </w:tc>
      </w:tr>
      <w:tr>
        <w:tc>
          <w:tcPr>
            <w:tcW w:w="2268" w:type="dxa"/>
          </w:tcPr>
          <w:p>
            <w:pPr>
              <w:pStyle w:val="Cell"/>
            </w:pPr>
            <w:r>
              <w:t xml:space="preserve">impcntr</w:t>
            </w:r>
          </w:p>
        </w:tc>
        <w:tc>
          <w:tcPr>
            <w:tcW w:w="2268" w:type="dxa"/>
          </w:tcPr>
          <w:p>
            <w:pPr>
              <w:pStyle w:val="Cell"/>
            </w:pPr>
            <w:r>
              <w:t xml:space="preserve">Allow many/few immigrants from poorer countries outside Europe</w:t>
            </w:r>
          </w:p>
        </w:tc>
        <w:tc>
          <w:tcPr>
            <w:tcW w:w="2268" w:type="dxa"/>
          </w:tcPr>
          <w:p>
            <w:pPr>
              <w:pStyle w:val="Cell"/>
            </w:pPr>
            <w:r>
              <w:t xml:space="preserve">1-4</w:t>
            </w:r>
          </w:p>
        </w:tc>
        <w:tc>
          <w:tcPr>
            <w:tcW w:w="2268" w:type="dxa"/>
          </w:tcPr>
          <w:p>
            <w:pPr>
              <w:pStyle w:val="Cell"/>
            </w:pPr>
            <w:r>
              <w:t xml:space="preserve">Immigration Attitudes</w:t>
            </w:r>
          </w:p>
        </w:tc>
      </w:tr>
      <w:tr>
        <w:tc>
          <w:tcPr>
            <w:tcW w:w="2268" w:type="dxa"/>
          </w:tcPr>
          <w:p>
            <w:pPr>
              <w:pStyle w:val="Cell"/>
            </w:pPr>
            <w:r>
              <w:t xml:space="preserve">imsmetn</w:t>
            </w:r>
          </w:p>
        </w:tc>
        <w:tc>
          <w:tcPr>
            <w:tcW w:w="2268" w:type="dxa"/>
          </w:tcPr>
          <w:p>
            <w:pPr>
              <w:pStyle w:val="Cell"/>
            </w:pPr>
            <w:r>
              <w:t xml:space="preserve">Allow many/few immigrants of same race/ethnic group as majority</w:t>
            </w:r>
          </w:p>
        </w:tc>
        <w:tc>
          <w:tcPr>
            <w:tcW w:w="2268" w:type="dxa"/>
          </w:tcPr>
          <w:p>
            <w:pPr>
              <w:pStyle w:val="Cell"/>
            </w:pPr>
            <w:r>
              <w:t xml:space="preserve">1-4</w:t>
            </w:r>
          </w:p>
        </w:tc>
        <w:tc>
          <w:tcPr>
            <w:tcW w:w="2268" w:type="dxa"/>
          </w:tcPr>
          <w:p>
            <w:pPr>
              <w:pStyle w:val="Cell"/>
            </w:pPr>
            <w:r>
              <w:t xml:space="preserve">Immigration Attitudes</w:t>
            </w:r>
          </w:p>
        </w:tc>
      </w:tr>
      <w:tr>
        <w:tc>
          <w:tcPr>
            <w:tcW w:w="2268" w:type="dxa"/>
          </w:tcPr>
          <w:p>
            <w:pPr>
              <w:pStyle w:val="Cell"/>
            </w:pPr>
            <w:r>
              <w:t xml:space="preserve">imueclt</w:t>
            </w:r>
          </w:p>
        </w:tc>
        <w:tc>
          <w:tcPr>
            <w:tcW w:w="2268" w:type="dxa"/>
          </w:tcPr>
          <w:p>
            <w:pPr>
              <w:pStyle w:val="Cell"/>
            </w:pPr>
            <w:r>
              <w:t xml:space="preserve">Country's cultural life undermined or enriched by immigrants</w:t>
            </w:r>
          </w:p>
        </w:tc>
        <w:tc>
          <w:tcPr>
            <w:tcW w:w="2268" w:type="dxa"/>
          </w:tcPr>
          <w:p>
            <w:pPr>
              <w:pStyle w:val="Cell"/>
            </w:pPr>
            <w:r>
              <w:t xml:space="preserve">0-10</w:t>
            </w:r>
          </w:p>
        </w:tc>
        <w:tc>
          <w:tcPr>
            <w:tcW w:w="2268" w:type="dxa"/>
          </w:tcPr>
          <w:p>
            <w:pPr>
              <w:pStyle w:val="Cell"/>
            </w:pPr>
            <w:r>
              <w:t xml:space="preserve">Immigration Attitudes</w:t>
            </w:r>
          </w:p>
        </w:tc>
      </w:tr>
      <w:tr>
        <w:tc>
          <w:tcPr>
            <w:tcW w:w="2268" w:type="dxa"/>
          </w:tcPr>
          <w:p>
            <w:pPr>
              <w:pStyle w:val="Cell"/>
            </w:pPr>
            <w:r>
              <w:t xml:space="preserve">imwbcnt</w:t>
            </w:r>
          </w:p>
        </w:tc>
        <w:tc>
          <w:tcPr>
            <w:tcW w:w="2268" w:type="dxa"/>
          </w:tcPr>
          <w:p>
            <w:pPr>
              <w:pStyle w:val="Cell"/>
            </w:pPr>
            <w:r>
              <w:t xml:space="preserve">Immigrants make country worse or better place to live</w:t>
            </w:r>
          </w:p>
        </w:tc>
        <w:tc>
          <w:tcPr>
            <w:tcW w:w="2268" w:type="dxa"/>
          </w:tcPr>
          <w:p>
            <w:pPr>
              <w:pStyle w:val="Cell"/>
            </w:pPr>
            <w:r>
              <w:t xml:space="preserve">0-10</w:t>
            </w:r>
          </w:p>
        </w:tc>
        <w:tc>
          <w:tcPr>
            <w:tcW w:w="2268" w:type="dxa"/>
          </w:tcPr>
          <w:p>
            <w:pPr>
              <w:pStyle w:val="Cell"/>
            </w:pPr>
            <w:r>
              <w:t xml:space="preserve">Immigration Attitudes</w:t>
            </w:r>
          </w:p>
        </w:tc>
      </w:tr>
      <w:tr>
        <w:tc>
          <w:tcPr>
            <w:tcW w:w="2268" w:type="dxa"/>
          </w:tcPr>
          <w:p>
            <w:pPr>
              <w:pStyle w:val="Cell"/>
            </w:pPr>
            <w:r>
              <w:t xml:space="preserve">hincfel</w:t>
            </w:r>
          </w:p>
        </w:tc>
        <w:tc>
          <w:tcPr>
            <w:tcW w:w="2268" w:type="dxa"/>
          </w:tcPr>
          <w:p>
            <w:pPr>
              <w:pStyle w:val="Cell"/>
            </w:pPr>
            <w:r>
              <w:t xml:space="preserve">Feeling about household's income nowadays</w:t>
            </w:r>
          </w:p>
        </w:tc>
        <w:tc>
          <w:tcPr>
            <w:tcW w:w="2268" w:type="dxa"/>
          </w:tcPr>
          <w:p>
            <w:pPr>
              <w:pStyle w:val="Cell"/>
            </w:pPr>
            <w:r>
              <w:t xml:space="preserve">1-4</w:t>
            </w:r>
          </w:p>
        </w:tc>
        <w:tc>
          <w:tcPr>
            <w:tcW w:w="2268" w:type="dxa"/>
          </w:tcPr>
          <w:p>
            <w:pPr>
              <w:pStyle w:val="Cell"/>
            </w:pPr>
            <w:r>
              <w:t xml:space="preserve">Income</w:t>
            </w:r>
          </w:p>
        </w:tc>
      </w:tr>
      <w:tr>
        <w:tc>
          <w:tcPr>
            <w:tcW w:w="2268" w:type="dxa"/>
          </w:tcPr>
          <w:p>
            <w:pPr>
              <w:pStyle w:val="Cell"/>
            </w:pPr>
            <w:r>
              <w:t xml:space="preserve">trstep</w:t>
            </w:r>
          </w:p>
        </w:tc>
        <w:tc>
          <w:tcPr>
            <w:tcW w:w="2268" w:type="dxa"/>
          </w:tcPr>
          <w:p>
            <w:pPr>
              <w:pStyle w:val="Cell"/>
            </w:pPr>
            <w:r>
              <w:t xml:space="preserve">Trust in the European Parliament</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trstlgl</w:t>
            </w:r>
          </w:p>
        </w:tc>
        <w:tc>
          <w:tcPr>
            <w:tcW w:w="2268" w:type="dxa"/>
          </w:tcPr>
          <w:p>
            <w:pPr>
              <w:pStyle w:val="Cell"/>
            </w:pPr>
            <w:r>
              <w:t xml:space="preserve">Trust in the legal system</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trstplc</w:t>
            </w:r>
          </w:p>
        </w:tc>
        <w:tc>
          <w:tcPr>
            <w:tcW w:w="2268" w:type="dxa"/>
          </w:tcPr>
          <w:p>
            <w:pPr>
              <w:pStyle w:val="Cell"/>
            </w:pPr>
            <w:r>
              <w:t xml:space="preserve">Trust in the police</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trstplt</w:t>
            </w:r>
          </w:p>
        </w:tc>
        <w:tc>
          <w:tcPr>
            <w:tcW w:w="2268" w:type="dxa"/>
          </w:tcPr>
          <w:p>
            <w:pPr>
              <w:pStyle w:val="Cell"/>
            </w:pPr>
            <w:r>
              <w:t xml:space="preserve">Trust in politicians</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trstprl</w:t>
            </w:r>
          </w:p>
        </w:tc>
        <w:tc>
          <w:tcPr>
            <w:tcW w:w="2268" w:type="dxa"/>
          </w:tcPr>
          <w:p>
            <w:pPr>
              <w:pStyle w:val="Cell"/>
            </w:pPr>
            <w:r>
              <w:t xml:space="preserve">Trust in country's parliament</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trstprt</w:t>
            </w:r>
          </w:p>
        </w:tc>
        <w:tc>
          <w:tcPr>
            <w:tcW w:w="2268" w:type="dxa"/>
          </w:tcPr>
          <w:p>
            <w:pPr>
              <w:pStyle w:val="Cell"/>
            </w:pPr>
            <w:r>
              <w:t xml:space="preserve">Trust in political parties</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trstun</w:t>
            </w:r>
          </w:p>
        </w:tc>
        <w:tc>
          <w:tcPr>
            <w:tcW w:w="2268" w:type="dxa"/>
          </w:tcPr>
          <w:p>
            <w:pPr>
              <w:pStyle w:val="Cell"/>
            </w:pPr>
            <w:r>
              <w:t xml:space="preserve">Trust in the United Nations</w:t>
            </w:r>
          </w:p>
        </w:tc>
        <w:tc>
          <w:tcPr>
            <w:tcW w:w="2268" w:type="dxa"/>
          </w:tcPr>
          <w:p>
            <w:pPr>
              <w:pStyle w:val="Cell"/>
            </w:pPr>
            <w:r>
              <w:t xml:space="preserve">0-10</w:t>
            </w:r>
          </w:p>
        </w:tc>
        <w:tc>
          <w:tcPr>
            <w:tcW w:w="2268" w:type="dxa"/>
          </w:tcPr>
          <w:p>
            <w:pPr>
              <w:pStyle w:val="Cell"/>
            </w:pPr>
            <w:r>
              <w:t xml:space="preserve">Institutional Trust</w:t>
            </w:r>
          </w:p>
        </w:tc>
      </w:tr>
      <w:tr>
        <w:tc>
          <w:tcPr>
            <w:tcW w:w="2268" w:type="dxa"/>
          </w:tcPr>
          <w:p>
            <w:pPr>
              <w:pStyle w:val="Cell"/>
            </w:pPr>
            <w:r>
              <w:t xml:space="preserve">atchctr</w:t>
            </w:r>
          </w:p>
        </w:tc>
        <w:tc>
          <w:tcPr>
            <w:tcW w:w="2268" w:type="dxa"/>
          </w:tcPr>
          <w:p>
            <w:pPr>
              <w:pStyle w:val="Cell"/>
            </w:pPr>
            <w:r>
              <w:t xml:space="preserve">How emotionally attached to country</w:t>
            </w:r>
          </w:p>
        </w:tc>
        <w:tc>
          <w:tcPr>
            <w:tcW w:w="2268" w:type="dxa"/>
          </w:tcPr>
          <w:p>
            <w:pPr>
              <w:pStyle w:val="Cell"/>
            </w:pPr>
            <w:r>
              <w:t xml:space="preserve">0-10</w:t>
            </w:r>
          </w:p>
        </w:tc>
        <w:tc>
          <w:tcPr>
            <w:tcW w:w="2268" w:type="dxa"/>
          </w:tcPr>
          <w:p>
            <w:pPr>
              <w:pStyle w:val="Cell"/>
            </w:pPr>
            <w:r>
              <w:t xml:space="preserve">National Attachment</w:t>
            </w:r>
          </w:p>
        </w:tc>
      </w:tr>
      <w:tr>
        <w:tc>
          <w:tcPr>
            <w:tcW w:w="2268" w:type="dxa"/>
          </w:tcPr>
          <w:p>
            <w:pPr>
              <w:pStyle w:val="Cell"/>
            </w:pPr>
            <w:r>
              <w:t xml:space="preserve">atcherp</w:t>
            </w:r>
          </w:p>
        </w:tc>
        <w:tc>
          <w:tcPr>
            <w:tcW w:w="2268" w:type="dxa"/>
          </w:tcPr>
          <w:p>
            <w:pPr>
              <w:pStyle w:val="Cell"/>
            </w:pPr>
            <w:r>
              <w:t xml:space="preserve">How emotionally attached to Europe</w:t>
            </w:r>
          </w:p>
        </w:tc>
        <w:tc>
          <w:tcPr>
            <w:tcW w:w="2268" w:type="dxa"/>
          </w:tcPr>
          <w:p>
            <w:pPr>
              <w:pStyle w:val="Cell"/>
            </w:pPr>
            <w:r>
              <w:t xml:space="preserve">0-10</w:t>
            </w:r>
          </w:p>
        </w:tc>
        <w:tc>
          <w:tcPr>
            <w:tcW w:w="2268" w:type="dxa"/>
          </w:tcPr>
          <w:p>
            <w:pPr>
              <w:pStyle w:val="Cell"/>
            </w:pPr>
            <w:r>
              <w:t xml:space="preserve">National Attachment</w:t>
            </w:r>
          </w:p>
        </w:tc>
      </w:tr>
      <w:tr>
        <w:tc>
          <w:tcPr>
            <w:tcW w:w="2268" w:type="dxa"/>
          </w:tcPr>
          <w:p>
            <w:pPr>
              <w:pStyle w:val="Cell"/>
            </w:pPr>
            <w:r>
              <w:t xml:space="preserve">polintr</w:t>
            </w:r>
          </w:p>
        </w:tc>
        <w:tc>
          <w:tcPr>
            <w:tcW w:w="2268" w:type="dxa"/>
          </w:tcPr>
          <w:p>
            <w:pPr>
              <w:pStyle w:val="Cell"/>
            </w:pPr>
            <w:r>
              <w:t xml:space="preserve">How interested in politics</w:t>
            </w:r>
          </w:p>
        </w:tc>
        <w:tc>
          <w:tcPr>
            <w:tcW w:w="2268" w:type="dxa"/>
          </w:tcPr>
          <w:p>
            <w:pPr>
              <w:pStyle w:val="Cell"/>
            </w:pPr>
            <w:r>
              <w:t xml:space="preserve">1-4</w:t>
            </w:r>
          </w:p>
        </w:tc>
        <w:tc>
          <w:tcPr>
            <w:tcW w:w="2268" w:type="dxa"/>
          </w:tcPr>
          <w:p>
            <w:pPr>
              <w:pStyle w:val="Cell"/>
            </w:pPr>
            <w:r>
              <w:t xml:space="preserve">Political Attitudes</w:t>
            </w:r>
          </w:p>
        </w:tc>
      </w:tr>
      <w:tr>
        <w:tc>
          <w:tcPr>
            <w:tcW w:w="2268" w:type="dxa"/>
          </w:tcPr>
          <w:p>
            <w:pPr>
              <w:pStyle w:val="Cell"/>
            </w:pPr>
            <w:r>
              <w:t xml:space="preserve">psppipla</w:t>
            </w:r>
          </w:p>
        </w:tc>
        <w:tc>
          <w:tcPr>
            <w:tcW w:w="2268" w:type="dxa"/>
          </w:tcPr>
          <w:p>
            <w:pPr>
              <w:pStyle w:val="Cell"/>
            </w:pPr>
            <w:r>
              <w:t xml:space="preserve">Political system allows people to have influence on politics</w:t>
            </w:r>
          </w:p>
        </w:tc>
        <w:tc>
          <w:tcPr>
            <w:tcW w:w="2268" w:type="dxa"/>
          </w:tcPr>
          <w:p>
            <w:pPr>
              <w:pStyle w:val="Cell"/>
            </w:pPr>
            <w:r>
              <w:t xml:space="preserve">1-5</w:t>
            </w:r>
          </w:p>
        </w:tc>
        <w:tc>
          <w:tcPr>
            <w:tcW w:w="2268" w:type="dxa"/>
          </w:tcPr>
          <w:p>
            <w:pPr>
              <w:pStyle w:val="Cell"/>
            </w:pPr>
            <w:r>
              <w:t xml:space="preserve">Political Attitudes</w:t>
            </w:r>
          </w:p>
        </w:tc>
      </w:tr>
      <w:tr>
        <w:tc>
          <w:tcPr>
            <w:tcW w:w="2268" w:type="dxa"/>
          </w:tcPr>
          <w:p>
            <w:pPr>
              <w:pStyle w:val="Cell"/>
            </w:pPr>
            <w:r>
              <w:t xml:space="preserve">psppsgva</w:t>
            </w:r>
          </w:p>
        </w:tc>
        <w:tc>
          <w:tcPr>
            <w:tcW w:w="2268" w:type="dxa"/>
          </w:tcPr>
          <w:p>
            <w:pPr>
              <w:pStyle w:val="Cell"/>
            </w:pPr>
            <w:r>
              <w:t xml:space="preserve">Political system allows people to have a say in what government does</w:t>
            </w:r>
          </w:p>
        </w:tc>
        <w:tc>
          <w:tcPr>
            <w:tcW w:w="2268" w:type="dxa"/>
          </w:tcPr>
          <w:p>
            <w:pPr>
              <w:pStyle w:val="Cell"/>
            </w:pPr>
            <w:r>
              <w:t xml:space="preserve">1-5</w:t>
            </w:r>
          </w:p>
        </w:tc>
        <w:tc>
          <w:tcPr>
            <w:tcW w:w="2268" w:type="dxa"/>
          </w:tcPr>
          <w:p>
            <w:pPr>
              <w:pStyle w:val="Cell"/>
            </w:pPr>
            <w:r>
              <w:t xml:space="preserve">Political Attitudes</w:t>
            </w:r>
          </w:p>
        </w:tc>
      </w:tr>
      <w:tr>
        <w:tc>
          <w:tcPr>
            <w:tcW w:w="2268" w:type="dxa"/>
          </w:tcPr>
          <w:p>
            <w:pPr>
              <w:pStyle w:val="Cell"/>
            </w:pPr>
            <w:r>
              <w:t xml:space="preserve">stfdem</w:t>
            </w:r>
          </w:p>
        </w:tc>
        <w:tc>
          <w:tcPr>
            <w:tcW w:w="2268" w:type="dxa"/>
          </w:tcPr>
          <w:p>
            <w:pPr>
              <w:pStyle w:val="Cell"/>
            </w:pPr>
            <w:r>
              <w:t xml:space="preserve">How satisfied with the way democracy works in country</w:t>
            </w:r>
          </w:p>
        </w:tc>
        <w:tc>
          <w:tcPr>
            <w:tcW w:w="2268" w:type="dxa"/>
          </w:tcPr>
          <w:p>
            <w:pPr>
              <w:pStyle w:val="Cell"/>
            </w:pPr>
            <w:r>
              <w:t xml:space="preserve">0-10</w:t>
            </w:r>
          </w:p>
        </w:tc>
        <w:tc>
          <w:tcPr>
            <w:tcW w:w="2268" w:type="dxa"/>
          </w:tcPr>
          <w:p>
            <w:pPr>
              <w:pStyle w:val="Cell"/>
            </w:pPr>
            <w:r>
              <w:t xml:space="preserve">Political Attitudes</w:t>
            </w:r>
          </w:p>
        </w:tc>
      </w:tr>
      <w:tr>
        <w:tc>
          <w:tcPr>
            <w:tcW w:w="2268" w:type="dxa"/>
          </w:tcPr>
          <w:p>
            <w:pPr>
              <w:pStyle w:val="Cell"/>
            </w:pPr>
            <w:r>
              <w:t xml:space="preserve">vote</w:t>
            </w:r>
          </w:p>
        </w:tc>
        <w:tc>
          <w:tcPr>
            <w:tcW w:w="2268" w:type="dxa"/>
          </w:tcPr>
          <w:p>
            <w:pPr>
              <w:pStyle w:val="Cell"/>
            </w:pPr>
            <w:r>
              <w:t xml:space="preserve">Voted last national election</w:t>
            </w:r>
          </w:p>
        </w:tc>
        <w:tc>
          <w:tcPr>
            <w:tcW w:w="2268" w:type="dxa"/>
          </w:tcPr>
          <w:p>
            <w:pPr>
              <w:pStyle w:val="Cell"/>
            </w:pPr>
            <w:r>
              <w:t xml:space="preserve">1-3</w:t>
            </w:r>
          </w:p>
        </w:tc>
        <w:tc>
          <w:tcPr>
            <w:tcW w:w="2268" w:type="dxa"/>
          </w:tcPr>
          <w:p>
            <w:pPr>
              <w:pStyle w:val="Cell"/>
            </w:pPr>
            <w:r>
              <w:t xml:space="preserve">Political Attitudes</w:t>
            </w:r>
          </w:p>
        </w:tc>
      </w:tr>
      <w:tr>
        <w:tc>
          <w:tcPr>
            <w:tcW w:w="2268" w:type="dxa"/>
          </w:tcPr>
          <w:p>
            <w:pPr>
              <w:pStyle w:val="Cell"/>
            </w:pPr>
            <w:r>
              <w:t xml:space="preserve">actrolga</w:t>
            </w:r>
          </w:p>
        </w:tc>
        <w:tc>
          <w:tcPr>
            <w:tcW w:w="2268" w:type="dxa"/>
          </w:tcPr>
          <w:p>
            <w:pPr>
              <w:pStyle w:val="Cell"/>
            </w:pPr>
            <w:r>
              <w:t xml:space="preserve">Able to take active role in political group</w:t>
            </w:r>
          </w:p>
        </w:tc>
        <w:tc>
          <w:tcPr>
            <w:tcW w:w="2268" w:type="dxa"/>
          </w:tcPr>
          <w:p>
            <w:pPr>
              <w:pStyle w:val="Cell"/>
            </w:pPr>
            <w:r>
              <w:t xml:space="preserve">1-5</w:t>
            </w:r>
          </w:p>
        </w:tc>
        <w:tc>
          <w:tcPr>
            <w:tcW w:w="2268" w:type="dxa"/>
          </w:tcPr>
          <w:p>
            <w:pPr>
              <w:pStyle w:val="Cell"/>
            </w:pPr>
            <w:r>
              <w:t xml:space="preserve">Political Efficacy</w:t>
            </w:r>
          </w:p>
        </w:tc>
      </w:tr>
      <w:tr>
        <w:tc>
          <w:tcPr>
            <w:tcW w:w="2268" w:type="dxa"/>
          </w:tcPr>
          <w:p>
            <w:pPr>
              <w:pStyle w:val="Cell"/>
            </w:pPr>
            <w:r>
              <w:t xml:space="preserve">cptppola</w:t>
            </w:r>
          </w:p>
        </w:tc>
        <w:tc>
          <w:tcPr>
            <w:tcW w:w="2268" w:type="dxa"/>
          </w:tcPr>
          <w:p>
            <w:pPr>
              <w:pStyle w:val="Cell"/>
            </w:pPr>
            <w:r>
              <w:t xml:space="preserve">Confident in own ability to participate in politics</w:t>
            </w:r>
          </w:p>
        </w:tc>
        <w:tc>
          <w:tcPr>
            <w:tcW w:w="2268" w:type="dxa"/>
          </w:tcPr>
          <w:p>
            <w:pPr>
              <w:pStyle w:val="Cell"/>
            </w:pPr>
            <w:r>
              <w:t xml:space="preserve">1-5</w:t>
            </w:r>
          </w:p>
        </w:tc>
        <w:tc>
          <w:tcPr>
            <w:tcW w:w="2268" w:type="dxa"/>
          </w:tcPr>
          <w:p>
            <w:pPr>
              <w:pStyle w:val="Cell"/>
            </w:pPr>
            <w:r>
              <w:t xml:space="preserve">Political Efficacy</w:t>
            </w:r>
          </w:p>
        </w:tc>
      </w:tr>
      <w:tr>
        <w:tc>
          <w:tcPr>
            <w:tcW w:w="2268" w:type="dxa"/>
          </w:tcPr>
          <w:p>
            <w:pPr>
              <w:pStyle w:val="Cell"/>
            </w:pPr>
            <w:r>
              <w:t xml:space="preserve">rlgatnd</w:t>
            </w:r>
          </w:p>
        </w:tc>
        <w:tc>
          <w:tcPr>
            <w:tcW w:w="2268" w:type="dxa"/>
          </w:tcPr>
          <w:p>
            <w:pPr>
              <w:pStyle w:val="Cell"/>
            </w:pPr>
            <w:r>
              <w:t xml:space="preserve">How often attend religious services apart from special occasions</w:t>
            </w:r>
          </w:p>
        </w:tc>
        <w:tc>
          <w:tcPr>
            <w:tcW w:w="2268" w:type="dxa"/>
          </w:tcPr>
          <w:p>
            <w:pPr>
              <w:pStyle w:val="Cell"/>
            </w:pPr>
            <w:r>
              <w:t xml:space="preserve">1-7</w:t>
            </w:r>
          </w:p>
        </w:tc>
        <w:tc>
          <w:tcPr>
            <w:tcW w:w="2268" w:type="dxa"/>
          </w:tcPr>
          <w:p>
            <w:pPr>
              <w:pStyle w:val="Cell"/>
            </w:pPr>
            <w:r>
              <w:t xml:space="preserve">Religion</w:t>
            </w:r>
          </w:p>
        </w:tc>
      </w:tr>
      <w:tr>
        <w:tc>
          <w:tcPr>
            <w:tcW w:w="2268" w:type="dxa"/>
          </w:tcPr>
          <w:p>
            <w:pPr>
              <w:pStyle w:val="Cell"/>
            </w:pPr>
            <w:r>
              <w:t xml:space="preserve">aesfdrk</w:t>
            </w:r>
          </w:p>
        </w:tc>
        <w:tc>
          <w:tcPr>
            <w:tcW w:w="2268" w:type="dxa"/>
          </w:tcPr>
          <w:p>
            <w:pPr>
              <w:pStyle w:val="Cell"/>
            </w:pPr>
            <w:r>
              <w:t xml:space="preserve">Feeling of safety of walking alone in local area after dark</w:t>
            </w:r>
          </w:p>
        </w:tc>
        <w:tc>
          <w:tcPr>
            <w:tcW w:w="2268" w:type="dxa"/>
          </w:tcPr>
          <w:p>
            <w:pPr>
              <w:pStyle w:val="Cell"/>
            </w:pPr>
            <w:r>
              <w:t xml:space="preserve">1-4</w:t>
            </w:r>
          </w:p>
        </w:tc>
        <w:tc>
          <w:tcPr>
            <w:tcW w:w="2268" w:type="dxa"/>
          </w:tcPr>
          <w:p>
            <w:pPr>
              <w:pStyle w:val="Cell"/>
            </w:pPr>
            <w:r>
              <w:t xml:space="preserve">Safety</w:t>
            </w:r>
          </w:p>
        </w:tc>
      </w:tr>
      <w:tr>
        <w:tc>
          <w:tcPr>
            <w:tcW w:w="2268" w:type="dxa"/>
          </w:tcPr>
          <w:p>
            <w:pPr>
              <w:pStyle w:val="Cell"/>
            </w:pPr>
            <w:r>
              <w:t xml:space="preserve">inprdsc</w:t>
            </w:r>
          </w:p>
        </w:tc>
        <w:tc>
          <w:tcPr>
            <w:tcW w:w="2268" w:type="dxa"/>
          </w:tcPr>
          <w:p>
            <w:pPr>
              <w:pStyle w:val="Cell"/>
            </w:pPr>
            <w:r>
              <w:t xml:space="preserve">How many people with whom you can discuss intimate and personal matters</w:t>
            </w:r>
          </w:p>
        </w:tc>
        <w:tc>
          <w:tcPr>
            <w:tcW w:w="2268" w:type="dxa"/>
          </w:tcPr>
          <w:p>
            <w:pPr>
              <w:pStyle w:val="Cell"/>
            </w:pPr>
            <w:r>
              <w:t xml:space="preserve">0-6</w:t>
            </w:r>
          </w:p>
        </w:tc>
        <w:tc>
          <w:tcPr>
            <w:tcW w:w="2268" w:type="dxa"/>
          </w:tcPr>
          <w:p>
            <w:pPr>
              <w:pStyle w:val="Cell"/>
            </w:pPr>
            <w:r>
              <w:t xml:space="preserve">Social Trust</w:t>
            </w:r>
          </w:p>
        </w:tc>
      </w:tr>
      <w:tr>
        <w:tc>
          <w:tcPr>
            <w:tcW w:w="2268" w:type="dxa"/>
          </w:tcPr>
          <w:p>
            <w:pPr>
              <w:pStyle w:val="Cell"/>
            </w:pPr>
            <w:r>
              <w:t xml:space="preserve">pplfair</w:t>
            </w:r>
          </w:p>
        </w:tc>
        <w:tc>
          <w:tcPr>
            <w:tcW w:w="2268" w:type="dxa"/>
          </w:tcPr>
          <w:p>
            <w:pPr>
              <w:pStyle w:val="Cell"/>
            </w:pPr>
            <w:r>
              <w:t xml:space="preserve">Most people try to take advantage of you, or try to be fair</w:t>
            </w:r>
          </w:p>
        </w:tc>
        <w:tc>
          <w:tcPr>
            <w:tcW w:w="2268" w:type="dxa"/>
          </w:tcPr>
          <w:p>
            <w:pPr>
              <w:pStyle w:val="Cell"/>
            </w:pPr>
            <w:r>
              <w:t xml:space="preserve">0-10</w:t>
            </w:r>
          </w:p>
        </w:tc>
        <w:tc>
          <w:tcPr>
            <w:tcW w:w="2268" w:type="dxa"/>
          </w:tcPr>
          <w:p>
            <w:pPr>
              <w:pStyle w:val="Cell"/>
            </w:pPr>
            <w:r>
              <w:t xml:space="preserve">Social Trust</w:t>
            </w:r>
          </w:p>
        </w:tc>
      </w:tr>
      <w:tr>
        <w:tc>
          <w:tcPr>
            <w:tcW w:w="2268" w:type="dxa"/>
          </w:tcPr>
          <w:p>
            <w:pPr>
              <w:pStyle w:val="Cell"/>
            </w:pPr>
            <w:r>
              <w:t xml:space="preserve">pplhlp</w:t>
            </w:r>
          </w:p>
        </w:tc>
        <w:tc>
          <w:tcPr>
            <w:tcW w:w="2268" w:type="dxa"/>
          </w:tcPr>
          <w:p>
            <w:pPr>
              <w:pStyle w:val="Cell"/>
            </w:pPr>
            <w:r>
              <w:t xml:space="preserve">Most of the time people are helpful or mostly looking out for themselves</w:t>
            </w:r>
          </w:p>
        </w:tc>
        <w:tc>
          <w:tcPr>
            <w:tcW w:w="2268" w:type="dxa"/>
          </w:tcPr>
          <w:p>
            <w:pPr>
              <w:pStyle w:val="Cell"/>
            </w:pPr>
            <w:r>
              <w:t xml:space="preserve">0-10</w:t>
            </w:r>
          </w:p>
        </w:tc>
        <w:tc>
          <w:tcPr>
            <w:tcW w:w="2268" w:type="dxa"/>
          </w:tcPr>
          <w:p>
            <w:pPr>
              <w:pStyle w:val="Cell"/>
            </w:pPr>
            <w:r>
              <w:t xml:space="preserve">Social Trust</w:t>
            </w:r>
          </w:p>
        </w:tc>
      </w:tr>
      <w:tr>
        <w:tc>
          <w:tcPr>
            <w:tcW w:w="2268" w:type="dxa"/>
          </w:tcPr>
          <w:p>
            <w:pPr>
              <w:pStyle w:val="Cell"/>
            </w:pPr>
            <w:r>
              <w:t xml:space="preserve">ppltrst</w:t>
            </w:r>
          </w:p>
        </w:tc>
        <w:tc>
          <w:tcPr>
            <w:tcW w:w="2268" w:type="dxa"/>
          </w:tcPr>
          <w:p>
            <w:pPr>
              <w:pStyle w:val="Cell"/>
            </w:pPr>
            <w:r>
              <w:t xml:space="preserve">Most people can be trusted, or you can't be too careful</w:t>
            </w:r>
          </w:p>
        </w:tc>
        <w:tc>
          <w:tcPr>
            <w:tcW w:w="2268" w:type="dxa"/>
          </w:tcPr>
          <w:p>
            <w:pPr>
              <w:pStyle w:val="Cell"/>
            </w:pPr>
            <w:r>
              <w:t xml:space="preserve">0-10</w:t>
            </w:r>
          </w:p>
        </w:tc>
        <w:tc>
          <w:tcPr>
            <w:tcW w:w="2268" w:type="dxa"/>
          </w:tcPr>
          <w:p>
            <w:pPr>
              <w:pStyle w:val="Cell"/>
            </w:pPr>
            <w:r>
              <w:t xml:space="preserve">Social Trust</w:t>
            </w:r>
          </w:p>
        </w:tc>
      </w:tr>
      <w:tr>
        <w:tc>
          <w:tcPr>
            <w:tcW w:w="2268" w:type="dxa"/>
          </w:tcPr>
          <w:p>
            <w:pPr>
              <w:pStyle w:val="Cell"/>
            </w:pPr>
            <w:r>
              <w:t xml:space="preserve">sclmeet</w:t>
            </w:r>
          </w:p>
        </w:tc>
        <w:tc>
          <w:tcPr>
            <w:tcW w:w="2268" w:type="dxa"/>
          </w:tcPr>
          <w:p>
            <w:pPr>
              <w:pStyle w:val="Cell"/>
            </w:pPr>
            <w:r>
              <w:t xml:space="preserve">How often socially meet with friends, relatives or colleagues</w:t>
            </w:r>
          </w:p>
        </w:tc>
        <w:tc>
          <w:tcPr>
            <w:tcW w:w="2268" w:type="dxa"/>
          </w:tcPr>
          <w:p>
            <w:pPr>
              <w:pStyle w:val="Cell"/>
            </w:pPr>
            <w:r>
              <w:t xml:space="preserve">1-7</w:t>
            </w:r>
          </w:p>
        </w:tc>
        <w:tc>
          <w:tcPr>
            <w:tcW w:w="2268" w:type="dxa"/>
          </w:tcPr>
          <w:p>
            <w:pPr>
              <w:pStyle w:val="Cell"/>
            </w:pPr>
            <w:r>
              <w:t xml:space="preserve">Social Trust</w:t>
            </w:r>
          </w:p>
        </w:tc>
      </w:tr>
      <w:tr>
        <w:tc>
          <w:tcPr>
            <w:tcW w:w="2268" w:type="dxa"/>
          </w:tcPr>
          <w:p>
            <w:pPr>
              <w:pStyle w:val="Cell"/>
            </w:pPr>
            <w:r>
              <w:t xml:space="preserve">euftf</w:t>
            </w:r>
          </w:p>
        </w:tc>
        <w:tc>
          <w:tcPr>
            <w:tcW w:w="2268" w:type="dxa"/>
          </w:tcPr>
          <w:p>
            <w:pPr>
              <w:pStyle w:val="Cell"/>
            </w:pPr>
            <w:r>
              <w:t xml:space="preserve">European unification go further or gone too far</w:t>
            </w:r>
          </w:p>
        </w:tc>
        <w:tc>
          <w:tcPr>
            <w:tcW w:w="2268" w:type="dxa"/>
          </w:tcPr>
          <w:p>
            <w:pPr>
              <w:pStyle w:val="Cell"/>
            </w:pPr>
            <w:r>
              <w:t xml:space="preserve">0-10</w:t>
            </w:r>
          </w:p>
        </w:tc>
        <w:tc>
          <w:tcPr>
            <w:tcW w:w="2268" w:type="dxa"/>
          </w:tcPr>
          <w:p>
            <w:pPr>
              <w:pStyle w:val="Cell"/>
            </w:pPr>
            <w:r>
              <w:t xml:space="preserve">Social Values</w:t>
            </w:r>
          </w:p>
        </w:tc>
      </w:tr>
      <w:tr>
        <w:tc>
          <w:tcPr>
            <w:tcW w:w="2268" w:type="dxa"/>
          </w:tcPr>
          <w:p>
            <w:pPr>
              <w:pStyle w:val="Cell"/>
            </w:pPr>
            <w:r>
              <w:t xml:space="preserve">freehms</w:t>
            </w:r>
          </w:p>
        </w:tc>
        <w:tc>
          <w:tcPr>
            <w:tcW w:w="2268" w:type="dxa"/>
          </w:tcPr>
          <w:p>
            <w:pPr>
              <w:pStyle w:val="Cell"/>
            </w:pPr>
            <w:r>
              <w:t xml:space="preserve">Gay men and lesbians free to live life as they wish</w:t>
            </w:r>
          </w:p>
        </w:tc>
        <w:tc>
          <w:tcPr>
            <w:tcW w:w="2268" w:type="dxa"/>
          </w:tcPr>
          <w:p>
            <w:pPr>
              <w:pStyle w:val="Cell"/>
            </w:pPr>
            <w:r>
              <w:t xml:space="preserve">1-5</w:t>
            </w:r>
          </w:p>
        </w:tc>
        <w:tc>
          <w:tcPr>
            <w:tcW w:w="2268" w:type="dxa"/>
          </w:tcPr>
          <w:p>
            <w:pPr>
              <w:pStyle w:val="Cell"/>
            </w:pPr>
            <w:r>
              <w:t xml:space="preserve">Social Values</w:t>
            </w:r>
          </w:p>
        </w:tc>
      </w:tr>
      <w:tr>
        <w:tc>
          <w:tcPr>
            <w:tcW w:w="2268" w:type="dxa"/>
          </w:tcPr>
          <w:p>
            <w:pPr>
              <w:pStyle w:val="Cell"/>
            </w:pPr>
            <w:r>
              <w:t xml:space="preserve">gincdif</w:t>
            </w:r>
          </w:p>
        </w:tc>
        <w:tc>
          <w:tcPr>
            <w:tcW w:w="2268" w:type="dxa"/>
          </w:tcPr>
          <w:p>
            <w:pPr>
              <w:pStyle w:val="Cell"/>
            </w:pPr>
            <w:r>
              <w:t xml:space="preserve">Government should reduce differences in income levels</w:t>
            </w:r>
          </w:p>
        </w:tc>
        <w:tc>
          <w:tcPr>
            <w:tcW w:w="2268" w:type="dxa"/>
          </w:tcPr>
          <w:p>
            <w:pPr>
              <w:pStyle w:val="Cell"/>
            </w:pPr>
            <w:r>
              <w:t xml:space="preserve">1-5</w:t>
            </w:r>
          </w:p>
        </w:tc>
        <w:tc>
          <w:tcPr>
            <w:tcW w:w="2268" w:type="dxa"/>
          </w:tcPr>
          <w:p>
            <w:pPr>
              <w:pStyle w:val="Cell"/>
            </w:pPr>
            <w:r>
              <w:t xml:space="preserve">Social Values</w:t>
            </w:r>
          </w:p>
        </w:tc>
      </w:tr>
      <w:tr>
        <w:tc>
          <w:tcPr>
            <w:tcW w:w="2268" w:type="dxa"/>
          </w:tcPr>
          <w:p>
            <w:pPr>
              <w:pStyle w:val="Cell"/>
            </w:pPr>
            <w:r>
              <w:t xml:space="preserve">hmsacld</w:t>
            </w:r>
          </w:p>
        </w:tc>
        <w:tc>
          <w:tcPr>
            <w:tcW w:w="2268" w:type="dxa"/>
          </w:tcPr>
          <w:p>
            <w:pPr>
              <w:pStyle w:val="Cell"/>
            </w:pPr>
            <w:r>
              <w:t xml:space="preserve">Gay male and lesbian couples should have right to adopt children</w:t>
            </w:r>
          </w:p>
        </w:tc>
        <w:tc>
          <w:tcPr>
            <w:tcW w:w="2268" w:type="dxa"/>
          </w:tcPr>
          <w:p>
            <w:pPr>
              <w:pStyle w:val="Cell"/>
            </w:pPr>
            <w:r>
              <w:t xml:space="preserve">1-5</w:t>
            </w:r>
          </w:p>
        </w:tc>
        <w:tc>
          <w:tcPr>
            <w:tcW w:w="2268" w:type="dxa"/>
          </w:tcPr>
          <w:p>
            <w:pPr>
              <w:pStyle w:val="Cell"/>
            </w:pPr>
            <w:r>
              <w:t xml:space="preserve">Social Values</w:t>
            </w:r>
          </w:p>
        </w:tc>
      </w:tr>
      <w:tr>
        <w:tc>
          <w:tcPr>
            <w:tcW w:w="2268" w:type="dxa"/>
          </w:tcPr>
          <w:p>
            <w:pPr>
              <w:pStyle w:val="Cell"/>
            </w:pPr>
            <w:r>
              <w:t xml:space="preserve">hmsfmlsh</w:t>
            </w:r>
          </w:p>
        </w:tc>
        <w:tc>
          <w:tcPr>
            <w:tcW w:w="2268" w:type="dxa"/>
          </w:tcPr>
          <w:p>
            <w:pPr>
              <w:pStyle w:val="Cell"/>
            </w:pPr>
            <w:r>
              <w:t xml:space="preserve">Ashamed if close family member is gay or lesbian</w:t>
            </w:r>
          </w:p>
        </w:tc>
        <w:tc>
          <w:tcPr>
            <w:tcW w:w="2268" w:type="dxa"/>
          </w:tcPr>
          <w:p>
            <w:pPr>
              <w:pStyle w:val="Cell"/>
            </w:pPr>
            <w:r>
              <w:t xml:space="preserve">1-5</w:t>
            </w:r>
          </w:p>
        </w:tc>
        <w:tc>
          <w:tcPr>
            <w:tcW w:w="2268" w:type="dxa"/>
          </w:tcPr>
          <w:p>
            <w:pPr>
              <w:pStyle w:val="Cell"/>
            </w:pPr>
            <w:r>
              <w:t xml:space="preserve">Social Values</w:t>
            </w:r>
          </w:p>
        </w:tc>
      </w:tr>
      <w:tr>
        <w:tc>
          <w:tcPr>
            <w:tcW w:w="2268" w:type="dxa"/>
          </w:tcPr>
          <w:p>
            <w:pPr>
              <w:pStyle w:val="Cell"/>
            </w:pPr>
            <w:r>
              <w:t xml:space="preserve">happy</w:t>
            </w:r>
          </w:p>
        </w:tc>
        <w:tc>
          <w:tcPr>
            <w:tcW w:w="2268" w:type="dxa"/>
          </w:tcPr>
          <w:p>
            <w:pPr>
              <w:pStyle w:val="Cell"/>
            </w:pPr>
            <w:r>
              <w:t xml:space="preserve">How happy are you</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stfeco</w:t>
            </w:r>
          </w:p>
        </w:tc>
        <w:tc>
          <w:tcPr>
            <w:tcW w:w="2268" w:type="dxa"/>
          </w:tcPr>
          <w:p>
            <w:pPr>
              <w:pStyle w:val="Cell"/>
            </w:pPr>
            <w:r>
              <w:t xml:space="preserve">How satisfied with present state of economy in country</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stfedu</w:t>
            </w:r>
          </w:p>
        </w:tc>
        <w:tc>
          <w:tcPr>
            <w:tcW w:w="2268" w:type="dxa"/>
          </w:tcPr>
          <w:p>
            <w:pPr>
              <w:pStyle w:val="Cell"/>
            </w:pPr>
            <w:r>
              <w:t xml:space="preserve">State of education in country nowadays</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stfgov</w:t>
            </w:r>
          </w:p>
        </w:tc>
        <w:tc>
          <w:tcPr>
            <w:tcW w:w="2268" w:type="dxa"/>
          </w:tcPr>
          <w:p>
            <w:pPr>
              <w:pStyle w:val="Cell"/>
            </w:pPr>
            <w:r>
              <w:t xml:space="preserve">How satisfied with the national government</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stfhlth</w:t>
            </w:r>
          </w:p>
        </w:tc>
        <w:tc>
          <w:tcPr>
            <w:tcW w:w="2268" w:type="dxa"/>
          </w:tcPr>
          <w:p>
            <w:pPr>
              <w:pStyle w:val="Cell"/>
            </w:pPr>
            <w:r>
              <w:t xml:space="preserve">State of health services in country nowadays</w:t>
            </w:r>
          </w:p>
        </w:tc>
        <w:tc>
          <w:tcPr>
            <w:tcW w:w="2268" w:type="dxa"/>
          </w:tcPr>
          <w:p>
            <w:pPr>
              <w:pStyle w:val="Cell"/>
            </w:pPr>
            <w:r>
              <w:t xml:space="preserve">0-10</w:t>
            </w:r>
          </w:p>
        </w:tc>
        <w:tc>
          <w:tcPr>
            <w:tcW w:w="2268" w:type="dxa"/>
          </w:tcPr>
          <w:p>
            <w:pPr>
              <w:pStyle w:val="Cell"/>
            </w:pPr>
            <w:r>
              <w:t xml:space="preserve">Subjective Well-being</w:t>
            </w:r>
          </w:p>
        </w:tc>
      </w:tr>
      <w:tr>
        <w:tc>
          <w:tcPr>
            <w:tcW w:w="2268" w:type="dxa"/>
          </w:tcPr>
          <w:p>
            <w:pPr>
              <w:pStyle w:val="Cell"/>
            </w:pPr>
            <w:r>
              <w:t xml:space="preserve">stflife</w:t>
            </w:r>
          </w:p>
        </w:tc>
        <w:tc>
          <w:tcPr>
            <w:tcW w:w="2268" w:type="dxa"/>
          </w:tcPr>
          <w:p>
            <w:pPr>
              <w:pStyle w:val="Cell"/>
            </w:pPr>
            <w:r>
              <w:t xml:space="preserve">How satisfied with life as a whole</w:t>
            </w:r>
          </w:p>
        </w:tc>
        <w:tc>
          <w:tcPr>
            <w:tcW w:w="2268" w:type="dxa"/>
          </w:tcPr>
          <w:p>
            <w:pPr>
              <w:pStyle w:val="Cell"/>
            </w:pPr>
            <w:r>
              <w:t xml:space="preserve">0-10</w:t>
            </w:r>
          </w:p>
        </w:tc>
        <w:tc>
          <w:tcPr>
            <w:tcW w:w="2268"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814"/>
        <w:gridCol w:w="1814"/>
        <w:gridCol w:w="1814"/>
        <w:gridCol w:w="1814"/>
        <w:gridCol w:w="1814"/>
      </w:tblGrid>
      <w:tr>
        <w:tc>
          <w:tcPr>
            <w:tcW w:w="1814" w:type="dxa"/>
            <w:tcBorders>
              <w:bottom w:val="single" w:sz="8" w:space="0" w:color="000000"/>
            </w:tcBorders>
          </w:tcPr>
          <w:p>
            <w:pPr>
              <w:pStyle w:val="Cell"/>
            </w:pPr>
            <w:r>
              <w:rPr>
                <w:b/>
              </w:rPr>
              <w:t xml:space="preserve">Variable</w:t>
            </w:r>
          </w:p>
        </w:tc>
        <w:tc>
          <w:tcPr>
            <w:tcW w:w="1814" w:type="dxa"/>
            <w:tcBorders>
              <w:bottom w:val="single" w:sz="8" w:space="0" w:color="000000"/>
            </w:tcBorders>
          </w:tcPr>
          <w:p>
            <w:pPr>
              <w:pStyle w:val="Cell"/>
            </w:pPr>
            <w:r>
              <w:rPr>
                <w:b/>
              </w:rPr>
              <w:t xml:space="preserve">rind (leaked)</w:t>
            </w:r>
          </w:p>
        </w:tc>
        <w:tc>
          <w:tcPr>
            <w:tcW w:w="1814" w:type="dxa"/>
            <w:tcBorders>
              <w:bottom w:val="single" w:sz="8" w:space="0" w:color="000000"/>
            </w:tcBorders>
          </w:tcPr>
          <w:p>
            <w:pPr>
              <w:pStyle w:val="Cell"/>
            </w:pPr>
            <w:r>
              <w:rPr>
                <w:b/>
              </w:rPr>
              <w:t xml:space="preserve">rind (clean)</w:t>
            </w:r>
          </w:p>
        </w:tc>
        <w:tc>
          <w:tcPr>
            <w:tcW w:w="1814" w:type="dxa"/>
            <w:tcBorders>
              <w:bottom w:val="single" w:sz="8" w:space="0" w:color="000000"/>
            </w:tcBorders>
          </w:tcPr>
          <w:p>
            <w:pPr>
              <w:pStyle w:val="Cell"/>
            </w:pPr>
            <w:r>
              <w:rPr>
                <w:b/>
              </w:rPr>
              <w:t xml:space="preserve">Difference</w:t>
            </w:r>
          </w:p>
        </w:tc>
        <w:tc>
          <w:tcPr>
            <w:tcW w:w="1814" w:type="dxa"/>
            <w:tcBorders>
              <w:bottom w:val="single" w:sz="8" w:space="0" w:color="000000"/>
            </w:tcBorders>
          </w:tcPr>
          <w:p>
            <w:pPr>
              <w:pStyle w:val="Cell"/>
            </w:pPr>
            <w:r>
              <w:rPr>
                <w:b/>
              </w:rPr>
              <w:t xml:space="preserve">Interpretation</w:t>
            </w:r>
          </w:p>
        </w:tc>
      </w:tr>
      <w:tr>
        <w:tc>
          <w:tcPr>
            <w:tcW w:w="1814" w:type="dxa"/>
          </w:tcPr>
          <w:p>
            <w:pPr>
              <w:pStyle w:val="Cell"/>
            </w:pPr>
            <w:r>
              <w:t xml:space="preserve">inprdsc</w:t>
            </w:r>
          </w:p>
        </w:tc>
        <w:tc>
          <w:tcPr>
            <w:tcW w:w="1814" w:type="dxa"/>
          </w:tcPr>
          <w:p>
            <w:pPr>
              <w:pStyle w:val="Cell"/>
            </w:pPr>
            <w:r>
              <w:t xml:space="preserve">0.854</w:t>
            </w:r>
          </w:p>
        </w:tc>
        <w:tc>
          <w:tcPr>
            <w:tcW w:w="1814" w:type="dxa"/>
          </w:tcPr>
          <w:p>
            <w:pPr>
              <w:pStyle w:val="Cell"/>
            </w:pPr>
            <w:r>
              <w:t xml:space="preserve">0.038</w:t>
            </w:r>
          </w:p>
        </w:tc>
        <w:tc>
          <w:tcPr>
            <w:tcW w:w="1814" w:type="dxa"/>
          </w:tcPr>
          <w:p>
            <w:pPr>
              <w:pStyle w:val="Cell"/>
            </w:pPr>
            <w:r>
              <w:t xml:space="preserve">−0.817</w:t>
            </w:r>
          </w:p>
        </w:tc>
        <w:tc>
          <w:tcPr>
            <w:tcW w:w="1814" w:type="dxa"/>
          </w:tcPr>
          <w:p>
            <w:pPr>
              <w:pStyle w:val="Cell"/>
            </w:pPr>
            <w:r>
              <w:t xml:space="preserve">Echo removed</w:t>
            </w:r>
          </w:p>
        </w:tc>
      </w:tr>
      <w:tr>
        <w:tc>
          <w:tcPr>
            <w:tcW w:w="1814" w:type="dxa"/>
          </w:tcPr>
          <w:p>
            <w:pPr>
              <w:pStyle w:val="Cell"/>
            </w:pPr>
            <w:r>
              <w:t xml:space="preserve">sclmeet</w:t>
            </w:r>
          </w:p>
        </w:tc>
        <w:tc>
          <w:tcPr>
            <w:tcW w:w="1814" w:type="dxa"/>
          </w:tcPr>
          <w:p>
            <w:pPr>
              <w:pStyle w:val="Cell"/>
            </w:pPr>
            <w:r>
              <w:t xml:space="preserve">0.291</w:t>
            </w:r>
          </w:p>
        </w:tc>
        <w:tc>
          <w:tcPr>
            <w:tcW w:w="1814" w:type="dxa"/>
          </w:tcPr>
          <w:p>
            <w:pPr>
              <w:pStyle w:val="Cell"/>
            </w:pPr>
            <w:r>
              <w:t xml:space="preserve">0.035</w:t>
            </w:r>
          </w:p>
        </w:tc>
        <w:tc>
          <w:tcPr>
            <w:tcW w:w="1814" w:type="dxa"/>
          </w:tcPr>
          <w:p>
            <w:pPr>
              <w:pStyle w:val="Cell"/>
            </w:pPr>
            <w:r>
              <w:t xml:space="preserve">−0.256</w:t>
            </w:r>
          </w:p>
        </w:tc>
        <w:tc>
          <w:tcPr>
            <w:tcW w:w="1814" w:type="dxa"/>
          </w:tcPr>
          <w:p>
            <w:pPr>
              <w:pStyle w:val="Cell"/>
            </w:pPr>
            <w:r>
              <w:t xml:space="preserve">Echo removed</w:t>
            </w:r>
          </w:p>
        </w:tc>
      </w:tr>
      <w:tr>
        <w:tc>
          <w:tcPr>
            <w:tcW w:w="1814" w:type="dxa"/>
          </w:tcPr>
          <w:p>
            <w:pPr>
              <w:pStyle w:val="Cell"/>
            </w:pPr>
            <w:r>
              <w:t xml:space="preserve">vote</w:t>
            </w:r>
          </w:p>
        </w:tc>
        <w:tc>
          <w:tcPr>
            <w:tcW w:w="1814" w:type="dxa"/>
          </w:tcPr>
          <w:p>
            <w:pPr>
              <w:pStyle w:val="Cell"/>
            </w:pPr>
            <w:r>
              <w:t xml:space="preserve">0.142</w:t>
            </w:r>
          </w:p>
        </w:tc>
        <w:tc>
          <w:tcPr>
            <w:tcW w:w="1814" w:type="dxa"/>
          </w:tcPr>
          <w:p>
            <w:pPr>
              <w:pStyle w:val="Cell"/>
            </w:pPr>
            <w:r>
              <w:t xml:space="preserve">−0.037</w:t>
            </w:r>
          </w:p>
        </w:tc>
        <w:tc>
          <w:tcPr>
            <w:tcW w:w="1814" w:type="dxa"/>
          </w:tcPr>
          <w:p>
            <w:pPr>
              <w:pStyle w:val="Cell"/>
            </w:pPr>
            <w:r>
              <w:t xml:space="preserve">−0.179</w:t>
            </w:r>
          </w:p>
        </w:tc>
        <w:tc>
          <w:tcPr>
            <w:tcW w:w="1814" w:type="dxa"/>
          </w:tcPr>
          <w:p>
            <w:pPr>
              <w:pStyle w:val="Cell"/>
            </w:pPr>
            <w:r>
              <w:t xml:space="preserve">Echo removed</w:t>
            </w:r>
          </w:p>
        </w:tc>
      </w:tr>
      <w:tr>
        <w:tc>
          <w:tcPr>
            <w:tcW w:w="1814" w:type="dxa"/>
          </w:tcPr>
          <w:p>
            <w:pPr>
              <w:pStyle w:val="Cell"/>
            </w:pPr>
            <w:r>
              <w:t xml:space="preserve">hincfel</w:t>
            </w:r>
          </w:p>
        </w:tc>
        <w:tc>
          <w:tcPr>
            <w:tcW w:w="1814" w:type="dxa"/>
          </w:tcPr>
          <w:p>
            <w:pPr>
              <w:pStyle w:val="Cell"/>
            </w:pPr>
            <w:r>
              <w:t xml:space="preserve">−0.184</w:t>
            </w:r>
          </w:p>
        </w:tc>
        <w:tc>
          <w:tcPr>
            <w:tcW w:w="1814" w:type="dxa"/>
          </w:tcPr>
          <w:p>
            <w:pPr>
              <w:pStyle w:val="Cell"/>
            </w:pPr>
            <w:r>
              <w:t xml:space="preserve">−0.164</w:t>
            </w:r>
          </w:p>
        </w:tc>
        <w:tc>
          <w:tcPr>
            <w:tcW w:w="1814" w:type="dxa"/>
          </w:tcPr>
          <w:p>
            <w:pPr>
              <w:pStyle w:val="Cell"/>
            </w:pPr>
            <w:r>
              <w:t xml:space="preserve">+0.020</w:t>
            </w:r>
          </w:p>
        </w:tc>
        <w:tc>
          <w:tcPr>
            <w:tcW w:w="1814" w:type="dxa"/>
          </w:tcPr>
          <w:p>
            <w:pPr>
              <w:pStyle w:val="Cell"/>
            </w:pPr>
            <w:r>
              <w:t xml:space="preserve">Attenuated</w:t>
            </w:r>
          </w:p>
        </w:tc>
      </w:tr>
      <w:tr>
        <w:tc>
          <w:tcPr>
            <w:tcW w:w="1814" w:type="dxa"/>
          </w:tcPr>
          <w:p>
            <w:pPr>
              <w:pStyle w:val="Cell"/>
            </w:pPr>
            <w:r>
              <w:t xml:space="preserve">health</w:t>
            </w:r>
          </w:p>
        </w:tc>
        <w:tc>
          <w:tcPr>
            <w:tcW w:w="1814" w:type="dxa"/>
          </w:tcPr>
          <w:p>
            <w:pPr>
              <w:pStyle w:val="Cell"/>
            </w:pPr>
            <w:r>
              <w:t xml:space="preserve">−0.327</w:t>
            </w:r>
          </w:p>
        </w:tc>
        <w:tc>
          <w:tcPr>
            <w:tcW w:w="1814" w:type="dxa"/>
          </w:tcPr>
          <w:p>
            <w:pPr>
              <w:pStyle w:val="Cell"/>
            </w:pPr>
            <w:r>
              <w:t xml:space="preserve">−0.093</w:t>
            </w:r>
          </w:p>
        </w:tc>
        <w:tc>
          <w:tcPr>
            <w:tcW w:w="1814" w:type="dxa"/>
          </w:tcPr>
          <w:p>
            <w:pPr>
              <w:pStyle w:val="Cell"/>
            </w:pPr>
            <w:r>
              <w:t xml:space="preserve">+0.234</w:t>
            </w:r>
          </w:p>
        </w:tc>
        <w:tc>
          <w:tcPr>
            <w:tcW w:w="1814" w:type="dxa"/>
          </w:tcPr>
          <w:p>
            <w:pPr>
              <w:pStyle w:val="Cell"/>
            </w:pPr>
            <w:r>
              <w:t xml:space="preserve">Attenuated</w:t>
            </w:r>
          </w:p>
        </w:tc>
      </w:tr>
      <w:tr>
        <w:tc>
          <w:tcPr>
            <w:tcW w:w="1814" w:type="dxa"/>
          </w:tcPr>
          <w:p>
            <w:pPr>
              <w:pStyle w:val="Cell"/>
            </w:pPr>
            <w:r>
              <w:t xml:space="preserve">rlgatnd</w:t>
            </w:r>
          </w:p>
        </w:tc>
        <w:tc>
          <w:tcPr>
            <w:tcW w:w="1814" w:type="dxa"/>
          </w:tcPr>
          <w:p>
            <w:pPr>
              <w:pStyle w:val="Cell"/>
            </w:pPr>
            <w:r>
              <w:t xml:space="preserve">−0.371</w:t>
            </w:r>
          </w:p>
        </w:tc>
        <w:tc>
          <w:tcPr>
            <w:tcW w:w="1814" w:type="dxa"/>
          </w:tcPr>
          <w:p>
            <w:pPr>
              <w:pStyle w:val="Cell"/>
            </w:pPr>
            <w:r>
              <w:t xml:space="preserve">0.014</w:t>
            </w:r>
          </w:p>
        </w:tc>
        <w:tc>
          <w:tcPr>
            <w:tcW w:w="1814" w:type="dxa"/>
          </w:tcPr>
          <w:p>
            <w:pPr>
              <w:pStyle w:val="Cell"/>
            </w:pPr>
            <w:r>
              <w:t xml:space="preserve">+0.385</w:t>
            </w:r>
          </w:p>
        </w:tc>
        <w:tc>
          <w:tcPr>
            <w:tcW w:w="1814" w:type="dxa"/>
          </w:tcPr>
          <w:p>
            <w:pPr>
              <w:pStyle w:val="Cell"/>
            </w:pPr>
            <w:r>
              <w:t xml:space="preserve">Attenuated</w:t>
            </w:r>
          </w:p>
        </w:tc>
      </w:tr>
      <w:tr>
        <w:tc>
          <w:tcPr>
            <w:tcW w:w="1814" w:type="dxa"/>
          </w:tcPr>
          <w:p>
            <w:pPr>
              <w:pStyle w:val="Cell"/>
            </w:pPr>
            <w:r>
              <w:t xml:space="preserve">polintr</w:t>
            </w:r>
          </w:p>
        </w:tc>
        <w:tc>
          <w:tcPr>
            <w:tcW w:w="1814" w:type="dxa"/>
          </w:tcPr>
          <w:p>
            <w:pPr>
              <w:pStyle w:val="Cell"/>
            </w:pPr>
            <w:r>
              <w:t xml:space="preserve">−0.265</w:t>
            </w:r>
          </w:p>
        </w:tc>
        <w:tc>
          <w:tcPr>
            <w:tcW w:w="1814" w:type="dxa"/>
          </w:tcPr>
          <w:p>
            <w:pPr>
              <w:pStyle w:val="Cell"/>
            </w:pPr>
            <w:r>
              <w:t xml:space="preserve">−0.092</w:t>
            </w:r>
          </w:p>
        </w:tc>
        <w:tc>
          <w:tcPr>
            <w:tcW w:w="1814" w:type="dxa"/>
          </w:tcPr>
          <w:p>
            <w:pPr>
              <w:pStyle w:val="Cell"/>
            </w:pPr>
            <w:r>
              <w:t xml:space="preserve">+0.173</w:t>
            </w:r>
          </w:p>
        </w:tc>
        <w:tc>
          <w:tcPr>
            <w:tcW w:w="1814"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w:t>
      </w:r>
      <w:r>
        <w:rPr>
          <w:i/>
        </w:rPr>
        <w:t>r</w:t>
      </w:r>
      <w:r>
        <w:rPr>
          <w:i/>
          <w:vertAlign w:val="subscript"/>
        </w:rPr>
        <w:t>ind</w:t>
      </w:r>
      <w:r>
        <w:t xml:space="preserve">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w:t>
      </w:r>
      <w:r>
        <w:rPr>
          <w:i/>
        </w:rPr>
        <w:t>r</w:t>
      </w:r>
      <w:r>
        <w:rPr>
          <w:i/>
          <w:vertAlign w:val="subscript"/>
        </w:rPr>
        <w:t>ind</w:t>
      </w:r>
      <w:r>
        <w:t xml:space="preserve">. Because pooling respondents combines within-country correspondence with between-country covariance, </w:t>
      </w:r>
      <w:r>
        <w:rPr>
          <w:i/>
        </w:rPr>
        <w:t>r</w:t>
      </w:r>
      <w:r>
        <w:rPr>
          <w:i/>
          <w:vertAlign w:val="subscript"/>
        </w:rPr>
        <w:t>ind</w:t>
      </w:r>
      <w:r>
        <w:t xml:space="preserve">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summarized by domain in Figure 3(a).</w:t>
      </w:r>
    </w:p>
    <w:p>
      <w:pPr>
        <w:pStyle w:val="Fig"/>
      </w:pPr>
      <w:r>
        <w:drawing>
          <wp:inline distT="0" distB="0" distL="0" distR="0">
            <wp:extent cx="5760720" cy="611110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11110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7317"/>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7317"/>
                    </a:xfrm>
                    <a:prstGeom prst="rect">
                      <a:avLst/>
                    </a:prstGeom>
                  </pic:spPr>
                </pic:pic>
              </a:graphicData>
            </a:graphic>
          </wp:inline>
        </w:drawing>
      </w:r>
    </w:p>
    <w:p>
      <w:pPr>
        <w:pStyle w:val="Caption"/>
      </w:pPr>
      <w:r>
        <w:t xml:space="preserve">Figure A2. Country-level scatter for two contrasting items under Qwen 1P.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OLS fits;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Figure 3(b) and Table A3 break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814"/>
        <w:gridCol w:w="1814"/>
        <w:gridCol w:w="1814"/>
        <w:gridCol w:w="1814"/>
        <w:gridCol w:w="1814"/>
      </w:tblGrid>
      <w:tr>
        <w:tc>
          <w:tcPr>
            <w:tcW w:w="1814" w:type="dxa"/>
            <w:tcBorders>
              <w:bottom w:val="single" w:sz="8" w:space="0" w:color="000000"/>
            </w:tcBorders>
          </w:tcPr>
          <w:p>
            <w:pPr>
              <w:pStyle w:val="Cell"/>
            </w:pPr>
            <w:r>
              <w:rPr>
                <w:b/>
              </w:rPr>
              <w:t xml:space="preserve">Domain</w:t>
            </w:r>
          </w:p>
        </w:tc>
        <w:tc>
          <w:tcPr>
            <w:tcW w:w="1814" w:type="dxa"/>
            <w:tcBorders>
              <w:bottom w:val="single" w:sz="8" w:space="0" w:color="000000"/>
            </w:tcBorders>
          </w:tcPr>
          <w:p>
            <w:pPr>
              <w:pStyle w:val="Cell"/>
            </w:pPr>
            <w:r>
              <w:rPr>
                <w:b/>
              </w:rPr>
              <w:t xml:space="preserve">Qwen 1P</w:t>
            </w:r>
          </w:p>
        </w:tc>
        <w:tc>
          <w:tcPr>
            <w:tcW w:w="1814" w:type="dxa"/>
            <w:tcBorders>
              <w:bottom w:val="single" w:sz="8" w:space="0" w:color="000000"/>
            </w:tcBorders>
          </w:tcPr>
          <w:p>
            <w:pPr>
              <w:pStyle w:val="Cell"/>
            </w:pPr>
            <w:r>
              <w:rPr>
                <w:b/>
              </w:rPr>
              <w:t xml:space="preserve">Qwen 3P</w:t>
            </w:r>
          </w:p>
        </w:tc>
        <w:tc>
          <w:tcPr>
            <w:tcW w:w="1814" w:type="dxa"/>
            <w:tcBorders>
              <w:bottom w:val="single" w:sz="8" w:space="0" w:color="000000"/>
            </w:tcBorders>
          </w:tcPr>
          <w:p>
            <w:pPr>
              <w:pStyle w:val="Cell"/>
            </w:pPr>
            <w:r>
              <w:rPr>
                <w:b/>
              </w:rPr>
              <w:t xml:space="preserve">Llama 1P</w:t>
            </w:r>
          </w:p>
        </w:tc>
        <w:tc>
          <w:tcPr>
            <w:tcW w:w="1814" w:type="dxa"/>
            <w:tcBorders>
              <w:bottom w:val="single" w:sz="8" w:space="0" w:color="000000"/>
            </w:tcBorders>
          </w:tcPr>
          <w:p>
            <w:pPr>
              <w:pStyle w:val="Cell"/>
            </w:pPr>
            <w:r>
              <w:rPr>
                <w:b/>
              </w:rPr>
              <w:t xml:space="preserve">Llama 3P</w:t>
            </w:r>
          </w:p>
        </w:tc>
      </w:tr>
      <w:tr>
        <w:tc>
          <w:tcPr>
            <w:tcW w:w="1814" w:type="dxa"/>
          </w:tcPr>
          <w:p>
            <w:pPr>
              <w:pStyle w:val="Cell"/>
            </w:pPr>
            <w:r>
              <w:t xml:space="preserve">National Attachment</w:t>
            </w:r>
          </w:p>
        </w:tc>
        <w:tc>
          <w:tcPr>
            <w:tcW w:w="1814" w:type="dxa"/>
          </w:tcPr>
          <w:p>
            <w:pPr>
              <w:pStyle w:val="Cell"/>
            </w:pPr>
            <w:r>
              <w:t xml:space="preserve">0.036</w:t>
            </w:r>
          </w:p>
        </w:tc>
        <w:tc>
          <w:tcPr>
            <w:tcW w:w="1814" w:type="dxa"/>
          </w:tcPr>
          <w:p>
            <w:pPr>
              <w:pStyle w:val="Cell"/>
            </w:pPr>
            <w:r>
              <w:t xml:space="preserve">0.103</w:t>
            </w:r>
          </w:p>
        </w:tc>
        <w:tc>
          <w:tcPr>
            <w:tcW w:w="1814" w:type="dxa"/>
          </w:tcPr>
          <w:p>
            <w:pPr>
              <w:pStyle w:val="Cell"/>
            </w:pPr>
            <w:r>
              <w:t xml:space="preserve">0.021</w:t>
            </w:r>
          </w:p>
        </w:tc>
        <w:tc>
          <w:tcPr>
            <w:tcW w:w="1814" w:type="dxa"/>
          </w:tcPr>
          <w:p>
            <w:pPr>
              <w:pStyle w:val="Cell"/>
            </w:pPr>
            <w:r>
              <w:t xml:space="preserve">0.006</w:t>
            </w:r>
          </w:p>
        </w:tc>
      </w:tr>
      <w:tr>
        <w:tc>
          <w:tcPr>
            <w:tcW w:w="1814" w:type="dxa"/>
          </w:tcPr>
          <w:p>
            <w:pPr>
              <w:pStyle w:val="Cell"/>
            </w:pPr>
            <w:r>
              <w:t xml:space="preserve">Political Efficacy</w:t>
            </w:r>
          </w:p>
        </w:tc>
        <w:tc>
          <w:tcPr>
            <w:tcW w:w="1814" w:type="dxa"/>
          </w:tcPr>
          <w:p>
            <w:pPr>
              <w:pStyle w:val="Cell"/>
            </w:pPr>
            <w:r>
              <w:t xml:space="preserve">0.088</w:t>
            </w:r>
          </w:p>
        </w:tc>
        <w:tc>
          <w:tcPr>
            <w:tcW w:w="1814" w:type="dxa"/>
          </w:tcPr>
          <w:p>
            <w:pPr>
              <w:pStyle w:val="Cell"/>
            </w:pPr>
            <w:r>
              <w:t xml:space="preserve">0.125</w:t>
            </w:r>
          </w:p>
        </w:tc>
        <w:tc>
          <w:tcPr>
            <w:tcW w:w="1814" w:type="dxa"/>
          </w:tcPr>
          <w:p>
            <w:pPr>
              <w:pStyle w:val="Cell"/>
            </w:pPr>
            <w:r>
              <w:t xml:space="preserve">0.027</w:t>
            </w:r>
          </w:p>
        </w:tc>
        <w:tc>
          <w:tcPr>
            <w:tcW w:w="1814" w:type="dxa"/>
          </w:tcPr>
          <w:p>
            <w:pPr>
              <w:pStyle w:val="Cell"/>
            </w:pPr>
            <w:r>
              <w:t xml:space="preserve">0.070</w:t>
            </w:r>
          </w:p>
        </w:tc>
      </w:tr>
      <w:tr>
        <w:tc>
          <w:tcPr>
            <w:tcW w:w="1814" w:type="dxa"/>
          </w:tcPr>
          <w:p>
            <w:pPr>
              <w:pStyle w:val="Cell"/>
            </w:pPr>
            <w:r>
              <w:t xml:space="preserve">Health</w:t>
            </w:r>
          </w:p>
        </w:tc>
        <w:tc>
          <w:tcPr>
            <w:tcW w:w="1814" w:type="dxa"/>
          </w:tcPr>
          <w:p>
            <w:pPr>
              <w:pStyle w:val="Cell"/>
            </w:pPr>
            <w:r>
              <w:t xml:space="preserve">-0.078</w:t>
            </w:r>
          </w:p>
        </w:tc>
        <w:tc>
          <w:tcPr>
            <w:tcW w:w="1814" w:type="dxa"/>
          </w:tcPr>
          <w:p>
            <w:pPr>
              <w:pStyle w:val="Cell"/>
            </w:pPr>
            <w:r>
              <w:t xml:space="preserve">-0.056</w:t>
            </w:r>
          </w:p>
        </w:tc>
        <w:tc>
          <w:tcPr>
            <w:tcW w:w="1814" w:type="dxa"/>
          </w:tcPr>
          <w:p>
            <w:pPr>
              <w:pStyle w:val="Cell"/>
            </w:pPr>
            <w:r>
              <w:t xml:space="preserve">-0.046</w:t>
            </w:r>
          </w:p>
        </w:tc>
        <w:tc>
          <w:tcPr>
            <w:tcW w:w="1814" w:type="dxa"/>
          </w:tcPr>
          <w:p>
            <w:pPr>
              <w:pStyle w:val="Cell"/>
            </w:pPr>
            <w:r>
              <w:t xml:space="preserve">-0.021</w:t>
            </w:r>
          </w:p>
        </w:tc>
      </w:tr>
      <w:tr>
        <w:tc>
          <w:tcPr>
            <w:tcW w:w="1814" w:type="dxa"/>
          </w:tcPr>
          <w:p>
            <w:pPr>
              <w:pStyle w:val="Cell"/>
            </w:pPr>
            <w:r>
              <w:t xml:space="preserve">Immigration Attitudes</w:t>
            </w:r>
          </w:p>
        </w:tc>
        <w:tc>
          <w:tcPr>
            <w:tcW w:w="1814" w:type="dxa"/>
          </w:tcPr>
          <w:p>
            <w:pPr>
              <w:pStyle w:val="Cell"/>
            </w:pPr>
            <w:r>
              <w:t xml:space="preserve">0.008</w:t>
            </w:r>
          </w:p>
        </w:tc>
        <w:tc>
          <w:tcPr>
            <w:tcW w:w="1814" w:type="dxa"/>
          </w:tcPr>
          <w:p>
            <w:pPr>
              <w:pStyle w:val="Cell"/>
            </w:pPr>
            <w:r>
              <w:t xml:space="preserve">0.000</w:t>
            </w:r>
          </w:p>
        </w:tc>
        <w:tc>
          <w:tcPr>
            <w:tcW w:w="1814" w:type="dxa"/>
          </w:tcPr>
          <w:p>
            <w:pPr>
              <w:pStyle w:val="Cell"/>
            </w:pPr>
            <w:r>
              <w:t xml:space="preserve">-0.005</w:t>
            </w:r>
          </w:p>
        </w:tc>
        <w:tc>
          <w:tcPr>
            <w:tcW w:w="1814" w:type="dxa"/>
          </w:tcPr>
          <w:p>
            <w:pPr>
              <w:pStyle w:val="Cell"/>
            </w:pPr>
            <w:r>
              <w:t xml:space="preserve">-0.007</w:t>
            </w:r>
          </w:p>
        </w:tc>
      </w:tr>
      <w:tr>
        <w:tc>
          <w:tcPr>
            <w:tcW w:w="1814" w:type="dxa"/>
          </w:tcPr>
          <w:p>
            <w:pPr>
              <w:pStyle w:val="Cell"/>
            </w:pPr>
            <w:r>
              <w:t xml:space="preserve">Income</w:t>
            </w:r>
          </w:p>
        </w:tc>
        <w:tc>
          <w:tcPr>
            <w:tcW w:w="1814" w:type="dxa"/>
          </w:tcPr>
          <w:p>
            <w:pPr>
              <w:pStyle w:val="Cell"/>
            </w:pPr>
            <w:r>
              <w:t xml:space="preserve">-0.148</w:t>
            </w:r>
          </w:p>
        </w:tc>
        <w:tc>
          <w:tcPr>
            <w:tcW w:w="1814" w:type="dxa"/>
          </w:tcPr>
          <w:p>
            <w:pPr>
              <w:pStyle w:val="Cell"/>
            </w:pPr>
            <w:r>
              <w:t xml:space="preserve">-0.133</w:t>
            </w:r>
          </w:p>
        </w:tc>
        <w:tc>
          <w:tcPr>
            <w:tcW w:w="1814" w:type="dxa"/>
          </w:tcPr>
          <w:p>
            <w:pPr>
              <w:pStyle w:val="Cell"/>
            </w:pPr>
            <w:r>
              <w:t xml:space="preserve">-0.052</w:t>
            </w:r>
          </w:p>
        </w:tc>
        <w:tc>
          <w:tcPr>
            <w:tcW w:w="1814" w:type="dxa"/>
          </w:tcPr>
          <w:p>
            <w:pPr>
              <w:pStyle w:val="Cell"/>
            </w:pPr>
            <w:r>
              <w:t xml:space="preserve">-0.022</w:t>
            </w:r>
          </w:p>
        </w:tc>
      </w:tr>
      <w:tr>
        <w:tc>
          <w:tcPr>
            <w:tcW w:w="1814" w:type="dxa"/>
          </w:tcPr>
          <w:p>
            <w:pPr>
              <w:pStyle w:val="Cell"/>
            </w:pPr>
            <w:r>
              <w:t xml:space="preserve">Institutional Trust</w:t>
            </w:r>
          </w:p>
        </w:tc>
        <w:tc>
          <w:tcPr>
            <w:tcW w:w="1814" w:type="dxa"/>
          </w:tcPr>
          <w:p>
            <w:pPr>
              <w:pStyle w:val="Cell"/>
            </w:pPr>
            <w:r>
              <w:t xml:space="preserve">0.069</w:t>
            </w:r>
          </w:p>
        </w:tc>
        <w:tc>
          <w:tcPr>
            <w:tcW w:w="1814" w:type="dxa"/>
          </w:tcPr>
          <w:p>
            <w:pPr>
              <w:pStyle w:val="Cell"/>
            </w:pPr>
            <w:r>
              <w:t xml:space="preserve">0.068</w:t>
            </w:r>
          </w:p>
        </w:tc>
        <w:tc>
          <w:tcPr>
            <w:tcW w:w="1814" w:type="dxa"/>
          </w:tcPr>
          <w:p>
            <w:pPr>
              <w:pStyle w:val="Cell"/>
            </w:pPr>
            <w:r>
              <w:t xml:space="preserve">0.017</w:t>
            </w:r>
          </w:p>
        </w:tc>
        <w:tc>
          <w:tcPr>
            <w:tcW w:w="1814" w:type="dxa"/>
          </w:tcPr>
          <w:p>
            <w:pPr>
              <w:pStyle w:val="Cell"/>
            </w:pPr>
            <w:r>
              <w:t xml:space="preserve">0.008</w:t>
            </w:r>
          </w:p>
        </w:tc>
      </w:tr>
      <w:tr>
        <w:tc>
          <w:tcPr>
            <w:tcW w:w="1814" w:type="dxa"/>
          </w:tcPr>
          <w:p>
            <w:pPr>
              <w:pStyle w:val="Cell"/>
            </w:pPr>
            <w:r>
              <w:t xml:space="preserve">Political Attitudes</w:t>
            </w:r>
          </w:p>
        </w:tc>
        <w:tc>
          <w:tcPr>
            <w:tcW w:w="1814" w:type="dxa"/>
          </w:tcPr>
          <w:p>
            <w:pPr>
              <w:pStyle w:val="Cell"/>
            </w:pPr>
            <w:r>
              <w:t xml:space="preserve">0.013</w:t>
            </w:r>
          </w:p>
        </w:tc>
        <w:tc>
          <w:tcPr>
            <w:tcW w:w="1814" w:type="dxa"/>
          </w:tcPr>
          <w:p>
            <w:pPr>
              <w:pStyle w:val="Cell"/>
            </w:pPr>
            <w:r>
              <w:t xml:space="preserve">0.009</w:t>
            </w:r>
          </w:p>
        </w:tc>
        <w:tc>
          <w:tcPr>
            <w:tcW w:w="1814" w:type="dxa"/>
          </w:tcPr>
          <w:p>
            <w:pPr>
              <w:pStyle w:val="Cell"/>
            </w:pPr>
            <w:r>
              <w:t xml:space="preserve">0.008</w:t>
            </w:r>
          </w:p>
        </w:tc>
        <w:tc>
          <w:tcPr>
            <w:tcW w:w="1814" w:type="dxa"/>
          </w:tcPr>
          <w:p>
            <w:pPr>
              <w:pStyle w:val="Cell"/>
            </w:pPr>
            <w:r>
              <w:t xml:space="preserve">0.014</w:t>
            </w:r>
          </w:p>
        </w:tc>
      </w:tr>
      <w:tr>
        <w:tc>
          <w:tcPr>
            <w:tcW w:w="1814" w:type="dxa"/>
          </w:tcPr>
          <w:p>
            <w:pPr>
              <w:pStyle w:val="Cell"/>
            </w:pPr>
            <w:r>
              <w:t xml:space="preserve">Religion</w:t>
            </w:r>
          </w:p>
        </w:tc>
        <w:tc>
          <w:tcPr>
            <w:tcW w:w="1814" w:type="dxa"/>
          </w:tcPr>
          <w:p>
            <w:pPr>
              <w:pStyle w:val="Cell"/>
            </w:pPr>
            <w:r>
              <w:t xml:space="preserve">0.012</w:t>
            </w:r>
          </w:p>
        </w:tc>
        <w:tc>
          <w:tcPr>
            <w:tcW w:w="1814" w:type="dxa"/>
          </w:tcPr>
          <w:p>
            <w:pPr>
              <w:pStyle w:val="Cell"/>
            </w:pPr>
            <w:r>
              <w:t xml:space="preserve">-0.062</w:t>
            </w:r>
          </w:p>
        </w:tc>
        <w:tc>
          <w:tcPr>
            <w:tcW w:w="1814" w:type="dxa"/>
          </w:tcPr>
          <w:p>
            <w:pPr>
              <w:pStyle w:val="Cell"/>
            </w:pPr>
            <w:r>
              <w:t xml:space="preserve">-0.008</w:t>
            </w:r>
          </w:p>
        </w:tc>
        <w:tc>
          <w:tcPr>
            <w:tcW w:w="1814" w:type="dxa"/>
          </w:tcPr>
          <w:p>
            <w:pPr>
              <w:pStyle w:val="Cell"/>
            </w:pPr>
            <w:r>
              <w:t xml:space="preserve">0.018</w:t>
            </w:r>
          </w:p>
        </w:tc>
      </w:tr>
      <w:tr>
        <w:tc>
          <w:tcPr>
            <w:tcW w:w="1814" w:type="dxa"/>
          </w:tcPr>
          <w:p>
            <w:pPr>
              <w:pStyle w:val="Cell"/>
            </w:pPr>
            <w:r>
              <w:t xml:space="preserve">Safety</w:t>
            </w:r>
          </w:p>
        </w:tc>
        <w:tc>
          <w:tcPr>
            <w:tcW w:w="1814" w:type="dxa"/>
          </w:tcPr>
          <w:p>
            <w:pPr>
              <w:pStyle w:val="Cell"/>
            </w:pPr>
            <w:r>
              <w:t xml:space="preserve">-0.037</w:t>
            </w:r>
          </w:p>
        </w:tc>
        <w:tc>
          <w:tcPr>
            <w:tcW w:w="1814" w:type="dxa"/>
          </w:tcPr>
          <w:p>
            <w:pPr>
              <w:pStyle w:val="Cell"/>
            </w:pPr>
            <w:r>
              <w:t xml:space="preserve">-0.050</w:t>
            </w:r>
          </w:p>
        </w:tc>
        <w:tc>
          <w:tcPr>
            <w:tcW w:w="1814" w:type="dxa"/>
          </w:tcPr>
          <w:p>
            <w:pPr>
              <w:pStyle w:val="Cell"/>
            </w:pPr>
            <w:r>
              <w:t xml:space="preserve">-0.002</w:t>
            </w:r>
          </w:p>
        </w:tc>
        <w:tc>
          <w:tcPr>
            <w:tcW w:w="1814" w:type="dxa"/>
          </w:tcPr>
          <w:p>
            <w:pPr>
              <w:pStyle w:val="Cell"/>
            </w:pPr>
            <w:r>
              <w:t xml:space="preserve">-0.002</w:t>
            </w:r>
          </w:p>
        </w:tc>
      </w:tr>
      <w:tr>
        <w:tc>
          <w:tcPr>
            <w:tcW w:w="1814" w:type="dxa"/>
          </w:tcPr>
          <w:p>
            <w:pPr>
              <w:pStyle w:val="Cell"/>
            </w:pPr>
            <w:r>
              <w:t xml:space="preserve">Social Trust</w:t>
            </w:r>
          </w:p>
        </w:tc>
        <w:tc>
          <w:tcPr>
            <w:tcW w:w="1814" w:type="dxa"/>
          </w:tcPr>
          <w:p>
            <w:pPr>
              <w:pStyle w:val="Cell"/>
            </w:pPr>
            <w:r>
              <w:t xml:space="preserve">0.043</w:t>
            </w:r>
          </w:p>
        </w:tc>
        <w:tc>
          <w:tcPr>
            <w:tcW w:w="1814" w:type="dxa"/>
          </w:tcPr>
          <w:p>
            <w:pPr>
              <w:pStyle w:val="Cell"/>
            </w:pPr>
            <w:r>
              <w:t xml:space="preserve">0.024</w:t>
            </w:r>
          </w:p>
        </w:tc>
        <w:tc>
          <w:tcPr>
            <w:tcW w:w="1814" w:type="dxa"/>
          </w:tcPr>
          <w:p>
            <w:pPr>
              <w:pStyle w:val="Cell"/>
            </w:pPr>
            <w:r>
              <w:t xml:space="preserve">0.021</w:t>
            </w:r>
          </w:p>
        </w:tc>
        <w:tc>
          <w:tcPr>
            <w:tcW w:w="1814" w:type="dxa"/>
          </w:tcPr>
          <w:p>
            <w:pPr>
              <w:pStyle w:val="Cell"/>
            </w:pPr>
            <w:r>
              <w:t xml:space="preserve">0.013</w:t>
            </w:r>
          </w:p>
        </w:tc>
      </w:tr>
      <w:tr>
        <w:tc>
          <w:tcPr>
            <w:tcW w:w="1814" w:type="dxa"/>
          </w:tcPr>
          <w:p>
            <w:pPr>
              <w:pStyle w:val="Cell"/>
            </w:pPr>
            <w:r>
              <w:t xml:space="preserve">Social Values</w:t>
            </w:r>
          </w:p>
        </w:tc>
        <w:tc>
          <w:tcPr>
            <w:tcW w:w="1814" w:type="dxa"/>
          </w:tcPr>
          <w:p>
            <w:pPr>
              <w:pStyle w:val="Cell"/>
            </w:pPr>
            <w:r>
              <w:t xml:space="preserve">-0.011</w:t>
            </w:r>
          </w:p>
        </w:tc>
        <w:tc>
          <w:tcPr>
            <w:tcW w:w="1814" w:type="dxa"/>
          </w:tcPr>
          <w:p>
            <w:pPr>
              <w:pStyle w:val="Cell"/>
            </w:pPr>
            <w:r>
              <w:t xml:space="preserve">-0.016</w:t>
            </w:r>
          </w:p>
        </w:tc>
        <w:tc>
          <w:tcPr>
            <w:tcW w:w="1814" w:type="dxa"/>
          </w:tcPr>
          <w:p>
            <w:pPr>
              <w:pStyle w:val="Cell"/>
            </w:pPr>
            <w:r>
              <w:t xml:space="preserve">-0.008</w:t>
            </w:r>
          </w:p>
        </w:tc>
        <w:tc>
          <w:tcPr>
            <w:tcW w:w="1814" w:type="dxa"/>
          </w:tcPr>
          <w:p>
            <w:pPr>
              <w:pStyle w:val="Cell"/>
            </w:pPr>
            <w:r>
              <w:t xml:space="preserve">-0.006</w:t>
            </w:r>
          </w:p>
        </w:tc>
      </w:tr>
      <w:tr>
        <w:tc>
          <w:tcPr>
            <w:tcW w:w="1814" w:type="dxa"/>
          </w:tcPr>
          <w:p>
            <w:pPr>
              <w:pStyle w:val="Cell"/>
            </w:pPr>
            <w:r>
              <w:t xml:space="preserve">Subjective Well-being</w:t>
            </w:r>
          </w:p>
        </w:tc>
        <w:tc>
          <w:tcPr>
            <w:tcW w:w="1814" w:type="dxa"/>
          </w:tcPr>
          <w:p>
            <w:pPr>
              <w:pStyle w:val="Cell"/>
            </w:pPr>
            <w:r>
              <w:t xml:space="preserve">0.066</w:t>
            </w:r>
          </w:p>
        </w:tc>
        <w:tc>
          <w:tcPr>
            <w:tcW w:w="1814" w:type="dxa"/>
          </w:tcPr>
          <w:p>
            <w:pPr>
              <w:pStyle w:val="Cell"/>
            </w:pPr>
            <w:r>
              <w:t xml:space="preserve">0.082</w:t>
            </w:r>
          </w:p>
        </w:tc>
        <w:tc>
          <w:tcPr>
            <w:tcW w:w="1814" w:type="dxa"/>
          </w:tcPr>
          <w:p>
            <w:pPr>
              <w:pStyle w:val="Cell"/>
            </w:pPr>
            <w:r>
              <w:t xml:space="preserve">0.034</w:t>
            </w:r>
          </w:p>
        </w:tc>
        <w:tc>
          <w:tcPr>
            <w:tcW w:w="1814"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218321"/>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6218321"/>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Figure A4 reports the country-label contrast item by item, the per-item form of the block effect in Figure 4.</w:t>
      </w:r>
    </w:p>
    <w:p>
      <w:pPr>
        <w:pStyle w:val="Fig"/>
      </w:pPr>
      <w:r>
        <w:drawing>
          <wp:inline distT="0" distB="0" distL="0" distR="0">
            <wp:extent cx="5628146" cy="676656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296"/>
        <w:gridCol w:w="1296"/>
        <w:gridCol w:w="1296"/>
        <w:gridCol w:w="1296"/>
        <w:gridCol w:w="1296"/>
        <w:gridCol w:w="1296"/>
        <w:gridCol w:w="1296"/>
      </w:tblGrid>
      <w:tr>
        <w:tc>
          <w:tcPr>
            <w:tcW w:w="1296" w:type="dxa"/>
            <w:tcBorders>
              <w:bottom w:val="single" w:sz="8" w:space="0" w:color="000000"/>
            </w:tcBorders>
          </w:tcPr>
          <w:p>
            <w:pPr>
              <w:pStyle w:val="Cell"/>
            </w:pPr>
            <w:r>
              <w:rPr>
                <w:b/>
              </w:rPr>
              <w:t xml:space="preserve">Comparison</w:t>
            </w:r>
          </w:p>
        </w:tc>
        <w:tc>
          <w:tcPr>
            <w:tcW w:w="1296" w:type="dxa"/>
            <w:tcBorders>
              <w:bottom w:val="single" w:sz="8" w:space="0" w:color="000000"/>
            </w:tcBorders>
          </w:tcPr>
          <w:p>
            <w:pPr>
              <w:pStyle w:val="Cell"/>
            </w:pPr>
            <w:r>
              <w:rPr>
                <w:b/>
              </w:rPr>
              <w:t xml:space="preserve">rwc (A)</w:t>
            </w:r>
          </w:p>
        </w:tc>
        <w:tc>
          <w:tcPr>
            <w:tcW w:w="1296" w:type="dxa"/>
            <w:tcBorders>
              <w:bottom w:val="single" w:sz="8" w:space="0" w:color="000000"/>
            </w:tcBorders>
          </w:tcPr>
          <w:p>
            <w:pPr>
              <w:pStyle w:val="Cell"/>
            </w:pPr>
            <w:r>
              <w:rPr>
                <w:b/>
              </w:rPr>
              <w:t xml:space="preserve">rwc (B)</w:t>
            </w:r>
          </w:p>
        </w:tc>
        <w:tc>
          <w:tcPr>
            <w:tcW w:w="1296" w:type="dxa"/>
            <w:tcBorders>
              <w:bottom w:val="single" w:sz="8" w:space="0" w:color="000000"/>
            </w:tcBorders>
          </w:tcPr>
          <w:p>
            <w:pPr>
              <w:pStyle w:val="Cell"/>
            </w:pPr>
            <w:r>
              <w:rPr>
                <w:b/>
              </w:rPr>
              <w:t xml:space="preserve">Diff</w:t>
            </w:r>
          </w:p>
        </w:tc>
        <w:tc>
          <w:tcPr>
            <w:tcW w:w="1296" w:type="dxa"/>
            <w:tcBorders>
              <w:bottom w:val="single" w:sz="8" w:space="0" w:color="000000"/>
            </w:tcBorders>
          </w:tcPr>
          <w:p>
            <w:pPr>
              <w:pStyle w:val="Cell"/>
            </w:pPr>
            <w:r>
              <w:rPr>
                <w:b/>
              </w:rPr>
              <w:t xml:space="preserve">SE</w:t>
            </w:r>
          </w:p>
        </w:tc>
        <w:tc>
          <w:tcPr>
            <w:tcW w:w="1296" w:type="dxa"/>
            <w:tcBorders>
              <w:bottom w:val="single" w:sz="8" w:space="0" w:color="000000"/>
            </w:tcBorders>
          </w:tcPr>
          <w:p>
            <w:pPr>
              <w:pStyle w:val="Cell"/>
            </w:pPr>
            <w:r>
              <w:rPr>
                <w:b/>
              </w:rPr>
              <w:t xml:space="preserve">t</w:t>
            </w:r>
          </w:p>
        </w:tc>
        <w:tc>
          <w:tcPr>
            <w:tcW w:w="1296" w:type="dxa"/>
            <w:tcBorders>
              <w:bottom w:val="single" w:sz="8" w:space="0" w:color="000000"/>
            </w:tcBorders>
          </w:tcPr>
          <w:p>
            <w:pPr>
              <w:pStyle w:val="Cell"/>
            </w:pPr>
            <w:r>
              <w:rPr>
                <w:b/>
              </w:rPr>
              <w:t xml:space="preserve">p</w:t>
            </w:r>
          </w:p>
        </w:tc>
      </w:tr>
      <w:tr>
        <w:tc>
          <w:tcPr>
            <w:tcW w:w="1296" w:type="dxa"/>
          </w:tcPr>
          <w:p>
            <w:pPr>
              <w:pStyle w:val="Cell"/>
            </w:pPr>
            <w:r>
              <w:t xml:space="preserve">Qwen: 1P vs 3P</w:t>
            </w:r>
          </w:p>
        </w:tc>
        <w:tc>
          <w:tcPr>
            <w:tcW w:w="1296" w:type="dxa"/>
          </w:tcPr>
          <w:p>
            <w:pPr>
              <w:pStyle w:val="Cell"/>
            </w:pPr>
            <w:r>
              <w:t xml:space="preserve">0.027</w:t>
            </w:r>
          </w:p>
        </w:tc>
        <w:tc>
          <w:tcPr>
            <w:tcW w:w="1296" w:type="dxa"/>
          </w:tcPr>
          <w:p>
            <w:pPr>
              <w:pStyle w:val="Cell"/>
            </w:pPr>
            <w:r>
              <w:t xml:space="preserve">0.029</w:t>
            </w:r>
          </w:p>
        </w:tc>
        <w:tc>
          <w:tcPr>
            <w:tcW w:w="1296" w:type="dxa"/>
          </w:tcPr>
          <w:p>
            <w:pPr>
              <w:pStyle w:val="Cell"/>
            </w:pPr>
            <w:r>
              <w:t xml:space="preserve">-0.002</w:t>
            </w:r>
          </w:p>
        </w:tc>
        <w:tc>
          <w:tcPr>
            <w:tcW w:w="1296" w:type="dxa"/>
          </w:tcPr>
          <w:p>
            <w:pPr>
              <w:pStyle w:val="Cell"/>
            </w:pPr>
            <w:r>
              <w:t xml:space="preserve">0.006</w:t>
            </w:r>
          </w:p>
        </w:tc>
        <w:tc>
          <w:tcPr>
            <w:tcW w:w="1296" w:type="dxa"/>
          </w:tcPr>
          <w:p>
            <w:pPr>
              <w:pStyle w:val="Cell"/>
            </w:pPr>
            <w:r>
              <w:t xml:space="preserve">-0.28</w:t>
            </w:r>
          </w:p>
        </w:tc>
        <w:tc>
          <w:tcPr>
            <w:tcW w:w="1296" w:type="dxa"/>
          </w:tcPr>
          <w:p>
            <w:pPr>
              <w:pStyle w:val="Cell"/>
            </w:pPr>
            <w:r>
              <w:t xml:space="preserve">0.785</w:t>
            </w:r>
          </w:p>
        </w:tc>
      </w:tr>
      <w:tr>
        <w:tc>
          <w:tcPr>
            <w:tcW w:w="1296" w:type="dxa"/>
          </w:tcPr>
          <w:p>
            <w:pPr>
              <w:pStyle w:val="Cell"/>
            </w:pPr>
            <w:r>
              <w:t xml:space="preserve">Llama: 1P vs 3P</w:t>
            </w:r>
          </w:p>
        </w:tc>
        <w:tc>
          <w:tcPr>
            <w:tcW w:w="1296" w:type="dxa"/>
          </w:tcPr>
          <w:p>
            <w:pPr>
              <w:pStyle w:val="Cell"/>
            </w:pPr>
            <w:r>
              <w:t xml:space="preserve">0.009</w:t>
            </w:r>
          </w:p>
        </w:tc>
        <w:tc>
          <w:tcPr>
            <w:tcW w:w="1296" w:type="dxa"/>
          </w:tcPr>
          <w:p>
            <w:pPr>
              <w:pStyle w:val="Cell"/>
            </w:pPr>
            <w:r>
              <w:t xml:space="preserve">0.006</w:t>
            </w:r>
          </w:p>
        </w:tc>
        <w:tc>
          <w:tcPr>
            <w:tcW w:w="1296" w:type="dxa"/>
          </w:tcPr>
          <w:p>
            <w:pPr>
              <w:pStyle w:val="Cell"/>
            </w:pPr>
            <w:r>
              <w:t xml:space="preserve">+0.004</w:t>
            </w:r>
          </w:p>
        </w:tc>
        <w:tc>
          <w:tcPr>
            <w:tcW w:w="1296" w:type="dxa"/>
          </w:tcPr>
          <w:p>
            <w:pPr>
              <w:pStyle w:val="Cell"/>
            </w:pPr>
            <w:r>
              <w:t xml:space="preserve">0.004</w:t>
            </w:r>
          </w:p>
        </w:tc>
        <w:tc>
          <w:tcPr>
            <w:tcW w:w="1296" w:type="dxa"/>
          </w:tcPr>
          <w:p>
            <w:pPr>
              <w:pStyle w:val="Cell"/>
            </w:pPr>
            <w:r>
              <w:t xml:space="preserve">0.99</w:t>
            </w:r>
          </w:p>
        </w:tc>
        <w:tc>
          <w:tcPr>
            <w:tcW w:w="1296" w:type="dxa"/>
          </w:tcPr>
          <w:p>
            <w:pPr>
              <w:pStyle w:val="Cell"/>
            </w:pPr>
            <w:r>
              <w:t xml:space="preserve">0.326</w:t>
            </w:r>
          </w:p>
        </w:tc>
      </w:tr>
      <w:tr>
        <w:tc>
          <w:tcPr>
            <w:tcW w:w="1296" w:type="dxa"/>
          </w:tcPr>
          <w:p>
            <w:pPr>
              <w:pStyle w:val="Cell"/>
            </w:pPr>
            <w:r>
              <w:t xml:space="preserve">1P: Qwen vs Llama</w:t>
            </w:r>
          </w:p>
        </w:tc>
        <w:tc>
          <w:tcPr>
            <w:tcW w:w="1296" w:type="dxa"/>
          </w:tcPr>
          <w:p>
            <w:pPr>
              <w:pStyle w:val="Cell"/>
            </w:pPr>
            <w:r>
              <w:t xml:space="preserve">0.027</w:t>
            </w:r>
          </w:p>
        </w:tc>
        <w:tc>
          <w:tcPr>
            <w:tcW w:w="1296" w:type="dxa"/>
          </w:tcPr>
          <w:p>
            <w:pPr>
              <w:pStyle w:val="Cell"/>
            </w:pPr>
            <w:r>
              <w:t xml:space="preserve">0.009</w:t>
            </w:r>
          </w:p>
        </w:tc>
        <w:tc>
          <w:tcPr>
            <w:tcW w:w="1296" w:type="dxa"/>
          </w:tcPr>
          <w:p>
            <w:pPr>
              <w:pStyle w:val="Cell"/>
            </w:pPr>
            <w:r>
              <w:t xml:space="preserve">+0.018</w:t>
            </w:r>
          </w:p>
        </w:tc>
        <w:tc>
          <w:tcPr>
            <w:tcW w:w="1296" w:type="dxa"/>
          </w:tcPr>
          <w:p>
            <w:pPr>
              <w:pStyle w:val="Cell"/>
            </w:pPr>
            <w:r>
              <w:t xml:space="preserve">0.006</w:t>
            </w:r>
          </w:p>
        </w:tc>
        <w:tc>
          <w:tcPr>
            <w:tcW w:w="1296" w:type="dxa"/>
          </w:tcPr>
          <w:p>
            <w:pPr>
              <w:pStyle w:val="Cell"/>
            </w:pPr>
            <w:r>
              <w:t xml:space="preserve">2.81</w:t>
            </w:r>
          </w:p>
        </w:tc>
        <w:tc>
          <w:tcPr>
            <w:tcW w:w="1296" w:type="dxa"/>
          </w:tcPr>
          <w:p>
            <w:pPr>
              <w:pStyle w:val="Cell"/>
            </w:pPr>
            <w:r>
              <w:t xml:space="preserve">0.007</w:t>
            </w:r>
          </w:p>
        </w:tc>
      </w:tr>
      <w:tr>
        <w:tc>
          <w:tcPr>
            <w:tcW w:w="1296" w:type="dxa"/>
          </w:tcPr>
          <w:p>
            <w:pPr>
              <w:pStyle w:val="Cell"/>
            </w:pPr>
            <w:r>
              <w:t xml:space="preserve">3P: Qwen vs Llama</w:t>
            </w:r>
          </w:p>
        </w:tc>
        <w:tc>
          <w:tcPr>
            <w:tcW w:w="1296" w:type="dxa"/>
          </w:tcPr>
          <w:p>
            <w:pPr>
              <w:pStyle w:val="Cell"/>
            </w:pPr>
            <w:r>
              <w:t xml:space="preserve">0.029</w:t>
            </w:r>
          </w:p>
        </w:tc>
        <w:tc>
          <w:tcPr>
            <w:tcW w:w="1296" w:type="dxa"/>
          </w:tcPr>
          <w:p>
            <w:pPr>
              <w:pStyle w:val="Cell"/>
            </w:pPr>
            <w:r>
              <w:t xml:space="preserve">0.006</w:t>
            </w:r>
          </w:p>
        </w:tc>
        <w:tc>
          <w:tcPr>
            <w:tcW w:w="1296" w:type="dxa"/>
          </w:tcPr>
          <w:p>
            <w:pPr>
              <w:pStyle w:val="Cell"/>
            </w:pPr>
            <w:r>
              <w:t xml:space="preserve">+0.023</w:t>
            </w:r>
          </w:p>
        </w:tc>
        <w:tc>
          <w:tcPr>
            <w:tcW w:w="1296" w:type="dxa"/>
          </w:tcPr>
          <w:p>
            <w:pPr>
              <w:pStyle w:val="Cell"/>
            </w:pPr>
            <w:r>
              <w:t xml:space="preserve">0.010</w:t>
            </w:r>
          </w:p>
        </w:tc>
        <w:tc>
          <w:tcPr>
            <w:tcW w:w="1296" w:type="dxa"/>
          </w:tcPr>
          <w:p>
            <w:pPr>
              <w:pStyle w:val="Cell"/>
            </w:pPr>
            <w:r>
              <w:t xml:space="preserve">2.28</w:t>
            </w:r>
          </w:p>
        </w:tc>
        <w:tc>
          <w:tcPr>
            <w:tcW w:w="1296"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headline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r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(r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Two change something and are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268"/>
        <w:gridCol w:w="2268"/>
        <w:gridCol w:w="2268"/>
        <w:gridCol w:w="2268"/>
      </w:tblGrid>
      <w:tr>
        <w:tc>
          <w:tcPr>
            <w:tcW w:w="2268" w:type="dxa"/>
            <w:tcBorders>
              <w:bottom w:val="single" w:sz="8" w:space="0" w:color="000000"/>
            </w:tcBorders>
          </w:tcPr>
          <w:p>
            <w:pPr>
              <w:pStyle w:val="Cell"/>
            </w:pPr>
            <w:r>
              <w:rPr>
                <w:b/>
              </w:rPr>
              <w:t xml:space="preserve">Check</w:t>
            </w:r>
          </w:p>
        </w:tc>
        <w:tc>
          <w:tcPr>
            <w:tcW w:w="2268" w:type="dxa"/>
            <w:tcBorders>
              <w:bottom w:val="single" w:sz="8" w:space="0" w:color="000000"/>
            </w:tcBorders>
          </w:tcPr>
          <w:p>
            <w:pPr>
              <w:pStyle w:val="Cell"/>
            </w:pPr>
            <w:r>
              <w:rPr>
                <w:b/>
              </w:rPr>
              <w:t xml:space="preserve">What it varies</w:t>
            </w:r>
          </w:p>
        </w:tc>
        <w:tc>
          <w:tcPr>
            <w:tcW w:w="2268" w:type="dxa"/>
            <w:tcBorders>
              <w:bottom w:val="single" w:sz="8" w:space="0" w:color="000000"/>
            </w:tcBorders>
          </w:tcPr>
          <w:p>
            <w:pPr>
              <w:pStyle w:val="Cell"/>
            </w:pPr>
            <w:r>
              <w:rPr>
                <w:b/>
              </w:rPr>
              <w:t xml:space="preserve">Result</w:t>
            </w:r>
          </w:p>
        </w:tc>
        <w:tc>
          <w:tcPr>
            <w:tcW w:w="2268" w:type="dxa"/>
            <w:tcBorders>
              <w:bottom w:val="single" w:sz="8" w:space="0" w:color="000000"/>
            </w:tcBorders>
          </w:tcPr>
          <w:p>
            <w:pPr>
              <w:pStyle w:val="Cell"/>
            </w:pPr>
            <w:r>
              <w:rPr>
                <w:b/>
              </w:rPr>
              <w:t xml:space="preserve">Any conclusion change?</w:t>
            </w:r>
          </w:p>
        </w:tc>
      </w:tr>
      <w:tr>
        <w:tc>
          <w:tcPr>
            <w:tcW w:w="2268" w:type="dxa"/>
          </w:tcPr>
          <w:p>
            <w:pPr>
              <w:pStyle w:val="Cell"/>
            </w:pPr>
            <w:r>
              <w:t xml:space="preserve">Design weighting of the human benchmark</w:t>
            </w:r>
          </w:p>
        </w:tc>
        <w:tc>
          <w:tcPr>
            <w:tcW w:w="2268" w:type="dxa"/>
          </w:tcPr>
          <w:p>
            <w:pPr>
              <w:pStyle w:val="Cell"/>
            </w:pPr>
            <w:r>
              <w:t xml:space="preserve">Human country means computed unweighted instead of with pspwght</w:t>
            </w:r>
          </w:p>
        </w:tc>
        <w:tc>
          <w:tcPr>
            <w:tcW w:w="2268" w:type="dxa"/>
          </w:tcPr>
          <w:p>
            <w:pPr>
              <w:pStyle w:val="Cell"/>
            </w:pPr>
            <w:r>
              <w:t xml:space="preserve">The two coefficient vectors correlate at 0.9987; the largest item-level change is 0.103 (health)</w:t>
            </w:r>
          </w:p>
        </w:tc>
        <w:tc>
          <w:tcPr>
            <w:tcW w:w="2268" w:type="dxa"/>
          </w:tcPr>
          <w:p>
            <w:pPr>
              <w:pStyle w:val="Cell"/>
            </w:pPr>
            <w:r>
              <w:t xml:space="preserve">No. The median and the direction decomposition are unaffected.</w:t>
            </w:r>
          </w:p>
        </w:tc>
      </w:tr>
      <w:tr>
        <w:tc>
          <w:tcPr>
            <w:tcW w:w="2268" w:type="dxa"/>
          </w:tcPr>
          <w:p>
            <w:pPr>
              <w:pStyle w:val="Cell"/>
            </w:pPr>
            <w:r>
              <w:t xml:space="preserve">Direction classification of the 42 items</w:t>
            </w:r>
          </w:p>
        </w:tc>
        <w:tc>
          <w:tcPr>
            <w:tcW w:w="2268" w:type="dxa"/>
          </w:tcPr>
          <w:p>
            <w:pPr>
              <w:pStyle w:val="Cell"/>
            </w:pPr>
            <w:r>
              <w:t xml:space="preserve">The frozen classification against the four disputed codings</w:t>
            </w:r>
          </w:p>
        </w:tc>
        <w:tc>
          <w:tcPr>
            <w:tcW w:w="2268" w:type="dxa"/>
          </w:tcPr>
          <w:p>
            <w:pPr>
              <w:pStyle w:val="Cell"/>
            </w:pPr>
            <w:r>
              <w:t xml:space="preserve">R² = 0.6576 on all 42 items, 0.6531 excluding vote, 0.7455 further excluding the two screened items</w:t>
            </w:r>
          </w:p>
        </w:tc>
        <w:tc>
          <w:tcPr>
            <w:tcW w:w="2268" w:type="dxa"/>
          </w:tcPr>
          <w:p>
            <w:pPr>
              <w:pStyle w:val="Cell"/>
            </w:pPr>
            <w:r>
              <w:t xml:space="preserve">No. The effect strengthens as the least interpretable items are removed.</w:t>
            </w:r>
          </w:p>
        </w:tc>
      </w:tr>
      <w:tr>
        <w:tc>
          <w:tcPr>
            <w:tcW w:w="2268" w:type="dxa"/>
          </w:tcPr>
          <w:p>
            <w:pPr>
              <w:pStyle w:val="Cell"/>
            </w:pPr>
            <w:r>
              <w:t xml:space="preserve">Items whose silicon dispersion is near zero</w:t>
            </w:r>
          </w:p>
        </w:tc>
        <w:tc>
          <w:tcPr>
            <w:tcW w:w="2268" w:type="dxa"/>
          </w:tcPr>
          <w:p>
            <w:pPr>
              <w:pStyle w:val="Cell"/>
            </w:pPr>
            <w:r>
              <w:t xml:space="preserve">A reliability screen on the silicon side</w:t>
            </w:r>
          </w:p>
        </w:tc>
        <w:tc>
          <w:tcPr>
            <w:tcW w:w="2268" w:type="dxa"/>
          </w:tcPr>
          <w:p>
            <w:pPr>
              <w:pStyle w:val="Cell"/>
            </w:pPr>
            <w:r>
              <w:t xml:space="preserve">Two items fall below it: hmsfmlsh (reliability 0.25) and rlgatnd (0.44); inprdsc (0.615) is retained</w:t>
            </w:r>
          </w:p>
        </w:tc>
        <w:tc>
          <w:tcPr>
            <w:tcW w:w="2268" w:type="dxa"/>
          </w:tcPr>
          <w:p>
            <w:pPr>
              <w:pStyle w:val="Cell"/>
            </w:pPr>
            <w:r>
              <w:t xml:space="preserve">No. Both are pre-declared uninterpretable and the primary anchored specification excludes them.</w:t>
            </w:r>
          </w:p>
        </w:tc>
      </w:tr>
      <w:tr>
        <w:tc>
          <w:tcPr>
            <w:tcW w:w="2268" w:type="dxa"/>
          </w:tcPr>
          <w:p>
            <w:pPr>
              <w:pStyle w:val="Cell"/>
            </w:pPr>
            <w:r>
              <w:t xml:space="preserve">Item set for the anchoring experiment</w:t>
            </w:r>
          </w:p>
        </w:tc>
        <w:tc>
          <w:tcPr>
            <w:tcW w:w="2268" w:type="dxa"/>
          </w:tcPr>
          <w:p>
            <w:pPr>
              <w:pStyle w:val="Cell"/>
            </w:pPr>
            <w:r>
              <w:t xml:space="preserve">Three pre-specified reverse-item sets</w:t>
            </w:r>
          </w:p>
        </w:tc>
        <w:tc>
          <w:tcPr>
            <w:tcW w:w="2268" w:type="dxa"/>
          </w:tcPr>
          <w:p>
            <w:pPr>
              <w:pStyle w:val="Cell"/>
            </w:pPr>
            <w:r>
              <w:t xml:space="preserve">All 12 in batch: +0.4912 [+0.1515, +0.8809], 11 of 12 up; primary 10: +0.4230 [+0.1259, +0.7928], 10 of 10 up; strictest 8: +0.1636 [+0.0507, +0.2671], 8 of 8 up</w:t>
            </w:r>
          </w:p>
        </w:tc>
        <w:tc>
          <w:tcPr>
            <w:tcW w:w="2268" w:type="dxa"/>
          </w:tcPr>
          <w:p>
            <w:pPr>
              <w:pStyle w:val="Cell"/>
            </w:pPr>
            <w:r>
              <w:t xml:space="preserve">No for the sign and the interval. Yes for the gap verdict: eliminated on the primary set, narrowed with a residual on the strictest.</w:t>
            </w:r>
          </w:p>
        </w:tc>
      </w:tr>
      <w:tr>
        <w:tc>
          <w:tcPr>
            <w:tcW w:w="2268" w:type="dxa"/>
          </w:tcPr>
          <w:p>
            <w:pPr>
              <w:pStyle w:val="Cell"/>
            </w:pPr>
            <w:r>
              <w:t xml:space="preserve">Choice of forward control items</w:t>
            </w:r>
          </w:p>
        </w:tc>
        <w:tc>
          <w:tcPr>
            <w:tcW w:w="2268" w:type="dxa"/>
          </w:tcPr>
          <w:p>
            <w:pPr>
              <w:pStyle w:val="Cell"/>
            </w:pPr>
            <w:r>
              <w:t xml:space="preserve">Ten leave-one-out control sets</w:t>
            </w:r>
          </w:p>
        </w:tc>
        <w:tc>
          <w:tcPr>
            <w:tcW w:w="2268" w:type="dxa"/>
          </w:tcPr>
          <w:p>
            <w:pPr>
              <w:pStyle w:val="Cell"/>
            </w:pPr>
            <w:r>
              <w:t xml:space="preserve">The triple difference stays in [0.403, 0.455] against the primary 0.423; the largest shift is 0.032</w:t>
            </w:r>
          </w:p>
        </w:tc>
        <w:tc>
          <w:tcPr>
            <w:tcW w:w="2268" w:type="dxa"/>
          </w:tcPr>
          <w:p>
            <w:pPr>
              <w:pStyle w:val="Cell"/>
            </w:pPr>
            <w:r>
              <w:t xml:space="preserve">No.</w:t>
            </w:r>
          </w:p>
        </w:tc>
      </w:tr>
      <w:tr>
        <w:tc>
          <w:tcPr>
            <w:tcW w:w="2268" w:type="dxa"/>
          </w:tcPr>
          <w:p>
            <w:pPr>
              <w:pStyle w:val="Cell"/>
            </w:pPr>
            <w:r>
              <w:t xml:space="preserve">Run-to-run stability of the generation</w:t>
            </w:r>
          </w:p>
        </w:tc>
        <w:tc>
          <w:tcPr>
            <w:tcW w:w="2268" w:type="dxa"/>
          </w:tcPr>
          <w:p>
            <w:pPr>
              <w:pStyle w:val="Cell"/>
            </w:pPr>
            <w:r>
              <w:t xml:space="preserve">Two identical unseeded runs</w:t>
            </w:r>
          </w:p>
        </w:tc>
        <w:tc>
          <w:tcPr>
            <w:tcW w:w="2268" w:type="dxa"/>
          </w:tcPr>
          <w:p>
            <w:pPr>
              <w:pStyle w:val="Cell"/>
            </w:pPr>
            <w:r>
              <w:t xml:space="preserve">Median absolute rbc difference 0.0602 per item, maximum 0.1854, no sign reversals</w:t>
            </w:r>
          </w:p>
        </w:tc>
        <w:tc>
          <w:tcPr>
            <w:tcW w:w="2268" w:type="dxa"/>
          </w:tcPr>
          <w:p>
            <w:pPr>
              <w:pStyle w:val="Cell"/>
            </w:pPr>
            <w:r>
              <w:t xml:space="preserve">No, and it closes a stated limitation: every contrast is read against the 0.060 band.</w:t>
            </w:r>
          </w:p>
        </w:tc>
      </w:tr>
      <w:tr>
        <w:tc>
          <w:tcPr>
            <w:tcW w:w="2268" w:type="dxa"/>
          </w:tcPr>
          <w:p>
            <w:pPr>
              <w:pStyle w:val="Cell"/>
            </w:pPr>
            <w:r>
              <w:t xml:space="preserve">Deflator for the macro-covariate comparator</w:t>
            </w:r>
          </w:p>
        </w:tc>
        <w:tc>
          <w:tcPr>
            <w:tcW w:w="2268" w:type="dxa"/>
          </w:tcPr>
          <w:p>
            <w:pPr>
              <w:pStyle w:val="Cell"/>
            </w:pPr>
            <w:r>
              <w:t xml:space="preserve">Market dollars against purchasing parity</w:t>
            </w:r>
          </w:p>
        </w:tc>
        <w:tc>
          <w:tcPr>
            <w:tcW w:w="2268" w:type="dxa"/>
          </w:tcPr>
          <w:p>
            <w:pPr>
              <w:pStyle w:val="Cell"/>
            </w:pPr>
            <w:r>
              <w:t xml:space="preserve">Median r 0.6177 under dollars, 0.6317 under parity; normalized error 0.0522 and 0.0527</w:t>
            </w:r>
          </w:p>
        </w:tc>
        <w:tc>
          <w:tcPr>
            <w:tcW w:w="2268" w:type="dxa"/>
          </w:tcPr>
          <w:p>
            <w:pPr>
              <w:pStyle w:val="Cell"/>
            </w:pPr>
            <w:r>
              <w:t xml:space="preserve">No for the comparison with the model. Yes for one claim, therefore not made: the covariate-alone ranking is deflator-dependent.</w:t>
            </w:r>
          </w:p>
        </w:tc>
      </w:tr>
      <w:tr>
        <w:tc>
          <w:tcPr>
            <w:tcW w:w="2268" w:type="dxa"/>
          </w:tcPr>
          <w:p>
            <w:pPr>
              <w:pStyle w:val="Cell"/>
            </w:pPr>
            <w:r>
              <w:t xml:space="preserve">Israel as a bloc of one in the comparator</w:t>
            </w:r>
          </w:p>
        </w:tc>
        <w:tc>
          <w:tcPr>
            <w:tcW w:w="2268" w:type="dxa"/>
          </w:tcPr>
          <w:p>
            <w:pPr>
              <w:pStyle w:val="Cell"/>
            </w:pPr>
            <w:r>
              <w:t xml:space="preserve">Israel handled as its own regional bloc</w:t>
            </w:r>
          </w:p>
        </w:tc>
        <w:tc>
          <w:tcPr>
            <w:tcW w:w="2268" w:type="dxa"/>
          </w:tcPr>
          <w:p>
            <w:pPr>
              <w:pStyle w:val="Cell"/>
            </w:pPr>
            <w:r>
              <w:t xml:space="preserve">The comparator's median r moves from 0.6177 to 0.6741; the gap to the model from 0.174 to 0.177</w:t>
            </w:r>
          </w:p>
        </w:tc>
        <w:tc>
          <w:tcPr>
            <w:tcW w:w="2268" w:type="dxa"/>
          </w:tcPr>
          <w:p>
            <w:pPr>
              <w:pStyle w:val="Cell"/>
            </w:pPr>
            <w:r>
              <w:t xml:space="preserve">No.</w:t>
            </w:r>
          </w:p>
        </w:tc>
      </w:tr>
      <w:tr>
        <w:tc>
          <w:tcPr>
            <w:tcW w:w="2268" w:type="dxa"/>
          </w:tcPr>
          <w:p>
            <w:pPr>
              <w:pStyle w:val="Cell"/>
            </w:pPr>
            <w:r>
              <w:t xml:space="preserve">Influential countries in the comparator</w:t>
            </w:r>
          </w:p>
        </w:tc>
        <w:tc>
          <w:tcPr>
            <w:tcW w:w="2268" w:type="dxa"/>
          </w:tcPr>
          <w:p>
            <w:pPr>
              <w:pStyle w:val="Cell"/>
            </w:pPr>
            <w:r>
              <w:t xml:space="preserve">Leave-one-out over the 30 countries</w:t>
            </w:r>
          </w:p>
        </w:tc>
        <w:tc>
          <w:tcPr>
            <w:tcW w:w="2268" w:type="dxa"/>
          </w:tcPr>
          <w:p>
            <w:pPr>
              <w:pStyle w:val="Cell"/>
            </w:pPr>
            <w:r>
              <w:t xml:space="preserve">Excluding Ireland moves the headline by 0.001; the high-leverage country is Ukraine (mean hat 0.495)</w:t>
            </w:r>
          </w:p>
        </w:tc>
        <w:tc>
          <w:tcPr>
            <w:tcW w:w="2268" w:type="dxa"/>
          </w:tcPr>
          <w:p>
            <w:pPr>
              <w:pStyle w:val="Cell"/>
            </w:pPr>
            <w:r>
              <w:t xml:space="preserve">No.</w:t>
            </w:r>
          </w:p>
        </w:tc>
      </w:tr>
      <w:tr>
        <w:tc>
          <w:tcPr>
            <w:tcW w:w="2268" w:type="dxa"/>
          </w:tcPr>
          <w:p>
            <w:pPr>
              <w:pStyle w:val="Cell"/>
            </w:pPr>
            <w:r>
              <w:t xml:space="preserve">Coverage in the Llama third-person arm</w:t>
            </w:r>
          </w:p>
        </w:tc>
        <w:tc>
          <w:tcPr>
            <w:tcW w:w="2268" w:type="dxa"/>
          </w:tcPr>
          <w:p>
            <w:pPr>
              <w:pStyle w:val="Cell"/>
            </w:pPr>
            <w:r>
              <w:t xml:space="preserve">Restricting to items above 80% coverage</w:t>
            </w:r>
          </w:p>
        </w:tc>
        <w:tc>
          <w:tcPr>
            <w:tcW w:w="2268" w:type="dxa"/>
          </w:tcPr>
          <w:p>
            <w:pPr>
              <w:pStyle w:val="Cell"/>
            </w:pPr>
            <w:r>
              <w:t xml:space="preserve">Median rbc falls from +0.1729 on all 42 items to −0.0009 on the 19 items above the threshold</w:t>
            </w:r>
          </w:p>
        </w:tc>
        <w:tc>
          <w:tcPr>
            <w:tcW w:w="2268" w:type="dxa"/>
          </w:tcPr>
          <w:p>
            <w:pPr>
              <w:pStyle w:val="Cell"/>
            </w:pPr>
            <w:r>
              <w:t xml:space="preserve">Yes. The arm cannot identify a framing effect; the framing null rests on Qwen alone.</w:t>
            </w:r>
          </w:p>
        </w:tc>
      </w:tr>
      <w:tr>
        <w:tc>
          <w:tcPr>
            <w:tcW w:w="2268" w:type="dxa"/>
          </w:tcPr>
          <w:p>
            <w:pPr>
              <w:pStyle w:val="Cell"/>
            </w:pPr>
            <w:r>
              <w:t xml:space="preserve">Aggregator for the dispersion ratios</w:t>
            </w:r>
          </w:p>
        </w:tc>
        <w:tc>
          <w:tcPr>
            <w:tcW w:w="2268" w:type="dxa"/>
          </w:tcPr>
          <w:p>
            <w:pPr>
              <w:pStyle w:val="Cell"/>
            </w:pPr>
            <w:r>
              <w:t xml:space="preserve">Mean of ratios, median, and ratio of means</w:t>
            </w:r>
          </w:p>
        </w:tc>
        <w:tc>
          <w:tcPr>
            <w:tcW w:w="2268" w:type="dxa"/>
          </w:tcPr>
          <w:p>
            <w:pPr>
              <w:pStyle w:val="Cell"/>
            </w:pPr>
            <w:r>
              <w:t xml:space="preserve">Within-country 0.6052, 0.5727, 0.5859; between-country 0.2821 median, 0.2952 mean</w:t>
            </w:r>
          </w:p>
        </w:tc>
        <w:tc>
          <w:tcPr>
            <w:tcW w:w="2268" w:type="dxa"/>
          </w:tcPr>
          <w:p>
            <w:pPr>
              <w:pStyle w:val="Cell"/>
            </w:pPr>
            <w:r>
              <w:t xml:space="preserve">No. All three within-country estimators fail the pre-declared 0.9–1.1 band.</w:t>
            </w:r>
          </w:p>
        </w:tc>
      </w:tr>
      <w:tr>
        <w:tc>
          <w:tcPr>
            <w:tcW w:w="2268" w:type="dxa"/>
          </w:tcPr>
          <w:p>
            <w:pPr>
              <w:pStyle w:val="Cell"/>
            </w:pPr>
            <w:r>
              <w:t xml:space="preserve">Estimator for the offset reduction</w:t>
            </w:r>
          </w:p>
        </w:tc>
        <w:tc>
          <w:tcPr>
            <w:tcW w:w="2268" w:type="dxa"/>
          </w:tcPr>
          <w:p>
            <w:pPr>
              <w:pStyle w:val="Cell"/>
            </w:pPr>
            <w:r>
              <w:t xml:space="preserve">Four defensible estimators</w:t>
            </w:r>
          </w:p>
        </w:tc>
        <w:tc>
          <w:tcPr>
            <w:tcW w:w="2268" w:type="dxa"/>
          </w:tcPr>
          <w:p>
            <w:pPr>
              <w:pStyle w:val="Cell"/>
            </w:pPr>
            <w:r>
              <w:t xml:space="preserve">Ratio of medians 64.2%, ratio of means 62.9%, median of per-item reductions 59.9%, mean of per-item reductions 53.7%</w:t>
            </w:r>
          </w:p>
        </w:tc>
        <w:tc>
          <w:tcPr>
            <w:tcW w:w="2268" w:type="dxa"/>
          </w:tcPr>
          <w:p>
            <w:pPr>
              <w:pStyle w:val="Cell"/>
            </w:pPr>
            <w:r>
              <w:t xml:space="preserve">Yes for the number quoted: 59.9%, the median of the per-item reductions, named as such.</w:t>
            </w:r>
          </w:p>
        </w:tc>
      </w:tr>
      <w:tr>
        <w:tc>
          <w:tcPr>
            <w:tcW w:w="2268" w:type="dxa"/>
          </w:tcPr>
          <w:p>
            <w:pPr>
              <w:pStyle w:val="Cell"/>
            </w:pPr>
            <w:r>
              <w:t xml:space="preserve">Specification for the cross-level agreement</w:t>
            </w:r>
          </w:p>
        </w:tc>
        <w:tc>
          <w:tcPr>
            <w:tcW w:w="2268" w:type="dxa"/>
          </w:tcPr>
          <w:p>
            <w:pPr>
              <w:pStyle w:val="Cell"/>
            </w:pPr>
            <w:r>
              <w:t xml:space="preserve">As coded, forward items only, sign-aligned</w:t>
            </w:r>
          </w:p>
        </w:tc>
        <w:tc>
          <w:tcPr>
            <w:tcW w:w="2268" w:type="dxa"/>
          </w:tcPr>
          <w:p>
            <w:pPr>
              <w:pStyle w:val="Cell"/>
            </w:pPr>
            <w:r>
              <w:t xml:space="preserve">Pearson 0.9368 as coded, 0.7745 forward-only, 0.8355 sign-aligned</w:t>
            </w:r>
          </w:p>
        </w:tc>
        <w:tc>
          <w:tcPr>
            <w:tcW w:w="2268" w:type="dxa"/>
          </w:tcPr>
          <w:p>
            <w:pPr>
              <w:pStyle w:val="Cell"/>
            </w:pPr>
            <w:r>
              <w:t xml:space="preserve">No for the existence of the agreement. Yes for its description: about a third of the raw magnitude is the shared direction failure.</w:t>
            </w:r>
          </w:p>
        </w:tc>
      </w:tr>
      <w:tr>
        <w:tc>
          <w:tcPr>
            <w:tcW w:w="2268" w:type="dxa"/>
          </w:tcPr>
          <w:p>
            <w:pPr>
              <w:pStyle w:val="Cell"/>
            </w:pPr>
            <w:r>
              <w:t xml:space="preserve">Frame for country-level quantities</w:t>
            </w:r>
          </w:p>
        </w:tc>
        <w:tc>
          <w:tcPr>
            <w:tcW w:w="2268" w:type="dxa"/>
          </w:tcPr>
          <w:p>
            <w:pPr>
              <w:pStyle w:val="Cell"/>
            </w:pPr>
            <w:r>
              <w:t xml:space="preserve">Full frame against the human–model intersection</w:t>
            </w:r>
          </w:p>
        </w:tc>
        <w:tc>
          <w:tcPr>
            <w:tcW w:w="2268" w:type="dxa"/>
          </w:tcPr>
          <w:p>
            <w:pPr>
              <w:pStyle w:val="Cell"/>
            </w:pPr>
            <w:r>
              <w:t xml:space="preserve">Median rbc moves from 0.4433 to 0.4425; single items move by up to 0.109 (health)</w:t>
            </w:r>
          </w:p>
        </w:tc>
        <w:tc>
          <w:tcPr>
            <w:tcW w:w="2268" w:type="dxa"/>
          </w:tcPr>
          <w:p>
            <w:pPr>
              <w:pStyle w:val="Cell"/>
            </w:pPr>
            <w:r>
              <w:t xml:space="preserve">No for the median. The frame is fixed in one place and stated.</w:t>
            </w:r>
          </w:p>
        </w:tc>
      </w:tr>
      <w:tr>
        <w:tc>
          <w:tcPr>
            <w:tcW w:w="2268" w:type="dxa"/>
          </w:tcPr>
          <w:p>
            <w:pPr>
              <w:pStyle w:val="Cell"/>
            </w:pPr>
            <w:r>
              <w:t xml:space="preserve">Stability across rounds</w:t>
            </w:r>
          </w:p>
        </w:tc>
        <w:tc>
          <w:tcPr>
            <w:tcW w:w="2268" w:type="dxa"/>
          </w:tcPr>
          <w:p>
            <w:pPr>
              <w:pStyle w:val="Cell"/>
            </w:pPr>
            <w:r>
              <w:t xml:space="preserve">The March round against the final round</w:t>
            </w:r>
          </w:p>
        </w:tc>
        <w:tc>
          <w:tcPr>
            <w:tcW w:w="2268" w:type="dxa"/>
          </w:tcPr>
          <w:p>
            <w:pPr>
              <w:pStyle w:val="Cell"/>
            </w:pPr>
            <w:r>
              <w:t xml:space="preserve">Median absolute item-level rbc change 0.0415, against a same-round replicate median of 0.060</w:t>
            </w:r>
          </w:p>
        </w:tc>
        <w:tc>
          <w:tcPr>
            <w:tcW w:w="2268" w:type="dxa"/>
          </w:tcPr>
          <w:p>
            <w:pPr>
              <w:pStyle w:val="Cell"/>
            </w:pPr>
            <w:r>
              <w:t xml:space="preserve">No.</w:t>
            </w:r>
          </w:p>
        </w:tc>
      </w:tr>
      <w:tr>
        <w:tc>
          <w:tcPr>
            <w:tcW w:w="2268" w:type="dxa"/>
          </w:tcPr>
          <w:p>
            <w:pPr>
              <w:pStyle w:val="Cell"/>
            </w:pPr>
            <w:r>
              <w:t xml:space="preserve">Human-side missingness rule</w:t>
            </w:r>
          </w:p>
        </w:tc>
        <w:tc>
          <w:tcPr>
            <w:tcW w:w="2268" w:type="dxa"/>
          </w:tcPr>
          <w:p>
            <w:pPr>
              <w:pStyle w:val="Cell"/>
            </w:pPr>
            <w:r>
              <w:t xml:space="preserve">Correcting the missing-code set for the coarse scales</w:t>
            </w:r>
          </w:p>
        </w:tc>
        <w:tc>
          <w:tcPr>
            <w:tcW w:w="2268" w:type="dxa"/>
          </w:tcPr>
          <w:p>
            <w:pPr>
              <w:pStyle w:val="Cell"/>
            </w:pPr>
            <w:r>
              <w:t xml:space="preserve">Median rbc 0.418 to 0.431; items above 0.70 from eight to nine; inverted items from twelve to eleven; within-country dispersion ratio 0.553 to 0.605</w:t>
            </w:r>
          </w:p>
        </w:tc>
        <w:tc>
          <w:tcPr>
            <w:tcW w:w="2268"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2"/>
        <w:gridCol w:w="1512"/>
        <w:gridCol w:w="1512"/>
        <w:gridCol w:w="1512"/>
        <w:gridCol w:w="1512"/>
        <w:gridCol w:w="1512"/>
      </w:tblGrid>
      <w:tr>
        <w:tc>
          <w:tcPr>
            <w:tcW w:w="1512" w:type="dxa"/>
            <w:tcBorders>
              <w:bottom w:val="single" w:sz="8" w:space="0" w:color="000000"/>
            </w:tcBorders>
          </w:tcPr>
          <w:p>
            <w:pPr>
              <w:pStyle w:val="Cell"/>
            </w:pPr>
            <w:r>
              <w:rPr>
                <w:b/>
              </w:rPr>
              <w:t xml:space="preserve">Arm</w:t>
            </w:r>
          </w:p>
        </w:tc>
        <w:tc>
          <w:tcPr>
            <w:tcW w:w="1512" w:type="dxa"/>
            <w:tcBorders>
              <w:bottom w:val="single" w:sz="8" w:space="0" w:color="000000"/>
            </w:tcBorders>
          </w:tcPr>
          <w:p>
            <w:pPr>
              <w:pStyle w:val="Cell"/>
            </w:pPr>
            <w:r>
              <w:rPr>
                <w:b/>
              </w:rPr>
              <w:t xml:space="preserve">Responses rejected</w:t>
            </w:r>
          </w:p>
        </w:tc>
        <w:tc>
          <w:tcPr>
            <w:tcW w:w="1512" w:type="dxa"/>
            <w:tcBorders>
              <w:bottom w:val="single" w:sz="8" w:space="0" w:color="000000"/>
            </w:tcBorders>
          </w:tcPr>
          <w:p>
            <w:pPr>
              <w:pStyle w:val="Cell"/>
            </w:pPr>
            <w:r>
              <w:rPr>
                <w:b/>
              </w:rPr>
              <w:t xml:space="preserve">Of those, carry an in-range value</w:t>
            </w:r>
          </w:p>
        </w:tc>
        <w:tc>
          <w:tcPr>
            <w:tcW w:w="1512" w:type="dxa"/>
            <w:tcBorders>
              <w:bottom w:val="single" w:sz="8" w:space="0" w:color="000000"/>
            </w:tcBorders>
          </w:tcPr>
          <w:p>
            <w:pPr>
              <w:pStyle w:val="Cell"/>
            </w:pPr>
            <w:r>
              <w:rPr>
                <w:b/>
              </w:rPr>
              <w:t xml:space="preserve">Median rbc, shipped rule</w:t>
            </w:r>
          </w:p>
        </w:tc>
        <w:tc>
          <w:tcPr>
            <w:tcW w:w="1512" w:type="dxa"/>
            <w:tcBorders>
              <w:bottom w:val="single" w:sz="8" w:space="0" w:color="000000"/>
            </w:tcBorders>
          </w:tcPr>
          <w:p>
            <w:pPr>
              <w:pStyle w:val="Cell"/>
            </w:pPr>
            <w:r>
              <w:rPr>
                <w:b/>
              </w:rPr>
              <w:t xml:space="preserve">Range across the four rules</w:t>
            </w:r>
          </w:p>
        </w:tc>
        <w:tc>
          <w:tcPr>
            <w:tcW w:w="1512" w:type="dxa"/>
            <w:tcBorders>
              <w:bottom w:val="single" w:sz="8" w:space="0" w:color="000000"/>
            </w:tcBorders>
          </w:tcPr>
          <w:p>
            <w:pPr>
              <w:pStyle w:val="Cell"/>
            </w:pPr>
            <w:r>
              <w:rPr>
                <w:b/>
              </w:rPr>
              <w:t xml:space="preserve">Largest shift in any single item</w:t>
            </w:r>
          </w:p>
        </w:tc>
      </w:tr>
      <w:tr>
        <w:tc>
          <w:tcPr>
            <w:tcW w:w="1512" w:type="dxa"/>
          </w:tcPr>
          <w:p>
            <w:pPr>
              <w:pStyle w:val="Cell"/>
            </w:pPr>
            <w:r>
              <w:t xml:space="preserve">Qwen 1P</w:t>
            </w:r>
          </w:p>
        </w:tc>
        <w:tc>
          <w:tcPr>
            <w:tcW w:w="1512" w:type="dxa"/>
          </w:tcPr>
          <w:p>
            <w:pPr>
              <w:pStyle w:val="Cell"/>
            </w:pPr>
            <w:r>
              <w:t xml:space="preserve">619 (0.07%)</w:t>
            </w:r>
          </w:p>
        </w:tc>
        <w:tc>
          <w:tcPr>
            <w:tcW w:w="1512" w:type="dxa"/>
          </w:tcPr>
          <w:p>
            <w:pPr>
              <w:pStyle w:val="Cell"/>
            </w:pPr>
            <w:r>
              <w:t xml:space="preserve">0 (0.0%)</w:t>
            </w:r>
          </w:p>
        </w:tc>
        <w:tc>
          <w:tcPr>
            <w:tcW w:w="1512" w:type="dxa"/>
          </w:tcPr>
          <w:p>
            <w:pPr>
              <w:pStyle w:val="Cell"/>
            </w:pPr>
            <w:r>
              <w:t xml:space="preserve">+0.4433</w:t>
            </w:r>
          </w:p>
        </w:tc>
        <w:tc>
          <w:tcPr>
            <w:tcW w:w="1512" w:type="dxa"/>
          </w:tcPr>
          <w:p>
            <w:pPr>
              <w:pStyle w:val="Cell"/>
            </w:pPr>
            <w:r>
              <w:t xml:space="preserve">+0.4433 to +0.4433</w:t>
            </w:r>
          </w:p>
        </w:tc>
        <w:tc>
          <w:tcPr>
            <w:tcW w:w="1512" w:type="dxa"/>
          </w:tcPr>
          <w:p>
            <w:pPr>
              <w:pStyle w:val="Cell"/>
            </w:pPr>
            <w:r>
              <w:t xml:space="preserve">0.0000</w:t>
            </w:r>
          </w:p>
        </w:tc>
      </w:tr>
      <w:tr>
        <w:tc>
          <w:tcPr>
            <w:tcW w:w="1512" w:type="dxa"/>
          </w:tcPr>
          <w:p>
            <w:pPr>
              <w:pStyle w:val="Cell"/>
            </w:pPr>
            <w:r>
              <w:t xml:space="preserve">Qwen 3P</w:t>
            </w:r>
          </w:p>
        </w:tc>
        <w:tc>
          <w:tcPr>
            <w:tcW w:w="1512" w:type="dxa"/>
          </w:tcPr>
          <w:p>
            <w:pPr>
              <w:pStyle w:val="Cell"/>
            </w:pPr>
            <w:r>
              <w:t xml:space="preserve">71 (0.01%)</w:t>
            </w:r>
          </w:p>
        </w:tc>
        <w:tc>
          <w:tcPr>
            <w:tcW w:w="1512" w:type="dxa"/>
          </w:tcPr>
          <w:p>
            <w:pPr>
              <w:pStyle w:val="Cell"/>
            </w:pPr>
            <w:r>
              <w:t xml:space="preserve">5 (7.0%)</w:t>
            </w:r>
          </w:p>
        </w:tc>
        <w:tc>
          <w:tcPr>
            <w:tcW w:w="1512" w:type="dxa"/>
          </w:tcPr>
          <w:p>
            <w:pPr>
              <w:pStyle w:val="Cell"/>
            </w:pPr>
            <w:r>
              <w:t xml:space="preserve">+0.4426</w:t>
            </w:r>
          </w:p>
        </w:tc>
        <w:tc>
          <w:tcPr>
            <w:tcW w:w="1512" w:type="dxa"/>
          </w:tcPr>
          <w:p>
            <w:pPr>
              <w:pStyle w:val="Cell"/>
            </w:pPr>
            <w:r>
              <w:t xml:space="preserve">+0.4426 to +0.4426</w:t>
            </w:r>
          </w:p>
        </w:tc>
        <w:tc>
          <w:tcPr>
            <w:tcW w:w="1512" w:type="dxa"/>
          </w:tcPr>
          <w:p>
            <w:pPr>
              <w:pStyle w:val="Cell"/>
            </w:pPr>
            <w:r>
              <w:t xml:space="preserve">0.0007</w:t>
            </w:r>
          </w:p>
        </w:tc>
      </w:tr>
      <w:tr>
        <w:tc>
          <w:tcPr>
            <w:tcW w:w="1512" w:type="dxa"/>
          </w:tcPr>
          <w:p>
            <w:pPr>
              <w:pStyle w:val="Cell"/>
            </w:pPr>
            <w:r>
              <w:t xml:space="preserve">Llama 1P</w:t>
            </w:r>
          </w:p>
        </w:tc>
        <w:tc>
          <w:tcPr>
            <w:tcW w:w="1512" w:type="dxa"/>
          </w:tcPr>
          <w:p>
            <w:pPr>
              <w:pStyle w:val="Cell"/>
            </w:pPr>
            <w:r>
              <w:t xml:space="preserve">64 (0.01%)</w:t>
            </w:r>
          </w:p>
        </w:tc>
        <w:tc>
          <w:tcPr>
            <w:tcW w:w="1512" w:type="dxa"/>
          </w:tcPr>
          <w:p>
            <w:pPr>
              <w:pStyle w:val="Cell"/>
            </w:pPr>
            <w:r>
              <w:t xml:space="preserve">24 (37.5%)</w:t>
            </w:r>
          </w:p>
        </w:tc>
        <w:tc>
          <w:tcPr>
            <w:tcW w:w="1512" w:type="dxa"/>
          </w:tcPr>
          <w:p>
            <w:pPr>
              <w:pStyle w:val="Cell"/>
            </w:pPr>
            <w:r>
              <w:t xml:space="preserve">+0.3486</w:t>
            </w:r>
          </w:p>
        </w:tc>
        <w:tc>
          <w:tcPr>
            <w:tcW w:w="1512" w:type="dxa"/>
          </w:tcPr>
          <w:p>
            <w:pPr>
              <w:pStyle w:val="Cell"/>
            </w:pPr>
            <w:r>
              <w:t xml:space="preserve">+0.3486 to +0.3486</w:t>
            </w:r>
          </w:p>
        </w:tc>
        <w:tc>
          <w:tcPr>
            <w:tcW w:w="1512" w:type="dxa"/>
          </w:tcPr>
          <w:p>
            <w:pPr>
              <w:pStyle w:val="Cell"/>
            </w:pPr>
            <w:r>
              <w:t xml:space="preserve">0.0072</w:t>
            </w:r>
          </w:p>
        </w:tc>
      </w:tr>
      <w:tr>
        <w:tc>
          <w:tcPr>
            <w:tcW w:w="1512" w:type="dxa"/>
          </w:tcPr>
          <w:p>
            <w:pPr>
              <w:pStyle w:val="Cell"/>
            </w:pPr>
            <w:r>
              <w:t xml:space="preserve">Llama 3P</w:t>
            </w:r>
          </w:p>
        </w:tc>
        <w:tc>
          <w:tcPr>
            <w:tcW w:w="1512" w:type="dxa"/>
          </w:tcPr>
          <w:p>
            <w:pPr>
              <w:pStyle w:val="Cell"/>
            </w:pPr>
            <w:r>
              <w:t xml:space="preserve">196,067 (22.72%)</w:t>
            </w:r>
          </w:p>
        </w:tc>
        <w:tc>
          <w:tcPr>
            <w:tcW w:w="1512" w:type="dxa"/>
          </w:tcPr>
          <w:p>
            <w:pPr>
              <w:pStyle w:val="Cell"/>
            </w:pPr>
            <w:r>
              <w:t xml:space="preserve">44,374 (22.6%)</w:t>
            </w:r>
          </w:p>
        </w:tc>
        <w:tc>
          <w:tcPr>
            <w:tcW w:w="1512" w:type="dxa"/>
          </w:tcPr>
          <w:p>
            <w:pPr>
              <w:pStyle w:val="Cell"/>
            </w:pPr>
            <w:r>
              <w:t xml:space="preserve">+0.1729</w:t>
            </w:r>
          </w:p>
        </w:tc>
        <w:tc>
          <w:tcPr>
            <w:tcW w:w="1512" w:type="dxa"/>
          </w:tcPr>
          <w:p>
            <w:pPr>
              <w:pStyle w:val="Cell"/>
            </w:pPr>
            <w:r>
              <w:t xml:space="preserve">+0.1603 to +0.1798</w:t>
            </w:r>
          </w:p>
        </w:tc>
        <w:tc>
          <w:tcPr>
            <w:tcW w:w="1512" w:type="dxa"/>
          </w:tcPr>
          <w:p>
            <w:pPr>
              <w:pStyle w:val="Cell"/>
            </w:pPr>
            <w:r>
              <w:t xml:space="preserve">0.0596</w:t>
            </w:r>
          </w:p>
        </w:tc>
      </w:tr>
      <w:tr>
        <w:tc>
          <w:tcPr>
            <w:tcW w:w="1512" w:type="dxa"/>
          </w:tcPr>
          <w:p>
            <w:pPr>
              <w:pStyle w:val="Cell"/>
            </w:pPr>
            <w:r>
              <w:t xml:space="preserve">demographics only</w:t>
            </w:r>
          </w:p>
        </w:tc>
        <w:tc>
          <w:tcPr>
            <w:tcW w:w="1512" w:type="dxa"/>
          </w:tcPr>
          <w:p>
            <w:pPr>
              <w:pStyle w:val="Cell"/>
            </w:pPr>
            <w:r>
              <w:t xml:space="preserve">6,333 (0.73%)</w:t>
            </w:r>
          </w:p>
        </w:tc>
        <w:tc>
          <w:tcPr>
            <w:tcW w:w="1512" w:type="dxa"/>
          </w:tcPr>
          <w:p>
            <w:pPr>
              <w:pStyle w:val="Cell"/>
            </w:pPr>
            <w:r>
              <w:t xml:space="preserve">419 (6.6%)</w:t>
            </w:r>
          </w:p>
        </w:tc>
        <w:tc>
          <w:tcPr>
            <w:tcW w:w="1512" w:type="dxa"/>
          </w:tcPr>
          <w:p>
            <w:pPr>
              <w:pStyle w:val="Cell"/>
            </w:pPr>
            <w:r>
              <w:t xml:space="preserve">-0.0286</w:t>
            </w:r>
          </w:p>
        </w:tc>
        <w:tc>
          <w:tcPr>
            <w:tcW w:w="1512" w:type="dxa"/>
          </w:tcPr>
          <w:p>
            <w:pPr>
              <w:pStyle w:val="Cell"/>
            </w:pPr>
            <w:r>
              <w:t xml:space="preserve">-0.0363 to -0.0286</w:t>
            </w:r>
          </w:p>
        </w:tc>
        <w:tc>
          <w:tcPr>
            <w:tcW w:w="1512" w:type="dxa"/>
          </w:tcPr>
          <w:p>
            <w:pPr>
              <w:pStyle w:val="Cell"/>
            </w:pPr>
            <w:r>
              <w:t xml:space="preserve">0.0919</w:t>
            </w:r>
          </w:p>
        </w:tc>
      </w:tr>
      <w:tr>
        <w:tc>
          <w:tcPr>
            <w:tcW w:w="1512" w:type="dxa"/>
          </w:tcPr>
          <w:p>
            <w:pPr>
              <w:pStyle w:val="Cell"/>
            </w:pPr>
            <w:r>
              <w:t xml:space="preserve">+ country</w:t>
            </w:r>
          </w:p>
        </w:tc>
        <w:tc>
          <w:tcPr>
            <w:tcW w:w="1512" w:type="dxa"/>
          </w:tcPr>
          <w:p>
            <w:pPr>
              <w:pStyle w:val="Cell"/>
            </w:pPr>
            <w:r>
              <w:t xml:space="preserve">10,729 (1.24%)</w:t>
            </w:r>
          </w:p>
        </w:tc>
        <w:tc>
          <w:tcPr>
            <w:tcW w:w="1512" w:type="dxa"/>
          </w:tcPr>
          <w:p>
            <w:pPr>
              <w:pStyle w:val="Cell"/>
            </w:pPr>
            <w:r>
              <w:t xml:space="preserve">165 (1.5%)</w:t>
            </w:r>
          </w:p>
        </w:tc>
        <w:tc>
          <w:tcPr>
            <w:tcW w:w="1512" w:type="dxa"/>
          </w:tcPr>
          <w:p>
            <w:pPr>
              <w:pStyle w:val="Cell"/>
            </w:pPr>
            <w:r>
              <w:t xml:space="preserve">+0.5232</w:t>
            </w:r>
          </w:p>
        </w:tc>
        <w:tc>
          <w:tcPr>
            <w:tcW w:w="1512" w:type="dxa"/>
          </w:tcPr>
          <w:p>
            <w:pPr>
              <w:pStyle w:val="Cell"/>
            </w:pPr>
            <w:r>
              <w:t xml:space="preserve">+0.5232 to +0.5239</w:t>
            </w:r>
          </w:p>
        </w:tc>
        <w:tc>
          <w:tcPr>
            <w:tcW w:w="1512" w:type="dxa"/>
          </w:tcPr>
          <w:p>
            <w:pPr>
              <w:pStyle w:val="Cell"/>
            </w:pPr>
            <w:r>
              <w:t xml:space="preserve">0.0067</w:t>
            </w:r>
          </w:p>
        </w:tc>
      </w:tr>
      <w:tr>
        <w:tc>
          <w:tcPr>
            <w:tcW w:w="1512" w:type="dxa"/>
          </w:tcPr>
          <w:p>
            <w:pPr>
              <w:pStyle w:val="Cell"/>
            </w:pPr>
            <w:r>
              <w:t xml:space="preserve">+ socioeconomic</w:t>
            </w:r>
          </w:p>
        </w:tc>
        <w:tc>
          <w:tcPr>
            <w:tcW w:w="1512" w:type="dxa"/>
          </w:tcPr>
          <w:p>
            <w:pPr>
              <w:pStyle w:val="Cell"/>
            </w:pPr>
            <w:r>
              <w:t xml:space="preserve">1,716 (0.20%)</w:t>
            </w:r>
          </w:p>
        </w:tc>
        <w:tc>
          <w:tcPr>
            <w:tcW w:w="1512" w:type="dxa"/>
          </w:tcPr>
          <w:p>
            <w:pPr>
              <w:pStyle w:val="Cell"/>
            </w:pPr>
            <w:r>
              <w:t xml:space="preserve">6 (0.3%)</w:t>
            </w:r>
          </w:p>
        </w:tc>
        <w:tc>
          <w:tcPr>
            <w:tcW w:w="1512" w:type="dxa"/>
          </w:tcPr>
          <w:p>
            <w:pPr>
              <w:pStyle w:val="Cell"/>
            </w:pPr>
            <w:r>
              <w:t xml:space="preserve">+0.3967</w:t>
            </w:r>
          </w:p>
        </w:tc>
        <w:tc>
          <w:tcPr>
            <w:tcW w:w="1512" w:type="dxa"/>
          </w:tcPr>
          <w:p>
            <w:pPr>
              <w:pStyle w:val="Cell"/>
            </w:pPr>
            <w:r>
              <w:t xml:space="preserve">+0.3967 to +0.3967</w:t>
            </w:r>
          </w:p>
        </w:tc>
        <w:tc>
          <w:tcPr>
            <w:tcW w:w="1512" w:type="dxa"/>
          </w:tcPr>
          <w:p>
            <w:pPr>
              <w:pStyle w:val="Cell"/>
            </w:pPr>
            <w:r>
              <w:t xml:space="preserve">0.0005</w:t>
            </w:r>
          </w:p>
        </w:tc>
      </w:tr>
      <w:tr>
        <w:tc>
          <w:tcPr>
            <w:tcW w:w="1512" w:type="dxa"/>
          </w:tcPr>
          <w:p>
            <w:pPr>
              <w:pStyle w:val="Cell"/>
            </w:pPr>
            <w:r>
              <w:t xml:space="preserve">+ political</w:t>
            </w:r>
          </w:p>
        </w:tc>
        <w:tc>
          <w:tcPr>
            <w:tcW w:w="1512" w:type="dxa"/>
          </w:tcPr>
          <w:p>
            <w:pPr>
              <w:pStyle w:val="Cell"/>
            </w:pPr>
            <w:r>
              <w:t xml:space="preserve">1,307 (0.15%)</w:t>
            </w:r>
          </w:p>
        </w:tc>
        <w:tc>
          <w:tcPr>
            <w:tcW w:w="1512" w:type="dxa"/>
          </w:tcPr>
          <w:p>
            <w:pPr>
              <w:pStyle w:val="Cell"/>
            </w:pPr>
            <w:r>
              <w:t xml:space="preserve">2 (0.2%)</w:t>
            </w:r>
          </w:p>
        </w:tc>
        <w:tc>
          <w:tcPr>
            <w:tcW w:w="1512" w:type="dxa"/>
          </w:tcPr>
          <w:p>
            <w:pPr>
              <w:pStyle w:val="Cell"/>
            </w:pPr>
            <w:r>
              <w:t xml:space="preserve">+0.2870</w:t>
            </w:r>
          </w:p>
        </w:tc>
        <w:tc>
          <w:tcPr>
            <w:tcW w:w="1512" w:type="dxa"/>
          </w:tcPr>
          <w:p>
            <w:pPr>
              <w:pStyle w:val="Cell"/>
            </w:pPr>
            <w:r>
              <w:t xml:space="preserve">+0.2870 to +0.2870</w:t>
            </w:r>
          </w:p>
        </w:tc>
        <w:tc>
          <w:tcPr>
            <w:tcW w:w="1512" w:type="dxa"/>
          </w:tcPr>
          <w:p>
            <w:pPr>
              <w:pStyle w:val="Cell"/>
            </w:pPr>
            <w:r>
              <w:t xml:space="preserve">0.0003</w:t>
            </w:r>
          </w:p>
        </w:tc>
      </w:tr>
      <w:tr>
        <w:tc>
          <w:tcPr>
            <w:tcW w:w="1512" w:type="dxa"/>
          </w:tcPr>
          <w:p>
            <w:pPr>
              <w:pStyle w:val="Cell"/>
            </w:pPr>
            <w:r>
              <w:t xml:space="preserve">no country</w:t>
            </w:r>
          </w:p>
        </w:tc>
        <w:tc>
          <w:tcPr>
            <w:tcW w:w="1512" w:type="dxa"/>
          </w:tcPr>
          <w:p>
            <w:pPr>
              <w:pStyle w:val="Cell"/>
            </w:pPr>
            <w:r>
              <w:t xml:space="preserve">409 (0.05%)</w:t>
            </w:r>
          </w:p>
        </w:tc>
        <w:tc>
          <w:tcPr>
            <w:tcW w:w="1512" w:type="dxa"/>
          </w:tcPr>
          <w:p>
            <w:pPr>
              <w:pStyle w:val="Cell"/>
            </w:pPr>
            <w:r>
              <w:t xml:space="preserve">1 (0.2%)</w:t>
            </w:r>
          </w:p>
        </w:tc>
        <w:tc>
          <w:tcPr>
            <w:tcW w:w="1512" w:type="dxa"/>
          </w:tcPr>
          <w:p>
            <w:pPr>
              <w:pStyle w:val="Cell"/>
            </w:pPr>
            <w:r>
              <w:t xml:space="preserve">+0.3441</w:t>
            </w:r>
          </w:p>
        </w:tc>
        <w:tc>
          <w:tcPr>
            <w:tcW w:w="1512" w:type="dxa"/>
          </w:tcPr>
          <w:p>
            <w:pPr>
              <w:pStyle w:val="Cell"/>
            </w:pPr>
            <w:r>
              <w:t xml:space="preserve">+0.3441 to +0.3441</w:t>
            </w:r>
          </w:p>
        </w:tc>
        <w:tc>
          <w:tcPr>
            <w:tcW w:w="1512" w:type="dxa"/>
          </w:tcPr>
          <w:p>
            <w:pPr>
              <w:pStyle w:val="Cell"/>
            </w:pPr>
            <w:r>
              <w:t xml:space="preserve">0.0007</w:t>
            </w:r>
          </w:p>
        </w:tc>
      </w:tr>
      <w:tr>
        <w:tc>
          <w:tcPr>
            <w:tcW w:w="1512" w:type="dxa"/>
          </w:tcPr>
          <w:p>
            <w:pPr>
              <w:pStyle w:val="Cell"/>
            </w:pPr>
            <w:r>
              <w:t xml:space="preserve">no region</w:t>
            </w:r>
          </w:p>
        </w:tc>
        <w:tc>
          <w:tcPr>
            <w:tcW w:w="1512" w:type="dxa"/>
          </w:tcPr>
          <w:p>
            <w:pPr>
              <w:pStyle w:val="Cell"/>
            </w:pPr>
            <w:r>
              <w:t xml:space="preserve">648 (0.08%)</w:t>
            </w:r>
          </w:p>
        </w:tc>
        <w:tc>
          <w:tcPr>
            <w:tcW w:w="1512" w:type="dxa"/>
          </w:tcPr>
          <w:p>
            <w:pPr>
              <w:pStyle w:val="Cell"/>
            </w:pPr>
            <w:r>
              <w:t xml:space="preserve">1 (0.2%)</w:t>
            </w:r>
          </w:p>
        </w:tc>
        <w:tc>
          <w:tcPr>
            <w:tcW w:w="1512" w:type="dxa"/>
          </w:tcPr>
          <w:p>
            <w:pPr>
              <w:pStyle w:val="Cell"/>
            </w:pPr>
            <w:r>
              <w:t xml:space="preserve">+0.4157</w:t>
            </w:r>
          </w:p>
        </w:tc>
        <w:tc>
          <w:tcPr>
            <w:tcW w:w="1512" w:type="dxa"/>
          </w:tcPr>
          <w:p>
            <w:pPr>
              <w:pStyle w:val="Cell"/>
            </w:pPr>
            <w:r>
              <w:t xml:space="preserve">+0.4157 to +0.4157</w:t>
            </w:r>
          </w:p>
        </w:tc>
        <w:tc>
          <w:tcPr>
            <w:tcW w:w="1512" w:type="dxa"/>
          </w:tcPr>
          <w:p>
            <w:pPr>
              <w:pStyle w:val="Cell"/>
            </w:pPr>
            <w:r>
              <w:t xml:space="preserve">0.0000</w:t>
            </w:r>
          </w:p>
        </w:tc>
      </w:tr>
      <w:tr>
        <w:tc>
          <w:tcPr>
            <w:tcW w:w="1512" w:type="dxa"/>
          </w:tcPr>
          <w:p>
            <w:pPr>
              <w:pStyle w:val="Cell"/>
            </w:pPr>
            <w:r>
              <w:t xml:space="preserve">no political</w:t>
            </w:r>
          </w:p>
        </w:tc>
        <w:tc>
          <w:tcPr>
            <w:tcW w:w="1512" w:type="dxa"/>
          </w:tcPr>
          <w:p>
            <w:pPr>
              <w:pStyle w:val="Cell"/>
            </w:pPr>
            <w:r>
              <w:t xml:space="preserve">808 (0.09%)</w:t>
            </w:r>
          </w:p>
        </w:tc>
        <w:tc>
          <w:tcPr>
            <w:tcW w:w="1512" w:type="dxa"/>
          </w:tcPr>
          <w:p>
            <w:pPr>
              <w:pStyle w:val="Cell"/>
            </w:pPr>
            <w:r>
              <w:t xml:space="preserve">0 (0.0%)</w:t>
            </w:r>
          </w:p>
        </w:tc>
        <w:tc>
          <w:tcPr>
            <w:tcW w:w="1512" w:type="dxa"/>
          </w:tcPr>
          <w:p>
            <w:pPr>
              <w:pStyle w:val="Cell"/>
            </w:pPr>
            <w:r>
              <w:t xml:space="preserve">+0.5231</w:t>
            </w:r>
          </w:p>
        </w:tc>
        <w:tc>
          <w:tcPr>
            <w:tcW w:w="1512" w:type="dxa"/>
          </w:tcPr>
          <w:p>
            <w:pPr>
              <w:pStyle w:val="Cell"/>
            </w:pPr>
            <w:r>
              <w:t xml:space="preserve">+0.5231 to +0.5231</w:t>
            </w:r>
          </w:p>
        </w:tc>
        <w:tc>
          <w:tcPr>
            <w:tcW w:w="1512" w:type="dxa"/>
          </w:tcPr>
          <w:p>
            <w:pPr>
              <w:pStyle w:val="Cell"/>
            </w:pPr>
            <w:r>
              <w:t xml:space="preserve">0.0000</w:t>
            </w:r>
          </w:p>
        </w:tc>
      </w:tr>
      <w:tr>
        <w:tc>
          <w:tcPr>
            <w:tcW w:w="1512" w:type="dxa"/>
          </w:tcPr>
          <w:p>
            <w:pPr>
              <w:pStyle w:val="Cell"/>
            </w:pPr>
            <w:r>
              <w:t xml:space="preserve">Qwen 1P anchored</w:t>
            </w:r>
          </w:p>
        </w:tc>
        <w:tc>
          <w:tcPr>
            <w:tcW w:w="1512" w:type="dxa"/>
          </w:tcPr>
          <w:p>
            <w:pPr>
              <w:pStyle w:val="Cell"/>
            </w:pPr>
            <w:r>
              <w:t xml:space="preserve">53 (0.01%)</w:t>
            </w:r>
          </w:p>
        </w:tc>
        <w:tc>
          <w:tcPr>
            <w:tcW w:w="1512" w:type="dxa"/>
          </w:tcPr>
          <w:p>
            <w:pPr>
              <w:pStyle w:val="Cell"/>
            </w:pPr>
            <w:r>
              <w:t xml:space="preserve">0 (0.0%)</w:t>
            </w:r>
          </w:p>
        </w:tc>
        <w:tc>
          <w:tcPr>
            <w:tcW w:w="1512" w:type="dxa"/>
          </w:tcPr>
          <w:p>
            <w:pPr>
              <w:pStyle w:val="Cell"/>
            </w:pPr>
            <w:r>
              <w:t xml:space="preserve">+0.6501</w:t>
            </w:r>
          </w:p>
        </w:tc>
        <w:tc>
          <w:tcPr>
            <w:tcW w:w="1512" w:type="dxa"/>
          </w:tcPr>
          <w:p>
            <w:pPr>
              <w:pStyle w:val="Cell"/>
            </w:pPr>
            <w:r>
              <w:t xml:space="preserve">+0.6501 to +0.6501</w:t>
            </w:r>
          </w:p>
        </w:tc>
        <w:tc>
          <w:tcPr>
            <w:tcW w:w="1512" w:type="dxa"/>
          </w:tcPr>
          <w:p>
            <w:pPr>
              <w:pStyle w:val="Cell"/>
            </w:pPr>
            <w:r>
              <w:t xml:space="preserve">0.0000</w:t>
            </w:r>
          </w:p>
        </w:tc>
      </w:tr>
      <w:tr>
        <w:tc>
          <w:tcPr>
            <w:tcW w:w="1512" w:type="dxa"/>
          </w:tcPr>
          <w:p>
            <w:pPr>
              <w:pStyle w:val="Cell"/>
            </w:pPr>
            <w:r>
              <w:t xml:space="preserve">no country, anchored</w:t>
            </w:r>
          </w:p>
        </w:tc>
        <w:tc>
          <w:tcPr>
            <w:tcW w:w="1512" w:type="dxa"/>
          </w:tcPr>
          <w:p>
            <w:pPr>
              <w:pStyle w:val="Cell"/>
            </w:pPr>
            <w:r>
              <w:t xml:space="preserve">75 (0.02%)</w:t>
            </w:r>
          </w:p>
        </w:tc>
        <w:tc>
          <w:tcPr>
            <w:tcW w:w="1512" w:type="dxa"/>
          </w:tcPr>
          <w:p>
            <w:pPr>
              <w:pStyle w:val="Cell"/>
            </w:pPr>
            <w:r>
              <w:t xml:space="preserve">0 (0.0%)</w:t>
            </w:r>
          </w:p>
        </w:tc>
        <w:tc>
          <w:tcPr>
            <w:tcW w:w="1512" w:type="dxa"/>
          </w:tcPr>
          <w:p>
            <w:pPr>
              <w:pStyle w:val="Cell"/>
            </w:pPr>
            <w:r>
              <w:t xml:space="preserve">+0.3891</w:t>
            </w:r>
          </w:p>
        </w:tc>
        <w:tc>
          <w:tcPr>
            <w:tcW w:w="1512" w:type="dxa"/>
          </w:tcPr>
          <w:p>
            <w:pPr>
              <w:pStyle w:val="Cell"/>
            </w:pPr>
            <w:r>
              <w:t xml:space="preserve">+0.3891 to +0.3891</w:t>
            </w:r>
          </w:p>
        </w:tc>
        <w:tc>
          <w:tcPr>
            <w:tcW w:w="1512" w:type="dxa"/>
          </w:tcPr>
          <w:p>
            <w:pPr>
              <w:pStyle w:val="Cell"/>
            </w:pPr>
            <w:r>
              <w:t xml:space="preserve">0.0000</w:t>
            </w:r>
          </w:p>
        </w:tc>
      </w:tr>
      <w:tr>
        <w:tc>
          <w:tcPr>
            <w:tcW w:w="1512" w:type="dxa"/>
          </w:tcPr>
          <w:p>
            <w:pPr>
              <w:pStyle w:val="Cell"/>
            </w:pPr>
            <w:r>
              <w:t xml:space="preserve">no region, anchored</w:t>
            </w:r>
          </w:p>
        </w:tc>
        <w:tc>
          <w:tcPr>
            <w:tcW w:w="1512" w:type="dxa"/>
          </w:tcPr>
          <w:p>
            <w:pPr>
              <w:pStyle w:val="Cell"/>
            </w:pPr>
            <w:r>
              <w:t xml:space="preserve">46 (0.01%)</w:t>
            </w:r>
          </w:p>
        </w:tc>
        <w:tc>
          <w:tcPr>
            <w:tcW w:w="1512" w:type="dxa"/>
          </w:tcPr>
          <w:p>
            <w:pPr>
              <w:pStyle w:val="Cell"/>
            </w:pPr>
            <w:r>
              <w:t xml:space="preserve">0 (0.0%)</w:t>
            </w:r>
          </w:p>
        </w:tc>
        <w:tc>
          <w:tcPr>
            <w:tcW w:w="1512" w:type="dxa"/>
          </w:tcPr>
          <w:p>
            <w:pPr>
              <w:pStyle w:val="Cell"/>
            </w:pPr>
            <w:r>
              <w:t xml:space="preserve">+0.6369</w:t>
            </w:r>
          </w:p>
        </w:tc>
        <w:tc>
          <w:tcPr>
            <w:tcW w:w="1512" w:type="dxa"/>
          </w:tcPr>
          <w:p>
            <w:pPr>
              <w:pStyle w:val="Cell"/>
            </w:pPr>
            <w:r>
              <w:t xml:space="preserve">+0.6369 to +0.6369</w:t>
            </w:r>
          </w:p>
        </w:tc>
        <w:tc>
          <w:tcPr>
            <w:tcW w:w="1512" w:type="dxa"/>
          </w:tcPr>
          <w:p>
            <w:pPr>
              <w:pStyle w:val="Cell"/>
            </w:pPr>
            <w:r>
              <w:t xml:space="preserve">0.0000</w:t>
            </w:r>
          </w:p>
        </w:tc>
      </w:tr>
      <w:tr>
        <w:tc>
          <w:tcPr>
            <w:tcW w:w="1512" w:type="dxa"/>
          </w:tcPr>
          <w:p>
            <w:pPr>
              <w:pStyle w:val="Cell"/>
            </w:pPr>
            <w:r>
              <w:t xml:space="preserve">repeat run</w:t>
            </w:r>
          </w:p>
        </w:tc>
        <w:tc>
          <w:tcPr>
            <w:tcW w:w="1512" w:type="dxa"/>
          </w:tcPr>
          <w:p>
            <w:pPr>
              <w:pStyle w:val="Cell"/>
            </w:pPr>
            <w:r>
              <w:t xml:space="preserve">67 (0.01%)</w:t>
            </w:r>
          </w:p>
        </w:tc>
        <w:tc>
          <w:tcPr>
            <w:tcW w:w="1512" w:type="dxa"/>
          </w:tcPr>
          <w:p>
            <w:pPr>
              <w:pStyle w:val="Cell"/>
            </w:pPr>
            <w:r>
              <w:t xml:space="preserve">1 (1.5%)</w:t>
            </w:r>
          </w:p>
        </w:tc>
        <w:tc>
          <w:tcPr>
            <w:tcW w:w="1512" w:type="dxa"/>
          </w:tcPr>
          <w:p>
            <w:pPr>
              <w:pStyle w:val="Cell"/>
            </w:pPr>
            <w:r>
              <w:t xml:space="preserve">+0.3249</w:t>
            </w:r>
          </w:p>
        </w:tc>
        <w:tc>
          <w:tcPr>
            <w:tcW w:w="1512" w:type="dxa"/>
          </w:tcPr>
          <w:p>
            <w:pPr>
              <w:pStyle w:val="Cell"/>
            </w:pPr>
            <w:r>
              <w:t xml:space="preserve">+0.3249 to +0.3249</w:t>
            </w:r>
          </w:p>
        </w:tc>
        <w:tc>
          <w:tcPr>
            <w:tcW w:w="151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18"/>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