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Early evaluations found that model responses track human ones across several domains.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Later work found compressed distributions and misrepresented groups.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To address these gaps, this study runs four tests in one design.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model-free comparators.</w:t>
      </w:r>
    </w:p>
    <w:p>
      <w:pPr>
        <w:pStyle w:val="Body"/>
      </w:pPr>
      <w:r>
        <w:t xml:space="preserve">Overall, the models treat the country name as a group-level prior. The label carries most of the aggregate signal. Enriching the profile beyond it adds no consistent gain. The response format decides whether the model ranks countries the right way round or backwards. None of it amounts to individual-level recovery.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which way the ordering runs. The practical one is a benchmark against model-free alternatives, the comparison a prospective user needs.</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w:t>
      </w:r>
    </w:p>
    <w:p>
      <w:pPr>
        <w:pStyle w:val="Body"/>
      </w:pPr>
      <w:r>
        <w:t xml:space="preserve">The literature supports two expectations. First, recovery should be uneven across items, and part of that unevenness should follow how the response scale is presented, because option format shifts model answers independently of content (Section 2.2). Second,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Yet the resulting correspondence is ambiguous: agreement with national averages may reflect calibrated country knowledge, stereotypic associations, or both.</w:t>
      </w:r>
    </w:p>
    <w:p>
      <w:pPr>
        <w:pStyle w:val="Body"/>
      </w:pPr>
      <w:r>
        <w:t xml:space="preserve">The response format can create cross-national differences by itself. Format here means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rank countries backwards on those items and correctly elsewhere, and supplying verbal endpoints should remove the inversion without touching the model’s knowledge.</w:t>
      </w:r>
    </w:p>
    <w:p>
      <w:pPr>
        <w:pStyle w:val="Body"/>
      </w:pPr>
      <w:r>
        <w:t xml:space="preserve">RQ2. Which part of the prompt produces the aggregate signal, and why does the model rank countries backwards on some items?</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how the person would answer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the contrast is reported with the individual-level results.</w:t>
      </w:r>
    </w:p>
    <w:p>
      <w:pPr>
        <w:pStyle w:val="Body"/>
      </w:pPr>
      <w:r>
        <w:t xml:space="preserve">Richer conditioning rescues individual recovery only when it is far richer than a demographic profile.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together, because the two levels have to be told apart before either can be used:</w:t>
      </w:r>
    </w:p>
    <w:p>
      <w:pPr>
        <w:pStyle w:val="Body"/>
      </w:pPr>
      <w:r>
        <w:t xml:space="preserve">RQ3. How much individual-level recovery is there,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FigTitle"/>
      </w:pPr>
      <w:r>
        <w:rPr>
          <w:b/>
        </w:rPr>
        <w:t xml:space="preserve">Figure 1. </w:t>
      </w:r>
      <w:r>
        <w:t xml:space="preserve">The simulation pipeline.</w:t>
      </w:r>
    </w:p>
    <w:p>
      <w:pPr>
        <w:pStyle w:val="FigNote"/>
      </w:pPr>
      <w:r>
        <w:rPr>
          <w:i/>
        </w:rPr>
        <w:t xml:space="preserve">Note. </w:t>
      </w:r>
      <w:r>
        <w:t xml:space="preserve">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name no scale endpoints in words.</w:t>
      </w:r>
    </w:p>
    <w:p>
      <w:pPr>
        <w:pStyle w:val="Body"/>
      </w:pPr>
      <w:r>
        <w:t xml:space="preserve">For each country, 685 respondents are randomly subsampled from the ESS, the number available in the smallest country sample.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Appendix B.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The same with-and-without logic runs over the whole profile. The 20 backstory variables partition into 10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Body"/>
      </w:pPr>
      <w:r>
        <w:t xml:space="preserve">A 2 (country label: present, absent) × 2 (response scale: numbers only, numbers with verbal endpoints) experiment tests whether the format decides the direction of the label’s effect. Its four arms run on a 22-item batch: 12 of the 13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Each country’s 42-item aggregate profile correlation, </w:t>
      </w:r>
      <w:r>
        <w:rPr>
          <w:i/>
        </w:rPr>
        <w:t>r</w:t>
      </w:r>
      <w:r>
        <w:rPr>
          <w:i/>
          <w:vertAlign w:val="subscript"/>
        </w:rPr>
        <w:t>prof</w:t>
      </w:r>
      <w:r>
        <w:t xml:space="preserve">, carries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D.</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4.1.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with the pooled correlation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Against the pre-declared thresholds, 20 of 42 items exceed 0.5 and nine exceed 0.7. Qwen 1P performs best of the four conditions and is the reference for the focused analyses below, and all four appear in Figures 2 and 6, so the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FigTitle"/>
      </w:pPr>
      <w:r>
        <w:rPr>
          <w:b/>
        </w:rPr>
        <w:t xml:space="preserve">Figure 2. </w:t>
      </w:r>
      <w:r>
        <w:t xml:space="preserve">Aggregate recovery: by condition, and item by item.</w:t>
      </w:r>
    </w:p>
    <w:p>
      <w:pPr>
        <w:pStyle w:val="FigNote"/>
      </w:pPr>
      <w:r>
        <w:rPr>
          <w:i/>
        </w:rPr>
        <w:t xml:space="preserve">Note. </w:t>
      </w:r>
      <w:r>
        <w:t xml:space="preserve">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Institutional trust and subjective well-being recover best, whereas income, safety, and health invert. Panel (b) ranks the same 42 items under Qwen 1P, and the full labeled ranking is in Appendix Figure A1. Trust items dominate the top (trust in the police 0.82, trust in parliament 0.79, trust in the legal system 0.78). The model reverses the cross-national ordering of 11 items,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Of the 11 inversions, 10 are reverse-coded items, and direction alone explains 66% of the variance in </w:t>
      </w:r>
      <w:r>
        <w:rPr>
          <w:i/>
        </w:rPr>
        <w:t>r</w:t>
      </w:r>
      <w:r>
        <w:rPr>
          <w:i/>
          <w:vertAlign w:val="subscript"/>
        </w:rPr>
        <w:t>bc</w:t>
      </w:r>
      <w:r>
        <w:t xml:space="preserve"> across the 42 items. Among forward-coded items, recovery also rises with the size of the true cross-national differences (</w:t>
      </w:r>
      <w:r>
        <w:rPr>
          <w:i/>
        </w:rPr>
        <w:t>r</w:t>
      </w:r>
      <w:r>
        <w:t xml:space="preserve"> = 0.46, p = 0.012 across the 29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F). A reader who wants to rank countries gets moderate performance. A reader who wants to use the number as an estimate of a country’s value gets almost nothing.</w:t>
      </w:r>
    </w:p>
    <w:p>
      <w:pPr>
        <w:pStyle w:val="Body"/>
      </w:pPr>
      <w:r>
        <w:t xml:space="preserve">Predictors that use no model at all recover the same country means better. One predicts each country’s item mean by the leave-one-out average of its regional neighbors. It gives a median </w:t>
      </w:r>
      <w:r>
        <w:rPr>
          <w:i/>
        </w:rPr>
        <w:t>r</w:t>
      </w:r>
      <w:r>
        <w:rPr>
          <w:i/>
          <w:vertAlign w:val="subscript"/>
        </w:rPr>
        <w:t>bc</w:t>
      </w:r>
      <w:r>
        <w:t xml:space="preserve"> of 0.55 against the model’s 0.44 and a median normalized error of 0.056 against 0.180, and it wins on level accuracy for 41 of 42 items. Adding log GDP per capita to region dummies raises the comparator to 0.62 and 0.052. Section 5.3 takes up what that means for a user.</w:t>
      </w:r>
    </w:p>
    <w:p>
      <w:pPr>
        <w:pStyle w:val="H2"/>
      </w:pPr>
      <w:r>
        <w:t xml:space="preserve">4.2 The country label carries the signal, the response format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FigTitle"/>
      </w:pPr>
      <w:r>
        <w:rPr>
          <w:b/>
        </w:rPr>
        <w:t xml:space="preserve">Figure 3. </w:t>
      </w:r>
      <w:r>
        <w:t xml:space="preserve">A wrong country name costs the country the respondents came from, Qwen 1P.</w:t>
      </w:r>
    </w:p>
    <w:p>
      <w:pPr>
        <w:pStyle w:val="FigNote"/>
      </w:pPr>
      <w:r>
        <w:rPr>
          <w:i/>
        </w:rPr>
        <w:t xml:space="preserve">Note. </w:t>
      </w:r>
      <w:r>
        <w:t xml:space="preserve">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The second row against the third is small and its interval includes zero, so the arm is not evidence that recovery transfers to the country named.</w:t>
      </w:r>
    </w:p>
    <w:p>
      <w:pPr>
        <w:pStyle w:val="Body"/>
      </w:pPr>
      <w:r>
        <w:t xml:space="preserve">Removing the country sentence moves recovery more than removing anything else does. It is taken out of an otherwise identical rich profile, holding the same respondents and items. With the country present the paired item-level correlation is higher by a median 0.135 on forward-coded items, where 27 of 29 improve (p &lt; 0.001), and lower by 0.176 on reverse-coded items, where 1 of 13 improves. Of the three original removal contrasts, only the country label produces an effect that survives correction for multiplicity and exceeds the noise floor (Appendix H).</w:t>
      </w:r>
    </w:p>
    <w:p>
      <w:pPr>
        <w:pStyle w:val="Body"/>
      </w:pPr>
      <w:r>
        <w:t xml:space="preserve">No other block comes near the country label. Adding the country name to a backstory that already specifies gender, age, and birth year raises median </w:t>
      </w:r>
      <w:r>
        <w:rPr>
          <w:i/>
        </w:rPr>
        <w:t>r</w:t>
      </w:r>
      <w:r>
        <w:rPr>
          <w:i/>
          <w:vertAlign w:val="subscript"/>
        </w:rPr>
        <w:t>bc</w:t>
      </w:r>
      <w:r>
        <w:t xml:space="preserve"> from −0.03 to 0.52 (Fisher z +0.73 on forward items, −0.44 on reverse items), and nothing else approaches either of its margins. Figure 4 gives every block’s effect at both margins, and Appendix Figure A3 gives the country-label contrast item by item.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FigTitle"/>
      </w:pPr>
      <w:r>
        <w:rPr>
          <w:b/>
        </w:rPr>
        <w:t xml:space="preserve">Figure 4. </w:t>
      </w:r>
      <w:r>
        <w:t xml:space="preserve">Each backstory block’s effect on aggregate recovery at the two margins that bound it, Qwen 1P.</w:t>
      </w:r>
    </w:p>
    <w:p>
      <w:pPr>
        <w:pStyle w:val="FigNote"/>
      </w:pPr>
      <w:r>
        <w:rPr>
          <w:i/>
        </w:rPr>
        <w:t xml:space="preserve">Note. </w:t>
      </w:r>
      <w:r>
        <w:t xml:space="preserve">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13 whose numeric scale runs against the direction of the question. They are drawn as separate bars because the effect reverses sign with wording, and one bar per block would average the forward gain against the reverse loss and read as no effect.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label needs no demographics at all. It recovers 0.52 without them,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decides whether the countries come out in the right order or backwards. These are one interacting mechanism, not two parallel ones, and the inversions follow from the format and not from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FigTitle"/>
      </w:pPr>
      <w:r>
        <w:rPr>
          <w:b/>
        </w:rPr>
        <w:t xml:space="preserve">Figure 5. </w:t>
      </w:r>
      <w:r>
        <w:t xml:space="preserve">The country label by the response format, 22 items, Qwen 1P.</w:t>
      </w:r>
    </w:p>
    <w:p>
      <w:pPr>
        <w:pStyle w:val="FigNote"/>
      </w:pPr>
      <w:r>
        <w:rPr>
          <w:i/>
        </w:rPr>
        <w:t xml:space="preserve">Note. </w:t>
      </w:r>
      <w:r>
        <w:t xml:space="preserve">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even the largest implies less than 0.1% shared variance. First- and third-person framing do not differ in either model (Table A4).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FigTitle"/>
      </w:pPr>
      <w:r>
        <w:rPr>
          <w:b/>
        </w:rPr>
        <w:t xml:space="preserve">Figure 6. </w:t>
      </w:r>
      <w:r>
        <w:t xml:space="preserve">Individual-level recovery: by condition, and item by item.</w:t>
      </w:r>
    </w:p>
    <w:p>
      <w:pPr>
        <w:pStyle w:val="FigNote"/>
      </w:pPr>
      <w:r>
        <w:rPr>
          <w:i/>
        </w:rPr>
        <w:t xml:space="preserve">Note. </w:t>
      </w:r>
      <w:r>
        <w:t xml:space="preserve">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Even Israel, the highest country mean at 0.077, has less than 1% of individual variance explained. In a replicate arm 95% of the within-country variance the model produces is generation noise.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At this level 11 of the 42 items are negative,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Dispersion fails the pre-declared band in both directions. Under Qwen 1P the mean ratio of model to human standard deviations is 0.61, using the mean of the per-cell ratios. The median is 0.57 and the ratio of means 0.59, and all three fail the pre-declared 0.9–1.1 band. Llama 3P instead expands variance (1.41). Aggregate rank correspondence therefore does not imply distributional recovery.</w:t>
      </w:r>
    </w:p>
    <w:p>
      <w:pPr>
        <w:pStyle w:val="Body"/>
      </w:pPr>
      <w:r>
        <w:t xml:space="preserve">The two levels sit far apart. The pooled correlation lies between 0.64 and 0.83 across conditions while within-country recovery is near zero (Figures 2 and 6). Figure 6(b) draws the individual level on the axis of Figure 2(b), so the two series are directly comparable: the aggregate spans 1.64 correlation units against the individual 0.30, a ratio of 5.5. The aggregate-individual dissociation is established for single-country designs. What is new is that it survives across 30 countries and that scale anchoring moves both levels together.</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FigTitle"/>
      </w:pPr>
      <w:r>
        <w:rPr>
          <w:b/>
        </w:rPr>
        <w:t xml:space="preserve">Figure 7. </w:t>
      </w:r>
      <w:r>
        <w:t xml:space="preserve">Aggregate against individual country rankings, Qwen 1P.</w:t>
      </w:r>
    </w:p>
    <w:p>
      <w:pPr>
        <w:pStyle w:val="FigNote"/>
      </w:pPr>
      <w:r>
        <w:rPr>
          <w:i/>
        </w:rPr>
        <w:t xml:space="preserve">Note. </w:t>
      </w:r>
      <w:r>
        <w:t xml:space="preserve">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The 16 checks leave the conclusions where they stand, with one exception: parse coverage in the Llama third-person arm. They vary the human benchmark, the investigator codings, the estimator and the aggregator, the comparator’s specification, parse coverage, and the run and the round. Appendix Table A5 gives the quantity each one moves. Two of them set the terms on which the rest are read, and both are given here.</w:t>
      </w:r>
    </w:p>
    <w:p>
      <w:pPr>
        <w:pStyle w:val="Body"/>
      </w:pPr>
      <w:r>
        <w:t xml:space="preserve">The direction coding was fixed in advance and a second model reproduces it. It comes from the ESS codebook and was set before any result was seen, and its agreement with an independently trained model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Of the eight items beyond the band, the two largest are items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The scale experiment shows they are not. Naming the two scale endpoints in words removes the item inversions, reverses the sign of the country-label effect on reverse-coded items, and triples individual-level recovery. One manipulation does all three. Two of the three main results therefore share a cause, and the cause lies in the measurement instrument. The country label result stands apart: the label, and not the profile around it, carries the aggregate signal.</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 It is used as noise. Almost none of the variation the model produces within a country is respondent-specific, and nearly all of it is generation noise (Section 4.3).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F).</w:t>
      </w:r>
    </w:p>
    <w:p>
      <w:pPr>
        <w:pStyle w:val="Body"/>
      </w:pPr>
      <w:r>
        <w:t xml:space="preserve">Two other readings do not survive. Identifiability is not the mechanism. If it were, recovery would track it, and recovery instead varies widely among profiles that identify the country equally well, with the sparsest profile containing the country beating every richer one (Appendix I). Sensible cue use is not the mechanism either. Country may be the most informative single cue for these outcomes, so leaning on it could be cue use and not stereotype activation, and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A model can tell countries apart without representing any of them, as human national-character beliefs can (Terracciano et al., 2005). LLM population simulations show uneven correspondence across countries (Durmus et al., 2023; Qu &amp; Wang, 2024).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label result speaks to two literatures at once. Cultural-alignment research asks which national profiles models resemble (Durmus et al., 2023; Tao et al., 2024). Survey-simulation research asks whether conditioned outputs reproduce the target population (Bail, 2024; Bisbee et al., 2024). A country label delivers the first without the second.</w:t>
      </w:r>
    </w:p>
    <w:p>
      <w:pPr>
        <w:pStyle w:val="H2"/>
      </w:pPr>
      <w:r>
        <w:t xml:space="preserve">5.2 Item-level failure is a property of the instrument</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rank countries the other way round under another one.</w:t>
      </w:r>
    </w:p>
    <w:p>
      <w:pPr>
        <w:pStyle w:val="Body"/>
      </w:pPr>
      <w:r>
        <w:t xml:space="preserve">Most of the variance in item-level recovery follows direction, and what is left has a pattern of its own. The items that recover are about the country, and the ones that invert (income, health, safety) are about the respondent. One reading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4.1). How safe a respondent feels walking home after dark has no comparable public ordering. The reading fits the group-level prior, and it predicts which items a country cue can carry: those already discussed at country level. The reading was formed after the results and it holds: recovery is larger where the true cross-national differences are larger (Section 4.1).</w:t>
      </w:r>
    </w:p>
    <w:p>
      <w:pPr>
        <w:pStyle w:val="Body"/>
      </w:pPr>
      <w:r>
        <w:t xml:space="preserve">High pooled correlations mask negative item-level country correlations by combining well-recovered and inverted items. In these data, high pooled and profile correlations coexist with the reversed items, so a screening rule based on either would pass the battery unchanged. Item-level diagnostics are therefore necessary before pooled or profile metrics are used.</w:t>
      </w:r>
    </w:p>
    <w:p>
      <w:pPr>
        <w:pStyle w:val="Body"/>
      </w:pPr>
      <w:r>
        <w:t xml:space="preserve">5.3 Aggregate recovery supports rank comparison, not individual or distributional inference</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demographic prompting on its own does not close the gap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The pattern is about items, not about which countries are well represented.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Both comparators in Section 4.1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supports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three contributions are empirical, methodological, and practical. The empirical one is the evaluation itself: item rankings, individual recovery, and the label’s incremental contribution, measured for the first time on the same respondents, items, and prompts. What it finds is a group-level prior: the label carries the aggregate signal, no richer profile improves on it, and none of it reaches the individual level. The methodological one is to make those readings testable. Each block is observed at both of the margins that bound it, so no ordering of additions can be chosen after the fact. A falsification arm tests whether the cue is specific to the country named, and a 2 × 2 turns the item inversions from an interpretation into a result. Recovery is reported item by item against a measured run-to-run floor. A pooled correlation would have hidden the inverted items. The practical one is a standard of adequacy. Recovery is judged against model-free comparators a researcher who holds survey data already has, and on these items the regional average wins.</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 Third, the no-country arm still carries country information in the composition of harmonized categories, where a classifier recovers the country 28.7% of the time against a 3.3% baseline. Its 0.34 median recovery therefore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M).</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Two quantities a user needs are still unmeasured here, multivariate structure and subgroup calibration. Each should be judged against the estimand it is meant to serve.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runs in fourteen sections, A to N, in the order the chapter calls on them. Its figures and tables are numbered straight through, A1 onward, so a label such as Table A2 gives the table’s own number and not the section it sits in.</w:t>
      </w:r>
    </w:p>
    <w:p>
      <w:pPr>
        <w:pStyle w:val="H2"/>
      </w:pPr>
      <w:r>
        <w:t xml:space="preserve">Appendix A. Survey items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FigTitle"/>
      </w:pPr>
      <w:r>
        <w:rPr>
          <w:b/>
        </w:rPr>
        <w:t xml:space="preserve">Table A1. </w:t>
      </w:r>
      <w:r>
        <w:t xml:space="preserve">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FigNote"/>
      </w:pPr>
      <w:r>
        <w:rPr>
          <w:i/>
        </w:rPr>
        <w:t xml:space="preserve">Note. </w:t>
      </w:r>
      <w:r>
        <w:t xml:space="preserve">Scale is the numeric range supplied to the model, with no verbal endpoints except in the three social trust questions. Domain is the grouping used in the domain-level analyses.</w:t>
      </w:r>
    </w:p>
    <w:p>
      <w:pPr>
        <w:pStyle w:val="H2"/>
      </w:pPr>
      <w:r>
        <w:t xml:space="preserve">Appendix B. Example prompt</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Body"/>
      </w:pPr>
      <w:r>
        <w:t xml:space="preserve">Scale: 0-10</w:t>
      </w:r>
    </w:p>
    <w:p>
      <w:pPr>
        <w:pStyle w:val="Body"/>
      </w:pPr>
      <w:r>
        <w:t xml:space="preserve">Respond with ONLY a single number within the scale range. No explanation.</w:t>
      </w:r>
    </w:p>
    <w:p>
      <w:pPr>
        <w:pStyle w:val="H2"/>
      </w:pPr>
      <w:r>
        <w:t xml:space="preserve">Appendix C. Backstory leakage</w:t>
      </w:r>
    </w:p>
    <w:p>
      <w:pPr>
        <w:pStyle w:val="Body"/>
      </w:pPr>
      <w:r>
        <w:t xml:space="preserve">Table A2 shows how removing leaked outcome information changes the seven affected items. Its final column distinguishes direct echoes from attenuated inverse mappings.</w:t>
      </w:r>
    </w:p>
    <w:p>
      <w:pPr>
        <w:pStyle w:val="FigTitle"/>
      </w:pPr>
      <w:r>
        <w:rPr>
          <w:b/>
        </w:rPr>
        <w:t xml:space="preserve">Table A2. </w:t>
      </w:r>
      <w:r>
        <w:t xml:space="preserve">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FigNote"/>
      </w:pPr>
      <w:r>
        <w:rPr>
          <w:i/>
        </w:rPr>
        <w:t xml:space="preserve">Note. </w:t>
      </w:r>
      <w:r>
        <w:t xml:space="preserve">“Echo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2"/>
      </w:pPr>
      <w:r>
        <w:t xml:space="preserve">Appendix D. 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H2"/>
      </w:pPr>
      <w:r>
        <w:t xml:space="preserve">Appendix E. Per-item aggregate recovery</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FigTitle"/>
      </w:pPr>
      <w:r>
        <w:rPr>
          <w:b/>
        </w:rPr>
        <w:t xml:space="preserve">Figure A1. </w:t>
      </w:r>
      <w:r>
        <w:t xml:space="preserve">Per-item country-level recovery: </w:t>
      </w:r>
      <w:r>
        <w:rPr>
          <w:i/>
        </w:rPr>
        <w:t>r</w:t>
      </w:r>
      <w:r>
        <w:rPr>
          <w:i/>
          <w:vertAlign w:val="subscript"/>
        </w:rPr>
        <w:t>bc</w:t>
      </w:r>
      <w:r>
        <w:t xml:space="preserve"> for all 42 ESS items under Qwen 1P, ranked from most positive to most negative.</w:t>
      </w:r>
    </w:p>
    <w:p>
      <w:pPr>
        <w:pStyle w:val="FigNote"/>
      </w:pPr>
      <w:r>
        <w:rPr>
          <w:i/>
        </w:rPr>
        <w:t xml:space="preserve">Note. </w:t>
      </w:r>
      <w:r>
        <w:t xml:space="preserve">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FigTitle"/>
      </w:pPr>
      <w:r>
        <w:rPr>
          <w:b/>
        </w:rPr>
        <w:t xml:space="preserve">Figure A2. </w:t>
      </w:r>
      <w:r>
        <w:t xml:space="preserve">Country-level scatter for two contrasting items, Qwen 1P.</w:t>
      </w:r>
    </w:p>
    <w:p>
      <w:pPr>
        <w:pStyle w:val="FigNote"/>
      </w:pPr>
      <w:r>
        <w:rPr>
          <w:i/>
        </w:rPr>
        <w:t xml:space="preserve">Note. </w:t>
      </w:r>
      <w:r>
        <w:t xml:space="preserve">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2"/>
      </w:pPr>
      <w:r>
        <w:t xml:space="preserve">Appendix F. 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w:t>
      </w:r>
      <w:r>
        <w:rPr>
          <w:i/>
        </w:rPr>
        <w:t>r</w:t>
      </w:r>
      <w:r>
        <w:rPr>
          <w:i/>
          <w:vertAlign w:val="subscript"/>
        </w:rPr>
        <w:t>bc</w:t>
      </w:r>
      <w:r>
        <w:t xml:space="preserve">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rPr>
          <w:i/>
          <w:vertAlign w:val="subscript"/>
        </w:rPr>
        <w:t>bc</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Of the 42 items, 11 have negative concordance, which is worse than no agreement at all.</w:t>
      </w:r>
    </w:p>
    <w:p>
      <w:pPr>
        <w:pStyle w:val="H2"/>
      </w:pPr>
      <w:r>
        <w:t xml:space="preserve">Appendix G. The country-label contrast</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FigTitle"/>
      </w:pPr>
      <w:r>
        <w:rPr>
          <w:b/>
        </w:rPr>
        <w:t xml:space="preserve">Figure A3. </w:t>
      </w:r>
      <w:r>
        <w:t xml:space="preserve">The country-label contrast, item by item, Qwen 1P.</w:t>
      </w:r>
    </w:p>
    <w:p>
      <w:pPr>
        <w:pStyle w:val="FigNote"/>
      </w:pPr>
      <w:r>
        <w:rPr>
          <w:i/>
        </w:rPr>
        <w:t xml:space="preserve">Note. </w:t>
      </w:r>
      <w:r>
        <w:t xml:space="preserve">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2"/>
      </w:pPr>
      <w:r>
        <w:t xml:space="preserve">Appendix H. 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2"/>
      </w:pPr>
      <w:r>
        <w:t xml:space="preserve">Appendix I. Country identifiability</w:t>
      </w:r>
    </w:p>
    <w:p>
      <w:pPr>
        <w:pStyle w:val="Body"/>
      </w:pPr>
      <w:r>
        <w:t xml:space="preserve">A multinomial classifier was trained to recover the country from the rendered backstory text of each of the 10 variants, with a majority-class baseline of 3.33%. Eight of them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2"/>
      </w:pPr>
      <w:r>
        <w:t xml:space="preserve">Appendix J. 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0.210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w:t>
      </w:r>
    </w:p>
    <w:p>
      <w:pPr>
        <w:pStyle w:val="FigTitle"/>
      </w:pPr>
      <w:r>
        <w:rPr>
          <w:b/>
        </w:rPr>
        <w:t xml:space="preserve">Table A3. </w:t>
      </w:r>
      <w:r>
        <w:t xml:space="preserve">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FigNote"/>
      </w:pPr>
      <w:r>
        <w:rPr>
          <w:i/>
        </w:rPr>
        <w:t xml:space="preserve">Note. </w:t>
      </w:r>
      <w:r>
        <w:t xml:space="preserve">Each cell is the mean within-country correlation over the items in that domain. The demographic ceiling for comparison is 0.210 (Section 3.5).</w:t>
      </w:r>
    </w:p>
    <w:p>
      <w:pPr>
        <w:pStyle w:val="Body"/>
      </w:pPr>
      <w:r>
        <w:t xml:space="preserve">Of the 42 items, 11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FigTitle"/>
      </w:pPr>
      <w:r>
        <w:rPr>
          <w:b/>
        </w:rPr>
        <w:t xml:space="preserve">Figure A4. </w:t>
      </w:r>
      <w:r>
        <w:t xml:space="preserve">Per-item individual-level recovery: mean within-country </w:t>
      </w:r>
      <w:r>
        <w:rPr>
          <w:i/>
        </w:rPr>
        <w:t>r</w:t>
      </w:r>
      <w:r>
        <w:rPr>
          <w:i/>
          <w:vertAlign w:val="subscript"/>
        </w:rPr>
        <w:t>wc</w:t>
      </w:r>
      <w:r>
        <w:t xml:space="preserve"> for all 42 ESS items under Qwen 1P, ranked from most positive to most negative.</w:t>
      </w:r>
    </w:p>
    <w:p>
      <w:pPr>
        <w:pStyle w:val="FigNote"/>
      </w:pPr>
      <w:r>
        <w:rPr>
          <w:i/>
        </w:rPr>
        <w:t xml:space="preserve">Note. </w:t>
      </w:r>
      <w:r>
        <w:t xml:space="preserve">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w:t>
      </w:r>
    </w:p>
    <w:p>
      <w:pPr>
        <w:pStyle w:val="FigTitle"/>
      </w:pPr>
      <w:r>
        <w:rPr>
          <w:b/>
        </w:rPr>
        <w:t xml:space="preserve">Table A4. </w:t>
      </w:r>
      <w:r>
        <w:t xml:space="preserve">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FigNote"/>
      </w:pPr>
      <w:r>
        <w:rPr>
          <w:i/>
        </w:rPr>
        <w:t xml:space="preserve">Note. </w:t>
      </w:r>
      <w:r>
        <w:t xml:space="preserve">After Bonferroni correction for four tests (α = 0.0125), the first-person Qwen-Llama contrast reaches the adjusted threshold. The other three do not. Reported p values are unadjusted.</w:t>
      </w:r>
    </w:p>
    <w:p>
      <w:pPr>
        <w:pStyle w:val="H2"/>
      </w:pPr>
      <w:r>
        <w:t xml:space="preserve">Appendix K. 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FigTitle"/>
      </w:pPr>
      <w:r>
        <w:rPr>
          <w:b/>
        </w:rPr>
        <w:t xml:space="preserve">Table A5. </w:t>
      </w:r>
      <w:r>
        <w:t xml:space="preserve">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51"/>
        <w:gridCol w:w="1534"/>
        <w:gridCol w:w="3632"/>
        <w:gridCol w:w="2555"/>
      </w:tblGrid>
      <w:tr>
        <w:tc>
          <w:tcPr>
            <w:tcW w:w="1351" w:type="dxa"/>
            <w:tcBorders>
              <w:bottom w:val="single" w:sz="8" w:space="0" w:color="000000"/>
            </w:tcBorders>
          </w:tcPr>
          <w:p>
            <w:pPr>
              <w:pStyle w:val="Cell"/>
            </w:pPr>
            <w:r>
              <w:rPr>
                <w:b/>
              </w:rPr>
              <w:t xml:space="preserve">Check</w:t>
            </w:r>
          </w:p>
        </w:tc>
        <w:tc>
          <w:tcPr>
            <w:tcW w:w="1534" w:type="dxa"/>
            <w:tcBorders>
              <w:bottom w:val="single" w:sz="8" w:space="0" w:color="000000"/>
            </w:tcBorders>
          </w:tcPr>
          <w:p>
            <w:pPr>
              <w:pStyle w:val="Cell"/>
            </w:pPr>
            <w:r>
              <w:rPr>
                <w:b/>
              </w:rPr>
              <w:t xml:space="preserve">What it varies</w:t>
            </w:r>
          </w:p>
        </w:tc>
        <w:tc>
          <w:tcPr>
            <w:tcW w:w="3632" w:type="dxa"/>
            <w:tcBorders>
              <w:bottom w:val="single" w:sz="8" w:space="0" w:color="000000"/>
            </w:tcBorders>
          </w:tcPr>
          <w:p>
            <w:pPr>
              <w:pStyle w:val="Cell"/>
            </w:pPr>
            <w:r>
              <w:rPr>
                <w:b/>
              </w:rPr>
              <w:t xml:space="preserve">Result</w:t>
            </w:r>
          </w:p>
        </w:tc>
        <w:tc>
          <w:tcPr>
            <w:tcW w:w="2555" w:type="dxa"/>
            <w:tcBorders>
              <w:bottom w:val="single" w:sz="8" w:space="0" w:color="000000"/>
            </w:tcBorders>
          </w:tcPr>
          <w:p>
            <w:pPr>
              <w:pStyle w:val="Cell"/>
            </w:pPr>
            <w:r>
              <w:rPr>
                <w:b/>
              </w:rPr>
              <w:t xml:space="preserve">Any conclusion change?</w:t>
            </w:r>
          </w:p>
        </w:tc>
      </w:tr>
      <w:tr>
        <w:tc>
          <w:tcPr>
            <w:tcW w:w="1351" w:type="dxa"/>
          </w:tcPr>
          <w:p>
            <w:pPr>
              <w:pStyle w:val="Cell"/>
            </w:pPr>
            <w:r>
              <w:t xml:space="preserve">Design weighting of the human benchmark</w:t>
            </w:r>
          </w:p>
        </w:tc>
        <w:tc>
          <w:tcPr>
            <w:tcW w:w="1534" w:type="dxa"/>
          </w:tcPr>
          <w:p>
            <w:pPr>
              <w:pStyle w:val="Cell"/>
            </w:pPr>
            <w:r>
              <w:t xml:space="preserve">Human country means computed unweighted instead of with pspwght</w:t>
            </w:r>
          </w:p>
        </w:tc>
        <w:tc>
          <w:tcPr>
            <w:tcW w:w="3632" w:type="dxa"/>
          </w:tcPr>
          <w:p>
            <w:pPr>
              <w:pStyle w:val="Cell"/>
            </w:pPr>
            <w:r>
              <w:t xml:space="preserve">The two coefficient vectors correlate at 0.9987; the largest item-level change is 0.103 (health)</w:t>
            </w:r>
          </w:p>
        </w:tc>
        <w:tc>
          <w:tcPr>
            <w:tcW w:w="2555" w:type="dxa"/>
          </w:tcPr>
          <w:p>
            <w:pPr>
              <w:pStyle w:val="Cell"/>
            </w:pPr>
            <w:r>
              <w:t xml:space="preserve">No. The median and the direction decomposition are unaffected.</w:t>
            </w:r>
          </w:p>
        </w:tc>
      </w:tr>
      <w:tr>
        <w:tc>
          <w:tcPr>
            <w:tcW w:w="1351" w:type="dxa"/>
          </w:tcPr>
          <w:p>
            <w:pPr>
              <w:pStyle w:val="Cell"/>
            </w:pPr>
            <w:r>
              <w:t xml:space="preserve">Direction classification of the 42 items</w:t>
            </w:r>
          </w:p>
        </w:tc>
        <w:tc>
          <w:tcPr>
            <w:tcW w:w="1534" w:type="dxa"/>
          </w:tcPr>
          <w:p>
            <w:pPr>
              <w:pStyle w:val="Cell"/>
            </w:pPr>
            <w:r>
              <w:t xml:space="preserve">The frozen classification against the four disputed codings</w:t>
            </w:r>
          </w:p>
        </w:tc>
        <w:tc>
          <w:tcPr>
            <w:tcW w:w="3632" w:type="dxa"/>
          </w:tcPr>
          <w:p>
            <w:pPr>
              <w:pStyle w:val="Cell"/>
            </w:pPr>
            <w:r>
              <w:t xml:space="preserve">R² = 0.6576 on all 42 items, 0.6531 excluding vote, 0.7455 further excluding the two screened items</w:t>
            </w:r>
          </w:p>
        </w:tc>
        <w:tc>
          <w:tcPr>
            <w:tcW w:w="2555" w:type="dxa"/>
          </w:tcPr>
          <w:p>
            <w:pPr>
              <w:pStyle w:val="Cell"/>
            </w:pPr>
            <w:r>
              <w:t xml:space="preserve">No. The effect strengthens as the least interpretable items are removed.</w:t>
            </w:r>
          </w:p>
        </w:tc>
      </w:tr>
      <w:tr>
        <w:tc>
          <w:tcPr>
            <w:tcW w:w="1351" w:type="dxa"/>
          </w:tcPr>
          <w:p>
            <w:pPr>
              <w:pStyle w:val="Cell"/>
            </w:pPr>
            <w:r>
              <w:t xml:space="preserve">Items whose silicon dispersion is near zero</w:t>
            </w:r>
          </w:p>
        </w:tc>
        <w:tc>
          <w:tcPr>
            <w:tcW w:w="1534" w:type="dxa"/>
          </w:tcPr>
          <w:p>
            <w:pPr>
              <w:pStyle w:val="Cell"/>
            </w:pPr>
            <w:r>
              <w:t xml:space="preserve">A reliability screen on the silicon side</w:t>
            </w:r>
          </w:p>
        </w:tc>
        <w:tc>
          <w:tcPr>
            <w:tcW w:w="3632" w:type="dxa"/>
          </w:tcPr>
          <w:p>
            <w:pPr>
              <w:pStyle w:val="Cell"/>
            </w:pPr>
            <w:r>
              <w:t xml:space="preserve">Two items fall below it: hmsfmlsh (reliability 0.25) and rlgatnd (0.44); inprdsc (0.615) is retained</w:t>
            </w:r>
          </w:p>
        </w:tc>
        <w:tc>
          <w:tcPr>
            <w:tcW w:w="2555" w:type="dxa"/>
          </w:tcPr>
          <w:p>
            <w:pPr>
              <w:pStyle w:val="Cell"/>
            </w:pPr>
            <w:r>
              <w:t xml:space="preserve">No. Both are pre-declared uninterpretable and the primary anchored specification excludes them.</w:t>
            </w:r>
          </w:p>
        </w:tc>
      </w:tr>
      <w:tr>
        <w:tc>
          <w:tcPr>
            <w:tcW w:w="1351" w:type="dxa"/>
          </w:tcPr>
          <w:p>
            <w:pPr>
              <w:pStyle w:val="Cell"/>
            </w:pPr>
            <w:r>
              <w:t xml:space="preserve">Item set for the anchoring experiment</w:t>
            </w:r>
          </w:p>
        </w:tc>
        <w:tc>
          <w:tcPr>
            <w:tcW w:w="1534" w:type="dxa"/>
          </w:tcPr>
          <w:p>
            <w:pPr>
              <w:pStyle w:val="Cell"/>
            </w:pPr>
            <w:r>
              <w:t xml:space="preserve">Three pre-specified reverse-item sets</w:t>
            </w:r>
          </w:p>
        </w:tc>
        <w:tc>
          <w:tcPr>
            <w:tcW w:w="3632" w:type="dxa"/>
          </w:tcPr>
          <w:p>
            <w:pPr>
              <w:pStyle w:val="Cell"/>
            </w:pPr>
            <w:r>
              <w:t xml:space="preserve">All 12 in batch: +0.4912 [+0.1515, +0.8809], 11 of 12 up; primary 10: +0.4230 [+0.1259, +0.7928], 10 of 10 up; strictest 8: +0.1636 [+0.0507, +0.2671], 8 of 8 up</w:t>
            </w:r>
          </w:p>
        </w:tc>
        <w:tc>
          <w:tcPr>
            <w:tcW w:w="2555" w:type="dxa"/>
          </w:tcPr>
          <w:p>
            <w:pPr>
              <w:pStyle w:val="Cell"/>
            </w:pPr>
            <w:r>
              <w:t xml:space="preserve">No for the sign and the interval. Yes for the gap verdict: eliminated on the primary set, narrowed with a residual on the strictest.</w:t>
            </w:r>
          </w:p>
        </w:tc>
      </w:tr>
      <w:tr>
        <w:tc>
          <w:tcPr>
            <w:tcW w:w="1351" w:type="dxa"/>
          </w:tcPr>
          <w:p>
            <w:pPr>
              <w:pStyle w:val="Cell"/>
            </w:pPr>
            <w:r>
              <w:t xml:space="preserve">Choice of forward control items</w:t>
            </w:r>
          </w:p>
        </w:tc>
        <w:tc>
          <w:tcPr>
            <w:tcW w:w="1534" w:type="dxa"/>
          </w:tcPr>
          <w:p>
            <w:pPr>
              <w:pStyle w:val="Cell"/>
            </w:pPr>
            <w:r>
              <w:t xml:space="preserve">10 leave-one-out control sets</w:t>
            </w:r>
          </w:p>
        </w:tc>
        <w:tc>
          <w:tcPr>
            <w:tcW w:w="3632" w:type="dxa"/>
          </w:tcPr>
          <w:p>
            <w:pPr>
              <w:pStyle w:val="Cell"/>
            </w:pPr>
            <w:r>
              <w:t xml:space="preserve">The triple difference stays in [0.403, 0.455] against the primary 0.423; the largest shift is 0.032</w:t>
            </w:r>
          </w:p>
        </w:tc>
        <w:tc>
          <w:tcPr>
            <w:tcW w:w="2555" w:type="dxa"/>
          </w:tcPr>
          <w:p>
            <w:pPr>
              <w:pStyle w:val="Cell"/>
            </w:pPr>
            <w:r>
              <w:t xml:space="preserve">No.</w:t>
            </w:r>
          </w:p>
        </w:tc>
      </w:tr>
      <w:tr>
        <w:tc>
          <w:tcPr>
            <w:tcW w:w="1351" w:type="dxa"/>
          </w:tcPr>
          <w:p>
            <w:pPr>
              <w:pStyle w:val="Cell"/>
            </w:pPr>
            <w:r>
              <w:t xml:space="preserve">Run-to-run stability of the generation</w:t>
            </w:r>
          </w:p>
        </w:tc>
        <w:tc>
          <w:tcPr>
            <w:tcW w:w="1534" w:type="dxa"/>
          </w:tcPr>
          <w:p>
            <w:pPr>
              <w:pStyle w:val="Cell"/>
            </w:pPr>
            <w:r>
              <w:t xml:space="preserve">Two identical unseeded runs</w:t>
            </w:r>
          </w:p>
        </w:tc>
        <w:tc>
          <w:tcPr>
            <w:tcW w:w="3632" w:type="dxa"/>
          </w:tcPr>
          <w:p>
            <w:pPr>
              <w:pStyle w:val="Cell"/>
            </w:pPr>
            <w:r>
              <w:t xml:space="preserve">Median absolute rbc difference 0.0602 per item, maximum 0.1854, no sign reversals</w:t>
            </w:r>
          </w:p>
        </w:tc>
        <w:tc>
          <w:tcPr>
            <w:tcW w:w="2555" w:type="dxa"/>
          </w:tcPr>
          <w:p>
            <w:pPr>
              <w:pStyle w:val="Cell"/>
            </w:pPr>
            <w:r>
              <w:t xml:space="preserve">No, and it closes a stated limitation: every contrast is read against the 0.060 band.</w:t>
            </w:r>
          </w:p>
        </w:tc>
      </w:tr>
      <w:tr>
        <w:tc>
          <w:tcPr>
            <w:tcW w:w="1351" w:type="dxa"/>
          </w:tcPr>
          <w:p>
            <w:pPr>
              <w:pStyle w:val="Cell"/>
            </w:pPr>
            <w:r>
              <w:t xml:space="preserve">Deflator for the macro-covariate comparator</w:t>
            </w:r>
          </w:p>
        </w:tc>
        <w:tc>
          <w:tcPr>
            <w:tcW w:w="1534" w:type="dxa"/>
          </w:tcPr>
          <w:p>
            <w:pPr>
              <w:pStyle w:val="Cell"/>
            </w:pPr>
            <w:r>
              <w:t xml:space="preserve">Market dollars against purchasing parity</w:t>
            </w:r>
          </w:p>
        </w:tc>
        <w:tc>
          <w:tcPr>
            <w:tcW w:w="3632" w:type="dxa"/>
          </w:tcPr>
          <w:p>
            <w:pPr>
              <w:pStyle w:val="Cell"/>
            </w:pPr>
            <w:r>
              <w:t xml:space="preserve">Median r 0.6177 under dollars, 0.6317 under parity; normalized error 0.0522 and 0.0527</w:t>
            </w:r>
          </w:p>
        </w:tc>
        <w:tc>
          <w:tcPr>
            <w:tcW w:w="2555" w:type="dxa"/>
          </w:tcPr>
          <w:p>
            <w:pPr>
              <w:pStyle w:val="Cell"/>
            </w:pPr>
            <w:r>
              <w:t xml:space="preserve">No for the comparison with the model. Yes for one claim, therefore not made: the covariate-alone ranking is deflator-dependent.</w:t>
            </w:r>
          </w:p>
        </w:tc>
      </w:tr>
      <w:tr>
        <w:tc>
          <w:tcPr>
            <w:tcW w:w="1351" w:type="dxa"/>
          </w:tcPr>
          <w:p>
            <w:pPr>
              <w:pStyle w:val="Cell"/>
            </w:pPr>
            <w:r>
              <w:t xml:space="preserve">Israel as a bloc of one in the comparator</w:t>
            </w:r>
          </w:p>
        </w:tc>
        <w:tc>
          <w:tcPr>
            <w:tcW w:w="1534" w:type="dxa"/>
          </w:tcPr>
          <w:p>
            <w:pPr>
              <w:pStyle w:val="Cell"/>
            </w:pPr>
            <w:r>
              <w:t xml:space="preserve">Israel handled as its own regional bloc</w:t>
            </w:r>
          </w:p>
        </w:tc>
        <w:tc>
          <w:tcPr>
            <w:tcW w:w="3632" w:type="dxa"/>
          </w:tcPr>
          <w:p>
            <w:pPr>
              <w:pStyle w:val="Cell"/>
            </w:pPr>
            <w:r>
              <w:t xml:space="preserve">The comparator’s median r moves from 0.6177 to 0.6741; the gap to the model from 0.174 to 0.177</w:t>
            </w:r>
          </w:p>
        </w:tc>
        <w:tc>
          <w:tcPr>
            <w:tcW w:w="2555" w:type="dxa"/>
          </w:tcPr>
          <w:p>
            <w:pPr>
              <w:pStyle w:val="Cell"/>
            </w:pPr>
            <w:r>
              <w:t xml:space="preserve">No.</w:t>
            </w:r>
          </w:p>
        </w:tc>
      </w:tr>
      <w:tr>
        <w:tc>
          <w:tcPr>
            <w:tcW w:w="1351" w:type="dxa"/>
          </w:tcPr>
          <w:p>
            <w:pPr>
              <w:pStyle w:val="Cell"/>
            </w:pPr>
            <w:r>
              <w:t xml:space="preserve">Influential countries in the comparator</w:t>
            </w:r>
          </w:p>
        </w:tc>
        <w:tc>
          <w:tcPr>
            <w:tcW w:w="1534" w:type="dxa"/>
          </w:tcPr>
          <w:p>
            <w:pPr>
              <w:pStyle w:val="Cell"/>
            </w:pPr>
            <w:r>
              <w:t xml:space="preserve">Leave-one-out over the 30 countries</w:t>
            </w:r>
          </w:p>
        </w:tc>
        <w:tc>
          <w:tcPr>
            <w:tcW w:w="3632" w:type="dxa"/>
          </w:tcPr>
          <w:p>
            <w:pPr>
              <w:pStyle w:val="Cell"/>
            </w:pPr>
            <w:r>
              <w:t xml:space="preserve">Excluding Ireland moves the reported value by 0.001; the high-leverage country is Ukraine (mean hat 0.495)</w:t>
            </w:r>
          </w:p>
        </w:tc>
        <w:tc>
          <w:tcPr>
            <w:tcW w:w="2555" w:type="dxa"/>
          </w:tcPr>
          <w:p>
            <w:pPr>
              <w:pStyle w:val="Cell"/>
            </w:pPr>
            <w:r>
              <w:t xml:space="preserve">No.</w:t>
            </w:r>
          </w:p>
        </w:tc>
      </w:tr>
      <w:tr>
        <w:tc>
          <w:tcPr>
            <w:tcW w:w="1351" w:type="dxa"/>
          </w:tcPr>
          <w:p>
            <w:pPr>
              <w:pStyle w:val="Cell"/>
            </w:pPr>
            <w:r>
              <w:t xml:space="preserve">Coverage in the Llama third-person arm</w:t>
            </w:r>
          </w:p>
        </w:tc>
        <w:tc>
          <w:tcPr>
            <w:tcW w:w="1534" w:type="dxa"/>
          </w:tcPr>
          <w:p>
            <w:pPr>
              <w:pStyle w:val="Cell"/>
            </w:pPr>
            <w:r>
              <w:t xml:space="preserve">Restricting to items above 80% coverage</w:t>
            </w:r>
          </w:p>
        </w:tc>
        <w:tc>
          <w:tcPr>
            <w:tcW w:w="3632" w:type="dxa"/>
          </w:tcPr>
          <w:p>
            <w:pPr>
              <w:pStyle w:val="Cell"/>
            </w:pPr>
            <w:r>
              <w:t xml:space="preserve">Median rbc falls from +0.1729 on all 42 items to −0.0009 on the 19 items above the threshold</w:t>
            </w:r>
          </w:p>
        </w:tc>
        <w:tc>
          <w:tcPr>
            <w:tcW w:w="2555" w:type="dxa"/>
          </w:tcPr>
          <w:p>
            <w:pPr>
              <w:pStyle w:val="Cell"/>
            </w:pPr>
            <w:r>
              <w:t xml:space="preserve">Yes. The arm cannot identify a framing effect; the framing null rests on Qwen alone.</w:t>
            </w:r>
          </w:p>
        </w:tc>
      </w:tr>
      <w:tr>
        <w:tc>
          <w:tcPr>
            <w:tcW w:w="1351" w:type="dxa"/>
          </w:tcPr>
          <w:p>
            <w:pPr>
              <w:pStyle w:val="Cell"/>
            </w:pPr>
            <w:r>
              <w:t xml:space="preserve">Aggregator for the dispersion ratios</w:t>
            </w:r>
          </w:p>
        </w:tc>
        <w:tc>
          <w:tcPr>
            <w:tcW w:w="1534" w:type="dxa"/>
          </w:tcPr>
          <w:p>
            <w:pPr>
              <w:pStyle w:val="Cell"/>
            </w:pPr>
            <w:r>
              <w:t xml:space="preserve">Mean of ratios, median, and ratio of means</w:t>
            </w:r>
          </w:p>
        </w:tc>
        <w:tc>
          <w:tcPr>
            <w:tcW w:w="3632" w:type="dxa"/>
          </w:tcPr>
          <w:p>
            <w:pPr>
              <w:pStyle w:val="Cell"/>
            </w:pPr>
            <w:r>
              <w:t xml:space="preserve">Within-country 0.6052, 0.5727, 0.5859; between-country 0.2821 median, 0.2952 mean</w:t>
            </w:r>
          </w:p>
        </w:tc>
        <w:tc>
          <w:tcPr>
            <w:tcW w:w="2555" w:type="dxa"/>
          </w:tcPr>
          <w:p>
            <w:pPr>
              <w:pStyle w:val="Cell"/>
            </w:pPr>
            <w:r>
              <w:t xml:space="preserve">No. All three within-country estimators fail the pre-declared 0.9–1.1 band.</w:t>
            </w:r>
          </w:p>
        </w:tc>
      </w:tr>
      <w:tr>
        <w:tc>
          <w:tcPr>
            <w:tcW w:w="1351" w:type="dxa"/>
          </w:tcPr>
          <w:p>
            <w:pPr>
              <w:pStyle w:val="Cell"/>
            </w:pPr>
            <w:r>
              <w:t xml:space="preserve">Estimator for the offset reduction</w:t>
            </w:r>
          </w:p>
        </w:tc>
        <w:tc>
          <w:tcPr>
            <w:tcW w:w="1534" w:type="dxa"/>
          </w:tcPr>
          <w:p>
            <w:pPr>
              <w:pStyle w:val="Cell"/>
            </w:pPr>
            <w:r>
              <w:t xml:space="preserve">Four defensible estimators</w:t>
            </w:r>
          </w:p>
        </w:tc>
        <w:tc>
          <w:tcPr>
            <w:tcW w:w="3632" w:type="dxa"/>
          </w:tcPr>
          <w:p>
            <w:pPr>
              <w:pStyle w:val="Cell"/>
            </w:pPr>
            <w:r>
              <w:t xml:space="preserve">Ratio of medians 64.2%, ratio of means 62.9%, median of per-item reductions 59.9%, mean of per-item reductions 53.7%</w:t>
            </w:r>
          </w:p>
        </w:tc>
        <w:tc>
          <w:tcPr>
            <w:tcW w:w="2555" w:type="dxa"/>
          </w:tcPr>
          <w:p>
            <w:pPr>
              <w:pStyle w:val="Cell"/>
            </w:pPr>
            <w:r>
              <w:t xml:space="preserve">Yes for the number quoted: 59.9%, the median of the per-item reductions, named as such.</w:t>
            </w:r>
          </w:p>
        </w:tc>
      </w:tr>
      <w:tr>
        <w:tc>
          <w:tcPr>
            <w:tcW w:w="1351" w:type="dxa"/>
          </w:tcPr>
          <w:p>
            <w:pPr>
              <w:pStyle w:val="Cell"/>
            </w:pPr>
            <w:r>
              <w:t xml:space="preserve">Specification for the cross-level agreement</w:t>
            </w:r>
          </w:p>
        </w:tc>
        <w:tc>
          <w:tcPr>
            <w:tcW w:w="1534" w:type="dxa"/>
          </w:tcPr>
          <w:p>
            <w:pPr>
              <w:pStyle w:val="Cell"/>
            </w:pPr>
            <w:r>
              <w:t xml:space="preserve">As coded, forward items only, sign-aligned</w:t>
            </w:r>
          </w:p>
        </w:tc>
        <w:tc>
          <w:tcPr>
            <w:tcW w:w="3632" w:type="dxa"/>
          </w:tcPr>
          <w:p>
            <w:pPr>
              <w:pStyle w:val="Cell"/>
            </w:pPr>
            <w:r>
              <w:t xml:space="preserve">Pearson 0.9368 as coded, 0.7745 forward-only, 0.8355 sign-aligned</w:t>
            </w:r>
          </w:p>
        </w:tc>
        <w:tc>
          <w:tcPr>
            <w:tcW w:w="2555" w:type="dxa"/>
          </w:tcPr>
          <w:p>
            <w:pPr>
              <w:pStyle w:val="Cell"/>
            </w:pPr>
            <w:r>
              <w:t xml:space="preserve">No for the existence of the agreement. Yes for its description: about a third of the raw magnitude is the shared direction failure.</w:t>
            </w:r>
          </w:p>
        </w:tc>
      </w:tr>
      <w:tr>
        <w:tc>
          <w:tcPr>
            <w:tcW w:w="1351" w:type="dxa"/>
          </w:tcPr>
          <w:p>
            <w:pPr>
              <w:pStyle w:val="Cell"/>
            </w:pPr>
            <w:r>
              <w:t xml:space="preserve">Frame for country-level quantities</w:t>
            </w:r>
          </w:p>
        </w:tc>
        <w:tc>
          <w:tcPr>
            <w:tcW w:w="1534" w:type="dxa"/>
          </w:tcPr>
          <w:p>
            <w:pPr>
              <w:pStyle w:val="Cell"/>
            </w:pPr>
            <w:r>
              <w:t xml:space="preserve">Full frame against the human-model intersection</w:t>
            </w:r>
          </w:p>
        </w:tc>
        <w:tc>
          <w:tcPr>
            <w:tcW w:w="3632" w:type="dxa"/>
          </w:tcPr>
          <w:p>
            <w:pPr>
              <w:pStyle w:val="Cell"/>
            </w:pPr>
            <w:r>
              <w:t xml:space="preserve">Median rbc moves from 0.4433 to 0.4425; single items move by up to 0.109 (health)</w:t>
            </w:r>
          </w:p>
        </w:tc>
        <w:tc>
          <w:tcPr>
            <w:tcW w:w="2555" w:type="dxa"/>
          </w:tcPr>
          <w:p>
            <w:pPr>
              <w:pStyle w:val="Cell"/>
            </w:pPr>
            <w:r>
              <w:t xml:space="preserve">No for the median. The frame is fixed in one place and stated.</w:t>
            </w:r>
          </w:p>
        </w:tc>
      </w:tr>
      <w:tr>
        <w:tc>
          <w:tcPr>
            <w:tcW w:w="1351" w:type="dxa"/>
          </w:tcPr>
          <w:p>
            <w:pPr>
              <w:pStyle w:val="Cell"/>
            </w:pPr>
            <w:r>
              <w:t xml:space="preserve">Stability across rounds</w:t>
            </w:r>
          </w:p>
        </w:tc>
        <w:tc>
          <w:tcPr>
            <w:tcW w:w="1534" w:type="dxa"/>
          </w:tcPr>
          <w:p>
            <w:pPr>
              <w:pStyle w:val="Cell"/>
            </w:pPr>
            <w:r>
              <w:t xml:space="preserve">The March round against the final round</w:t>
            </w:r>
          </w:p>
        </w:tc>
        <w:tc>
          <w:tcPr>
            <w:tcW w:w="3632" w:type="dxa"/>
          </w:tcPr>
          <w:p>
            <w:pPr>
              <w:pStyle w:val="Cell"/>
            </w:pPr>
            <w:r>
              <w:t xml:space="preserve">Median absolute item-level rbc change 0.0415, against a same-round replicate median of 0.060</w:t>
            </w:r>
          </w:p>
        </w:tc>
        <w:tc>
          <w:tcPr>
            <w:tcW w:w="2555" w:type="dxa"/>
          </w:tcPr>
          <w:p>
            <w:pPr>
              <w:pStyle w:val="Cell"/>
            </w:pPr>
            <w:r>
              <w:t xml:space="preserve">No.</w:t>
            </w:r>
          </w:p>
        </w:tc>
      </w:tr>
      <w:tr>
        <w:tc>
          <w:tcPr>
            <w:tcW w:w="1351" w:type="dxa"/>
          </w:tcPr>
          <w:p>
            <w:pPr>
              <w:pStyle w:val="Cell"/>
            </w:pPr>
            <w:r>
              <w:t xml:space="preserve">Human-side missingness rule</w:t>
            </w:r>
          </w:p>
        </w:tc>
        <w:tc>
          <w:tcPr>
            <w:tcW w:w="1534" w:type="dxa"/>
          </w:tcPr>
          <w:p>
            <w:pPr>
              <w:pStyle w:val="Cell"/>
            </w:pPr>
            <w:r>
              <w:t xml:space="preserve">Correcting the missing-code set for the coarse scales</w:t>
            </w:r>
          </w:p>
        </w:tc>
        <w:tc>
          <w:tcPr>
            <w:tcW w:w="3632" w:type="dxa"/>
          </w:tcPr>
          <w:p>
            <w:pPr>
              <w:pStyle w:val="Cell"/>
            </w:pPr>
            <w:r>
              <w:t xml:space="preserve">Median rbc 0.418 to 0.431; items above 0.70 from 8 to 9; inverted items from 12 to 11; within-country dispersion ratio 0.553 to 0.605</w:t>
            </w:r>
          </w:p>
        </w:tc>
        <w:tc>
          <w:tcPr>
            <w:tcW w:w="2555" w:type="dxa"/>
          </w:tcPr>
          <w:p>
            <w:pPr>
              <w:pStyle w:val="Cell"/>
            </w:pPr>
            <w:r>
              <w:t xml:space="preserve">Yes for several reported figures, all corrected. No for any conclusion.</w:t>
            </w:r>
          </w:p>
        </w:tc>
      </w:tr>
    </w:tbl>
    <w:p>
      <w:pPr>
        <w:pStyle w:val="FigNote"/>
      </w:pPr>
      <w:r>
        <w:rPr>
          <w:i/>
        </w:rPr>
        <w:t xml:space="preserve">Note. </w:t>
      </w:r>
      <w:r>
        <w:t xml:space="preserve">Each row names what the check varies, what it moves, and whether any conclusion changes. The one Yes that changes a conclusion is parse coverage in the Llama third-person arm (Section 4.4).</w:t>
      </w:r>
    </w:p>
    <w:p>
      <w:pPr>
        <w:pStyle w:val="H2"/>
      </w:pPr>
      <w:r>
        <w:t xml:space="preserve">Appendix L. 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2"/>
      </w:pPr>
      <w:r>
        <w:t xml:space="preserve">Appendix M. 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2"/>
      </w:pPr>
      <w:r>
        <w:t xml:space="preserve">Appendix N. 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FigTitle"/>
      </w:pPr>
      <w:r>
        <w:rPr>
          <w:b/>
        </w:rPr>
        <w:t xml:space="preserve">Table A6. </w:t>
      </w:r>
      <w:r>
        <w:t xml:space="preserve">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FigNote"/>
      </w:pPr>
      <w:r>
        <w:rPr>
          <w:i/>
        </w:rPr>
        <w:t xml:space="preserve">Note. </w:t>
      </w:r>
      <w:r>
        <w:t xml:space="preserve">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FigTitle">
    <w:name w:val="Figure Title"/>
    <w:pPr>
      <w:keepNext/>
      <w:spacing w:before="140" w:after="120" w:line="276" w:lineRule="auto"/>
      <w:jc w:val="center"/>
    </w:pPr>
    <w:rPr>
      <w:sz w:val="24"/>
    </w:rPr>
  </w:style>
  <w:style w:type="paragraph" w:styleId="FigNote">
    <w:name w:val="Figure Note"/>
    <w:pPr>
      <w:keepNext/>
      <w:spacing w:before="60" w:after="18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