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open-weight models,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A 2 × 2 experiment traces the item-level failures to the response scale: verbal endpoint labels remove the inversions and roughly triple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yet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limitations constrain the existing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governs the form it takes.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The answer can be stated at the outset: the model treats the country name as a group-level prior. The label carries most of the aggregate signal. Enriching the profile beyond it adds no consistent gain. The response-scale format sets the sign that signal takes. None of it amounts to individual-level recovery. Three things are new here. The first is a joint evaluation of item-level country rankings, within-country individual recovery, and the label’s incremental contribution on matched respondents. The second is the experimental identification of that prior and of the format that decides its direction. The third is a benchmark against model-free alternatives, the comparison a prospective user needs.</w:t>
      </w:r>
    </w:p>
    <w:p>
      <w:pPr>
        <w:pStyle w:val="Body"/>
      </w:pPr>
      <w:r>
        <w:t xml:space="preserve">Four tests in one design answer the four gaps.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response-scale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predictors that use no model at all.</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limited in scope.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 LLM-generated responses recover cross-national aggregate differences across a wide range of attitudes, and how far does that accuracy vary from item to item?</w:t>
      </w:r>
    </w:p>
    <w:p>
      <w:pPr>
        <w:pStyle w:val="H2"/>
      </w:pPr>
      <w:r>
        <w:t xml:space="preserve">2.2 Cultural bias and the country cue in LLM responses</w:t>
      </w:r>
    </w:p>
    <w:p>
      <w:pPr>
        <w:pStyle w:val="Body"/>
      </w:pPr>
      <w:r>
        <w:t xml:space="preserve">Cultural bias here refers to systematic differences in whose values and associations default model outputs most closely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Country cues can also systematically influence LLM outputs.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Country cues can generate cross-national differentiation without demonstrating calibrated population simulation.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The next tests are whether the country label adds recovery beyond demographic composition and whether richer profiles add further gains. The two readings of the label predict different curves.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produce inverted country orderings on those items and correct ones elsewhere, and supplying verbal endpoints should remove the inversion without touching the model's knowledge.</w:t>
      </w:r>
    </w:p>
    <w:p>
      <w:pPr>
        <w:pStyle w:val="Body"/>
      </w:pPr>
      <w:r>
        <w:t xml:space="preserve">RQ2. Does the aggregate signal come from the country label or from the composition of the respondent profile, and what decides whether the country ordering it produces is correct or inverted?</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The framing of the request bears directly on this distinction. Adopting a persona and answering as that person invokes a different capacity from predicting how such a person would answer: the first speaks from the profile, the second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RQ3 tests both.</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questions together, because a level of recovery is only useful if it can be told apart from the level next to it:</w:t>
      </w:r>
    </w:p>
    <w:p>
      <w:pPr>
        <w:pStyle w:val="Body"/>
      </w:pPr>
      <w:r>
        <w:t xml:space="preserve">RQ3. How much individual-level recovery is there, does first- versus third-person framing change it,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 2 (prompt) crossing. Two major open-weight instruction-tuned models are tested: Qwen 2.5-7B-Instruct (Alibaba) and Llama 3.1-8B-Instruct (Meta). Both are run locally on a university high-performance computing cluster (NVIDIA A100) using vLLM for efficient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whether most people can be trusted (ppltrst), try to be fair (pplfair), and are helpful (pplhlp), carry the full ESS question wording, which embeds verbal endpoint descriptions. Every other item is presented with the abbreviated codebook wording reported in Table A1. Prompts specify the numeric scale range as digits (e.g., “Scale: 0-10”) and carry no verbal anchor labels for scale endpoints.</w:t>
      </w:r>
    </w:p>
    <w:p>
      <w:pPr>
        <w:pStyle w:val="Body"/>
      </w:pPr>
      <w:r>
        <w:t xml:space="preserve">For each country, 685 respondents are randomly subsampled from the ESS. The subsample is drawn without design weights. The human benchmark is weighted by the ESS post-stratification weight (pspwght) throughout, and the sensitivity of the results to that choice is reported in Section 4.4. The sample size is sufficient at both levels of analysis. Subsampled estimates flatten above roughly 400 respondents per country, and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forty-one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ISO codes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identifying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A final 2 × 2 arm crosses the country label with the scale format. The scale factor supplies verbal endpoint labels in place of the numeric range alone. It runs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two exclusions were fixed in advance.</w:t>
      </w:r>
    </w:p>
    <w:p>
      <w:pPr>
        <w:pStyle w:val="Body"/>
      </w:pPr>
      <w:r>
        <w:t xml:space="preserve">The same with-and-without logic runs over the whole profile. The 20 backstory variables partition into ten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not the single variable. The profile contains near-duplicate pairs: age and birth year, education level and education years, household size and children at home. Dropping one of a pair measures duplication, not information. Where a block has no such pair the variables are also tested singly.</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final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w:t>
      </w:r>
      <w:r>
        <w:rPr>
          <w:i/>
        </w:rPr>
        <w:t>r</w:t>
      </w:r>
      <w:r>
        <w:rPr>
          <w:i/>
          <w:vertAlign w:val="subscript"/>
        </w:rPr>
        <w:t>prof</w:t>
      </w:r>
      <w:r>
        <w:t xml:space="preserve"> is each country's 42-item aggregate profile correlation, used for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as </w:t>
      </w:r>
      <w:r>
        <w:rPr>
          <w:i/>
        </w:rPr>
        <w:t>r</w:t>
      </w:r>
      <w:r>
        <w:rPr>
          <w:i/>
          <w:vertAlign w:val="subscript"/>
        </w:rPr>
        <w:t>bc</w:t>
      </w:r>
      <w:r>
        <w:t xml:space="preserve"> × </w:t>
      </w:r>
      <w:r>
        <w:rPr>
          <w:i/>
        </w:rPr>
        <w:t>C</w:t>
      </w:r>
      <w:r>
        <w:rPr>
          <w:i/>
          <w:vertAlign w:val="subscript"/>
        </w:rPr>
        <w:t>b</w:t>
      </w:r>
      <w:r>
        <w:t xml:space="preserve">, separating rank correspondence from calibration. Model and prompt contrasts use paired t-tests across the 42 items.</w:t>
      </w:r>
    </w:p>
    <w:p>
      <w:pPr>
        <w:pStyle w:val="H1"/>
      </w:pPr>
      <w:r>
        <w:t xml:space="preserve">4 Results</w:t>
      </w:r>
    </w:p>
    <w:p>
      <w:pPr>
        <w:pStyle w:val="H2"/>
      </w:pPr>
      <w:r>
        <w:t xml:space="preserve">4.1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Qwen 1P performs best and is the reference for the focused analyses below. Against the pre-declared thresholds, 20 of 42 items exceed 0.5 and nine exceed 0.7. All four conditions appear in Figures 2 and 6, so this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every condition, with the median across items marked and the pooled correlation drawn once as a labeled counterexample (all pooled p &lt; 0.001). The Llama 3P arm is marked with a dagger because it loses 24% of its scheduled responses to a parse failure, which is why the chapter does not read it substantively (Section 4.4). It is drawn like the other three conditions, because it is one of them by design. The Qwen 1P anchored arm repeats Qwen 1P with verbally anchored response scales on the 22-item batch (Section 4.2). Panel (b): the same 42 items under Qwen 1P, ranked, with the highest and lowest named and reverse-coded items marked. The individual-level counterpart of both panels is Figure 6, whose per-item panel is drawn on the scale of panel (b).</w:t>
      </w:r>
    </w:p>
    <w:p>
      <w:pPr>
        <w:pStyle w:val="Body"/>
      </w:pPr>
      <w:r>
        <w:t xml:space="preserve">Figure 2(b) ranks the same items under Qwen 1P. The full labeled rankings appear in Appendix Figures A1 and A3. Figure 6(b) draws the individual level on the same scale, and the two together make the disparity visible: the aggregate series spans 1.64 correlation units, the individual series 0.30, a ratio of 5.5.</w:t>
      </w:r>
    </w:p>
    <w:p>
      <w:pPr>
        <w:pStyle w:val="Body"/>
      </w:pPr>
      <w:r>
        <w:t xml:space="preserve">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attitudes toward homosexuality (freehms −0.82) and adoption rights for same-sex couples (hmsacld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European unification (euftf, −0.23) is forward-coded. It is a bipolar item whose numeric direction is a convention. In Figure 2(b) it is the one circle in the negative tail.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and the worst-recovered country sits inside it,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finally,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supplies the signal and the response format decides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which is what a cue the model attends to should do, and what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Caption"/>
      </w:pPr>
      <w:r>
        <w:t xml:space="preserve">Figure 3. A wrong country name costs the country the respondents came from, Qwen 1P.</w:t>
      </w:r>
    </w:p>
    <w:p>
      <w:pPr>
        <w:pStyle w:val="Body"/>
      </w:pPr>
      <w:r>
        <w:t xml:space="preserve">Note. 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How much the name contributes is the next question, and one paired contrast answers it.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Fig"/>
      </w:pPr>
      <w:r>
        <w:drawing>
          <wp:inline distT="0" distB="0" distL="0" distR="0">
            <wp:extent cx="5574792" cy="4858512"/>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574792" cy="4858512"/>
                    </a:xfrm>
                    <a:prstGeom prst="rect">
                      <a:avLst/>
                    </a:prstGeom>
                  </pic:spPr>
                </pic:pic>
              </a:graphicData>
            </a:graphic>
          </wp:inline>
        </w:drawing>
      </w:r>
    </w:p>
    <w:p>
      <w:pPr>
        <w:pStyle w:val="Caption"/>
      </w:pPr>
      <w:r>
        <w:t xml:space="preserve">Figure 4.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Reverse-worded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A4. Per-block values ship with the figure data.</w:t>
      </w:r>
    </w:p>
    <w:p>
      <w:pPr>
        <w:pStyle w:val="Body"/>
      </w:pPr>
      <w:r>
        <w:t xml:space="preserve">Figure 4 gives every block's effect at both margins, and Appendix Figure A4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a 2 × 2 arm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genuine cross-national signal, and the response format determines the sign with which that signal appears.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2 × 2: country label by response-scale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first- and third-person framing do not differ in either model (Table A4). Even the largest implies less than 0.1% shared variance.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The two levels sit far apart. The pooled correlation lies between 0.64 and 0.83 across conditions while within-country recovery is near zero (Figures 2 and 6). The aggregate-individual dissociation is established for single-country designs. What is new is that it survives at thirty countries and that scale anchoring moves both levels together.</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Individual recovery is uniformly weak in every country. </w:t>
      </w:r>
      <w:r>
        <w:rPr>
          <w:i/>
        </w:rPr>
        <w:t>r</w:t>
      </w:r>
      <w:r>
        <w:rPr>
          <w:i/>
          <w:vertAlign w:val="subscript"/>
        </w:rPr>
        <w:t>wc</w:t>
      </w:r>
      <w:r>
        <w:t xml:space="preserve"> is computed for each of the 1,260 country-item cells. Under Qwen 1P, mean </w:t>
      </w:r>
      <w:r>
        <w:rPr>
          <w:i/>
        </w:rPr>
        <w:t>r</w:t>
      </w:r>
      <w:r>
        <w:rPr>
          <w:i/>
          <w:vertAlign w:val="subscript"/>
        </w:rPr>
        <w:t>wc</w:t>
      </w:r>
      <w:r>
        <w:t xml:space="preserve"> is 0.027, with a standard deviation of 0.079. Of these, 826 are positive and 453 reach p &lt; 0.05 (rq3_cell_summary.csv). Even Israel, the highest country mean at 0.077, has less than 1% of individual variance explained. No country reaches a level that supports substantive individual inference.</w:t>
      </w:r>
    </w:p>
    <w:p>
      <w:pPr>
        <w:pStyle w:val="Body"/>
      </w:pPr>
      <w:r>
        <w:t xml:space="preserve">Recovery varies more by item than by country. Life satisfaction (0.146) and happiness (0.142) recover best, whereas household income feeling (−0.148) and attitudes toward homosexuality (−0.085) are consistently negative. Eleven of the 42 items are negative at this level. It is the same count as at the aggregate level, and largely the same items (Appendix Figure A3).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Range-normalized aggregate error yields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a pairwise one, so it is better counted than correlated: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Switzerland and Israel, the sharpest case in the text, are drawn in black.</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independent limitations. The scale experiment shows they are not. Supplying verbal endpoint labels removes the item inversions, reverses the sign of the country-label effect on reverse-coded items, and triples individual-level recovery. One manipulation does all three. Two of the three main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w:t>
      </w:r>
    </w:p>
    <w:p>
      <w:pPr>
        <w:pStyle w:val="Body"/>
      </w:pPr>
      <w:r>
        <w:t xml:space="preserve">Identifiability does not explain the label's contribution. If it were the mechanism, recovery would track it. Holding identifiability at its maximum, recovery still spans 0.29 to 0.52, and the sparsest profile containing the country beats every richer one (Appendix, Country identifiability). The model treats the country as a group-level prior, and respondent detail as noise around it. Within a country almost none of the variation the model produces is respondent-specific: in a replicate arm 95% of the within-country variance is generation noise, and median within-country recovery is 0.028 against the 0.210 ceiling. And the label is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forty-two items whose cross-national ordering is reversed, so a screening rule based on either would pass the battery unchanged.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part of the measurement instrument. The instrument here was deliberately minimal: abbreviated item wording and a bare numeric range for every item except the three trust questions, so the model received less scale information than an ESS respondent, who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Only the anchored arm separates them.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give a different sign under another one.</w:t>
      </w:r>
    </w:p>
    <w:p>
      <w:pPr>
        <w:pStyle w:val="Body"/>
      </w:pPr>
      <w:r>
        <w:t xml:space="preserve">Direction accounts for two thirds of the variance in item-level recovery, and the remaining third has a pattern of its own.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contributions are of three kinds. The empirical one is the evaluation itself: item-level country rankings, within-country individual recovery, and the country label’s incremental contribution, measured for the first time on the same matched respondents, items, and prompts. What it finds is a group-level prior: the label carries the aggregate signal, no richer profile improves on it, and none of it reaches the individual level.</w:t>
      </w:r>
    </w:p>
    <w:p>
      <w:pPr>
        <w:pStyle w:val="Body"/>
      </w:pPr>
      <w:r>
        <w:t xml:space="preserve">The methodological contribution is to make those readings testable. Each backstory block is observed at the two margins that bound its contribution, so no ordering of additions can be chosen after the fact. A falsification arm replaces the country name, to test whether the cue is specific to the country named. A 2 × 2 crosses the label with the scale format, which turns the item inversions from an interpretation into a result. Recovery is reported item by item against a measured run-to-run floor, and a pooled correlation would have hidden the inverted items.</w:t>
      </w:r>
    </w:p>
    <w:p>
      <w:pPr>
        <w:pStyle w:val="Body"/>
      </w:pPr>
      <w:r>
        <w:t xml:space="preserve">The practical contribution is a standard of adequacy. Recovery is judged against predictors that use no model at all and that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w:t>
      </w:r>
    </w:p>
    <w:p>
      <w:pPr>
        <w:pStyle w:val="Body"/>
      </w:pPr>
      <w:r>
        <w:t xml:space="preserve">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Finally,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which this design does only once.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H3"/>
      </w:pPr>
      <w:r>
        <w:t xml:space="preserve">Example prompt (abbreviated)</w:t>
      </w:r>
    </w:p>
    <w:p>
      <w:pPr>
        <w:pStyle w:val="Body"/>
      </w:pPr>
      <w:r>
        <w:t xml:space="preserve">The abbreviated example illustrates the first-person framing.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comparison for 7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Appendix Figure A2 contrasts these outcomes.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Figure 6(b) and Table A3 break individual-level recovery down by domain: political efficacy, institutional trust, and subjective well-being recover best, while income, health, and safety are negative. The pattern remains weak across model-prompt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A3).</w:t>
      </w:r>
    </w:p>
    <w:p>
      <w:pPr>
        <w:pStyle w:val="Body"/>
      </w:pPr>
      <w:r>
        <w:t xml:space="preserve">Figure A3 reports the full per-item individual-level recovery, the individual-level counterpart of Figure A1.</w:t>
      </w:r>
    </w:p>
    <w:p>
      <w:pPr>
        <w:pStyle w:val="Fig"/>
      </w:pPr>
      <w:r>
        <w:drawing>
          <wp:inline distT="0" distB="0" distL="0" distR="0">
            <wp:extent cx="5760720" cy="616841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760720" cy="6168410"/>
                    </a:xfrm>
                    <a:prstGeom prst="rect">
                      <a:avLst/>
                    </a:prstGeom>
                  </pic:spPr>
                </pic:pic>
              </a:graphicData>
            </a:graphic>
          </wp:inline>
        </w:drawing>
      </w:r>
    </w:p>
    <w:p>
      <w:pPr>
        <w:pStyle w:val="Caption"/>
      </w:pPr>
      <w:r>
        <w:t xml:space="preserve">Figure A3.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Figure A4 reports the country-label contrast item by item, the per-item form of the block effect in Figure 4.</w:t>
      </w:r>
    </w:p>
    <w:p>
      <w:pPr>
        <w:pStyle w:val="Fig"/>
      </w:pPr>
      <w:r>
        <w:drawing>
          <wp:inline distT="0" distB="0" distL="0" distR="0">
            <wp:extent cx="5628146" cy="676656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628146" cy="6766560"/>
                    </a:xfrm>
                    <a:prstGeom prst="rect">
                      <a:avLst/>
                    </a:prstGeom>
                  </pic:spPr>
                </pic:pic>
              </a:graphicData>
            </a:graphic>
          </wp:inline>
        </w:drawing>
      </w:r>
    </w:p>
    <w:p>
      <w:pPr>
        <w:pStyle w:val="Caption"/>
      </w:pPr>
      <w:r>
        <w:t xml:space="preserve">Figure A4.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 After Bonferroni correction for four tests (α = 0.0125), the first-person Qwen-Llama contrast reaches the adjusted threshold. The other three do not. Reported p values are unadjusted.</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H3"/>
      </w:pPr>
      <w:r>
        <w:t xml:space="preserve">Aggregate robustness checks</w:t>
      </w:r>
    </w:p>
    <w:p>
      <w:pPr>
        <w:pStyle w:val="Body"/>
      </w:pPr>
      <w:r>
        <w:t xml:space="preserve">Table A5 lists all sixteen checks with the quantity each moves. Three deserve comment because they concern the choice of estimator, not the data. The within-country dispersion ratio has three defensible aggregators (mean of ratios 0.61, median 0.57, ratio of means 0.59) and the offset reduction has four (59.9 to 64.2%). All three dispersion estimators fail the pre-declared 0.9–1.1 band, so no conclusion turns on the choice, but the choice is named wherever the quantity appears. Design weighting correlates the weighted and unweighted per-item coefficients at 0.999 while moving a single item by up to 0.103, so the item-level maximum is reported, not the cross-item correlation. The direction classification was frozen from the ESS codebook before any result was seen, and the direction R² rises from 0.658 to 0.746 when the three pre-declared unstable items are dropped, so the objection strengthens the result instead of weakening it.</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8.71% contain no digit and one is empty. Four explanations were tested and rejected. Truncation: failed outputs have a median length of 61 characters against a maximum of 317, and none falls within two%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Reading the verbatim outputs shows that this rule discards answers the model gave correctly, such as a junk number followed by a valid one. Whether that matters was tested, not assumed. All 11.3 million raw responses were re-parsed, and every rejected response in the fifteen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fifteen arms.</w:t>
      </w:r>
    </w:p>
    <w:p>
      <w:pPr>
        <w:pStyle w:val="H3"/>
      </w:pPr>
      <w:r>
        <w:t xml:space="preserve">Block ablations</w:t>
      </w:r>
    </w:p>
    <w:p>
      <w:pPr>
        <w:pStyle w:val="Body"/>
      </w:pPr>
      <w:r>
        <w:t xml:space="preserve">Every block of the 20-variable partition is observed with and without, at two margins: added alone to the sparse base plus the label, and removed alone from the full profile. All arms draw the same respondents,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are directionally consistent but smaller than the difference between two identical runs, and are reported as negligible, not as effects.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H3"/>
      </w:pPr>
      <w:r>
        <w:t xml:space="preserve">Data-processing checks</w:t>
      </w:r>
    </w:p>
    <w:p>
      <w:pPr>
        <w:pStyle w:val="Body"/>
      </w:pPr>
      <w:r>
        <w:t xml:space="preserve">For RQ1, four data-processing checks leave the aggregate results unchanged. Design weighting changes the item-level coefficients little: the weighted and unweighted vectors correlate at 0.9987, and the largest single-item change is 0.103 (Table A5). Computing each country mean on the human-model valid intersection changes per-item between-country correlations by at most about 0.1 for a few items. Two further checks were run on the earlier 500-respondent round: excluding the voting item’s ‘not eligible’ category, and replacing the human subsample with the full ESS sample. Both left the per-item correlations essentially unchanged (</w:t>
      </w:r>
      <w:r>
        <w:rPr>
          <w:i/>
        </w:rPr>
        <w:t>r</w:t>
      </w:r>
      <w:r>
        <w:t xml:space="preserve"> = 0.99) and preserved every negative correlation, and the cross-round stability check in Table A5 carries them forward to the final 685-respondent round. These checks cover weighting, coding, valid-response alignment, and subsampling.</w:t>
      </w:r>
    </w:p>
    <w:p>
      <w:pPr>
        <w:pStyle w:val="Body"/>
      </w:pPr>
      <w:r>
        <w:t xml:space="preserve">Table A5 reports every robustness check with the quantity it moves. One changes a conclusion and is discussed in Section 4.4. The rest leave every conclusion in place.</w:t>
      </w:r>
    </w:p>
    <w:p>
      <w:pPr>
        <w:pStyle w:val="Caption"/>
      </w:pPr>
      <w:r>
        <w:t xml:space="preserve">Table A5. Robustness checks (16):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5"/>
        <w:gridCol w:w="1530"/>
        <w:gridCol w:w="3652"/>
        <w:gridCol w:w="2545"/>
      </w:tblGrid>
      <w:tr>
        <w:tc>
          <w:tcPr>
            <w:tcW w:w="1345" w:type="dxa"/>
            <w:tcBorders>
              <w:bottom w:val="single" w:sz="8" w:space="0" w:color="000000"/>
            </w:tcBorders>
          </w:tcPr>
          <w:p>
            <w:pPr>
              <w:pStyle w:val="Cell"/>
            </w:pPr>
            <w:r>
              <w:rPr>
                <w:b/>
              </w:rPr>
              <w:t xml:space="preserve">Check</w:t>
            </w:r>
          </w:p>
        </w:tc>
        <w:tc>
          <w:tcPr>
            <w:tcW w:w="1530" w:type="dxa"/>
            <w:tcBorders>
              <w:bottom w:val="single" w:sz="8" w:space="0" w:color="000000"/>
            </w:tcBorders>
          </w:tcPr>
          <w:p>
            <w:pPr>
              <w:pStyle w:val="Cell"/>
            </w:pPr>
            <w:r>
              <w:rPr>
                <w:b/>
              </w:rPr>
              <w:t xml:space="preserve">What it varies</w:t>
            </w:r>
          </w:p>
        </w:tc>
        <w:tc>
          <w:tcPr>
            <w:tcW w:w="3652" w:type="dxa"/>
            <w:tcBorders>
              <w:bottom w:val="single" w:sz="8" w:space="0" w:color="000000"/>
            </w:tcBorders>
          </w:tcPr>
          <w:p>
            <w:pPr>
              <w:pStyle w:val="Cell"/>
            </w:pPr>
            <w:r>
              <w:rPr>
                <w:b/>
              </w:rPr>
              <w:t xml:space="preserve">Result</w:t>
            </w:r>
          </w:p>
        </w:tc>
        <w:tc>
          <w:tcPr>
            <w:tcW w:w="2545" w:type="dxa"/>
            <w:tcBorders>
              <w:bottom w:val="single" w:sz="8" w:space="0" w:color="000000"/>
            </w:tcBorders>
          </w:tcPr>
          <w:p>
            <w:pPr>
              <w:pStyle w:val="Cell"/>
            </w:pPr>
            <w:r>
              <w:rPr>
                <w:b/>
              </w:rPr>
              <w:t xml:space="preserve">Any conclusion change?</w:t>
            </w:r>
          </w:p>
        </w:tc>
      </w:tr>
      <w:tr>
        <w:tc>
          <w:tcPr>
            <w:tcW w:w="1345" w:type="dxa"/>
          </w:tcPr>
          <w:p>
            <w:pPr>
              <w:pStyle w:val="Cell"/>
            </w:pPr>
            <w:r>
              <w:t xml:space="preserve">Design weighting of the human benchmark</w:t>
            </w:r>
          </w:p>
        </w:tc>
        <w:tc>
          <w:tcPr>
            <w:tcW w:w="1530" w:type="dxa"/>
          </w:tcPr>
          <w:p>
            <w:pPr>
              <w:pStyle w:val="Cell"/>
            </w:pPr>
            <w:r>
              <w:t xml:space="preserve">Human country means computed unweighted instead of with pspwght</w:t>
            </w:r>
          </w:p>
        </w:tc>
        <w:tc>
          <w:tcPr>
            <w:tcW w:w="3652" w:type="dxa"/>
          </w:tcPr>
          <w:p>
            <w:pPr>
              <w:pStyle w:val="Cell"/>
            </w:pPr>
            <w:r>
              <w:t xml:space="preserve">The two coefficient vectors correlate at 0.9987; the largest item-level change is 0.103 (health)</w:t>
            </w:r>
          </w:p>
        </w:tc>
        <w:tc>
          <w:tcPr>
            <w:tcW w:w="2545" w:type="dxa"/>
          </w:tcPr>
          <w:p>
            <w:pPr>
              <w:pStyle w:val="Cell"/>
            </w:pPr>
            <w:r>
              <w:t xml:space="preserve">No. The median and the direction decomposition are unaffected.</w:t>
            </w:r>
          </w:p>
        </w:tc>
      </w:tr>
      <w:tr>
        <w:tc>
          <w:tcPr>
            <w:tcW w:w="1345" w:type="dxa"/>
          </w:tcPr>
          <w:p>
            <w:pPr>
              <w:pStyle w:val="Cell"/>
            </w:pPr>
            <w:r>
              <w:t xml:space="preserve">Direction classification of the 42 items</w:t>
            </w:r>
          </w:p>
        </w:tc>
        <w:tc>
          <w:tcPr>
            <w:tcW w:w="1530" w:type="dxa"/>
          </w:tcPr>
          <w:p>
            <w:pPr>
              <w:pStyle w:val="Cell"/>
            </w:pPr>
            <w:r>
              <w:t xml:space="preserve">The frozen classification against the four disputed codings</w:t>
            </w:r>
          </w:p>
        </w:tc>
        <w:tc>
          <w:tcPr>
            <w:tcW w:w="3652" w:type="dxa"/>
          </w:tcPr>
          <w:p>
            <w:pPr>
              <w:pStyle w:val="Cell"/>
            </w:pPr>
            <w:r>
              <w:t xml:space="preserve">R² = 0.6576 on all 42 items, 0.6531 excluding vote, 0.7455 further excluding the two screened items</w:t>
            </w:r>
          </w:p>
        </w:tc>
        <w:tc>
          <w:tcPr>
            <w:tcW w:w="2545" w:type="dxa"/>
          </w:tcPr>
          <w:p>
            <w:pPr>
              <w:pStyle w:val="Cell"/>
            </w:pPr>
            <w:r>
              <w:t xml:space="preserve">No. The effect strengthens as the least interpretable items are removed.</w:t>
            </w:r>
          </w:p>
        </w:tc>
      </w:tr>
      <w:tr>
        <w:tc>
          <w:tcPr>
            <w:tcW w:w="1345" w:type="dxa"/>
          </w:tcPr>
          <w:p>
            <w:pPr>
              <w:pStyle w:val="Cell"/>
            </w:pPr>
            <w:r>
              <w:t xml:space="preserve">Items whose silicon dispersion is near zero</w:t>
            </w:r>
          </w:p>
        </w:tc>
        <w:tc>
          <w:tcPr>
            <w:tcW w:w="1530" w:type="dxa"/>
          </w:tcPr>
          <w:p>
            <w:pPr>
              <w:pStyle w:val="Cell"/>
            </w:pPr>
            <w:r>
              <w:t xml:space="preserve">A reliability screen on the silicon side</w:t>
            </w:r>
          </w:p>
        </w:tc>
        <w:tc>
          <w:tcPr>
            <w:tcW w:w="3652" w:type="dxa"/>
          </w:tcPr>
          <w:p>
            <w:pPr>
              <w:pStyle w:val="Cell"/>
            </w:pPr>
            <w:r>
              <w:t xml:space="preserve">Two items fall below it: hmsfmlsh (reliability 0.25) and rlgatnd (0.44); inprdsc (0.615) is retained</w:t>
            </w:r>
          </w:p>
        </w:tc>
        <w:tc>
          <w:tcPr>
            <w:tcW w:w="2545" w:type="dxa"/>
          </w:tcPr>
          <w:p>
            <w:pPr>
              <w:pStyle w:val="Cell"/>
            </w:pPr>
            <w:r>
              <w:t xml:space="preserve">No. Both are pre-declared uninterpretable and the primary anchored specification excludes them.</w:t>
            </w:r>
          </w:p>
        </w:tc>
      </w:tr>
      <w:tr>
        <w:tc>
          <w:tcPr>
            <w:tcW w:w="1345" w:type="dxa"/>
          </w:tcPr>
          <w:p>
            <w:pPr>
              <w:pStyle w:val="Cell"/>
            </w:pPr>
            <w:r>
              <w:t xml:space="preserve">Item set for the anchoring experiment</w:t>
            </w:r>
          </w:p>
        </w:tc>
        <w:tc>
          <w:tcPr>
            <w:tcW w:w="1530" w:type="dxa"/>
          </w:tcPr>
          <w:p>
            <w:pPr>
              <w:pStyle w:val="Cell"/>
            </w:pPr>
            <w:r>
              <w:t xml:space="preserve">Three pre-specified reverse-item sets</w:t>
            </w:r>
          </w:p>
        </w:tc>
        <w:tc>
          <w:tcPr>
            <w:tcW w:w="3652" w:type="dxa"/>
          </w:tcPr>
          <w:p>
            <w:pPr>
              <w:pStyle w:val="Cell"/>
            </w:pPr>
            <w:r>
              <w:t xml:space="preserve">All 12 in batch: +0.4912 [+0.1515, +0.8809], 11 of 12 up; primary 10: +0.4230 [+0.1259, +0.7928], 10 of 10 up; strictest 8: +0.1636 [+0.0507, +0.2671], 8 of 8 up</w:t>
            </w:r>
          </w:p>
        </w:tc>
        <w:tc>
          <w:tcPr>
            <w:tcW w:w="2545" w:type="dxa"/>
          </w:tcPr>
          <w:p>
            <w:pPr>
              <w:pStyle w:val="Cell"/>
            </w:pPr>
            <w:r>
              <w:t xml:space="preserve">No for the sign and the interval. Yes for the gap verdict: eliminated on the primary set, narrowed with a residual on the strictest.</w:t>
            </w:r>
          </w:p>
        </w:tc>
      </w:tr>
      <w:tr>
        <w:tc>
          <w:tcPr>
            <w:tcW w:w="1345" w:type="dxa"/>
          </w:tcPr>
          <w:p>
            <w:pPr>
              <w:pStyle w:val="Cell"/>
            </w:pPr>
            <w:r>
              <w:t xml:space="preserve">Choice of forward control items</w:t>
            </w:r>
          </w:p>
        </w:tc>
        <w:tc>
          <w:tcPr>
            <w:tcW w:w="1530" w:type="dxa"/>
          </w:tcPr>
          <w:p>
            <w:pPr>
              <w:pStyle w:val="Cell"/>
            </w:pPr>
            <w:r>
              <w:t xml:space="preserve">Ten leave-one-out control sets</w:t>
            </w:r>
          </w:p>
        </w:tc>
        <w:tc>
          <w:tcPr>
            <w:tcW w:w="3652" w:type="dxa"/>
          </w:tcPr>
          <w:p>
            <w:pPr>
              <w:pStyle w:val="Cell"/>
            </w:pPr>
            <w:r>
              <w:t xml:space="preserve">The triple difference stays in [0.403, 0.455] against the primary 0.423; the largest shift is 0.032</w:t>
            </w:r>
          </w:p>
        </w:tc>
        <w:tc>
          <w:tcPr>
            <w:tcW w:w="2545" w:type="dxa"/>
          </w:tcPr>
          <w:p>
            <w:pPr>
              <w:pStyle w:val="Cell"/>
            </w:pPr>
            <w:r>
              <w:t xml:space="preserve">No.</w:t>
            </w:r>
          </w:p>
        </w:tc>
      </w:tr>
      <w:tr>
        <w:tc>
          <w:tcPr>
            <w:tcW w:w="1345" w:type="dxa"/>
          </w:tcPr>
          <w:p>
            <w:pPr>
              <w:pStyle w:val="Cell"/>
            </w:pPr>
            <w:r>
              <w:t xml:space="preserve">Run-to-run stability of the generation</w:t>
            </w:r>
          </w:p>
        </w:tc>
        <w:tc>
          <w:tcPr>
            <w:tcW w:w="1530" w:type="dxa"/>
          </w:tcPr>
          <w:p>
            <w:pPr>
              <w:pStyle w:val="Cell"/>
            </w:pPr>
            <w:r>
              <w:t xml:space="preserve">Two identical unseeded runs</w:t>
            </w:r>
          </w:p>
        </w:tc>
        <w:tc>
          <w:tcPr>
            <w:tcW w:w="3652" w:type="dxa"/>
          </w:tcPr>
          <w:p>
            <w:pPr>
              <w:pStyle w:val="Cell"/>
            </w:pPr>
            <w:r>
              <w:t xml:space="preserve">Median absolute rbc difference 0.0602 per item, maximum 0.1854, no sign reversals</w:t>
            </w:r>
          </w:p>
        </w:tc>
        <w:tc>
          <w:tcPr>
            <w:tcW w:w="2545" w:type="dxa"/>
          </w:tcPr>
          <w:p>
            <w:pPr>
              <w:pStyle w:val="Cell"/>
            </w:pPr>
            <w:r>
              <w:t xml:space="preserve">No, and it closes a stated limitation: every contrast is read against the 0.060 band.</w:t>
            </w:r>
          </w:p>
        </w:tc>
      </w:tr>
      <w:tr>
        <w:tc>
          <w:tcPr>
            <w:tcW w:w="1345" w:type="dxa"/>
          </w:tcPr>
          <w:p>
            <w:pPr>
              <w:pStyle w:val="Cell"/>
            </w:pPr>
            <w:r>
              <w:t xml:space="preserve">Deflator for the macro-covariate comparator</w:t>
            </w:r>
          </w:p>
        </w:tc>
        <w:tc>
          <w:tcPr>
            <w:tcW w:w="1530" w:type="dxa"/>
          </w:tcPr>
          <w:p>
            <w:pPr>
              <w:pStyle w:val="Cell"/>
            </w:pPr>
            <w:r>
              <w:t xml:space="preserve">Market dollars against purchasing parity</w:t>
            </w:r>
          </w:p>
        </w:tc>
        <w:tc>
          <w:tcPr>
            <w:tcW w:w="3652" w:type="dxa"/>
          </w:tcPr>
          <w:p>
            <w:pPr>
              <w:pStyle w:val="Cell"/>
            </w:pPr>
            <w:r>
              <w:t xml:space="preserve">Median r 0.6177 under dollars, 0.6317 under parity; normalized error 0.0522 and 0.0527</w:t>
            </w:r>
          </w:p>
        </w:tc>
        <w:tc>
          <w:tcPr>
            <w:tcW w:w="2545" w:type="dxa"/>
          </w:tcPr>
          <w:p>
            <w:pPr>
              <w:pStyle w:val="Cell"/>
            </w:pPr>
            <w:r>
              <w:t xml:space="preserve">No for the comparison with the model. Yes for one claim, therefore not made: the covariate-alone ranking is deflator-dependent.</w:t>
            </w:r>
          </w:p>
        </w:tc>
      </w:tr>
      <w:tr>
        <w:tc>
          <w:tcPr>
            <w:tcW w:w="1345" w:type="dxa"/>
          </w:tcPr>
          <w:p>
            <w:pPr>
              <w:pStyle w:val="Cell"/>
            </w:pPr>
            <w:r>
              <w:t xml:space="preserve">Israel as a bloc of one in the comparator</w:t>
            </w:r>
          </w:p>
        </w:tc>
        <w:tc>
          <w:tcPr>
            <w:tcW w:w="1530" w:type="dxa"/>
          </w:tcPr>
          <w:p>
            <w:pPr>
              <w:pStyle w:val="Cell"/>
            </w:pPr>
            <w:r>
              <w:t xml:space="preserve">Israel handled as its own regional bloc</w:t>
            </w:r>
          </w:p>
        </w:tc>
        <w:tc>
          <w:tcPr>
            <w:tcW w:w="3652" w:type="dxa"/>
          </w:tcPr>
          <w:p>
            <w:pPr>
              <w:pStyle w:val="Cell"/>
            </w:pPr>
            <w:r>
              <w:t xml:space="preserve">The comparator's median r moves from 0.6177 to 0.6741; the gap to the model from 0.174 to 0.177</w:t>
            </w:r>
          </w:p>
        </w:tc>
        <w:tc>
          <w:tcPr>
            <w:tcW w:w="2545" w:type="dxa"/>
          </w:tcPr>
          <w:p>
            <w:pPr>
              <w:pStyle w:val="Cell"/>
            </w:pPr>
            <w:r>
              <w:t xml:space="preserve">No.</w:t>
            </w:r>
          </w:p>
        </w:tc>
      </w:tr>
      <w:tr>
        <w:tc>
          <w:tcPr>
            <w:tcW w:w="1345" w:type="dxa"/>
          </w:tcPr>
          <w:p>
            <w:pPr>
              <w:pStyle w:val="Cell"/>
            </w:pPr>
            <w:r>
              <w:t xml:space="preserve">Influential countries in the comparator</w:t>
            </w:r>
          </w:p>
        </w:tc>
        <w:tc>
          <w:tcPr>
            <w:tcW w:w="1530" w:type="dxa"/>
          </w:tcPr>
          <w:p>
            <w:pPr>
              <w:pStyle w:val="Cell"/>
            </w:pPr>
            <w:r>
              <w:t xml:space="preserve">Leave-one-out over the 30 countries</w:t>
            </w:r>
          </w:p>
        </w:tc>
        <w:tc>
          <w:tcPr>
            <w:tcW w:w="3652" w:type="dxa"/>
          </w:tcPr>
          <w:p>
            <w:pPr>
              <w:pStyle w:val="Cell"/>
            </w:pPr>
            <w:r>
              <w:t xml:space="preserve">Excluding Ireland moves the reported value by 0.001; the high-leverage country is Ukraine (mean hat 0.495)</w:t>
            </w:r>
          </w:p>
        </w:tc>
        <w:tc>
          <w:tcPr>
            <w:tcW w:w="2545" w:type="dxa"/>
          </w:tcPr>
          <w:p>
            <w:pPr>
              <w:pStyle w:val="Cell"/>
            </w:pPr>
            <w:r>
              <w:t xml:space="preserve">No.</w:t>
            </w:r>
          </w:p>
        </w:tc>
      </w:tr>
      <w:tr>
        <w:tc>
          <w:tcPr>
            <w:tcW w:w="1345" w:type="dxa"/>
          </w:tcPr>
          <w:p>
            <w:pPr>
              <w:pStyle w:val="Cell"/>
            </w:pPr>
            <w:r>
              <w:t xml:space="preserve">Coverage in the Llama third-person arm</w:t>
            </w:r>
          </w:p>
        </w:tc>
        <w:tc>
          <w:tcPr>
            <w:tcW w:w="1530" w:type="dxa"/>
          </w:tcPr>
          <w:p>
            <w:pPr>
              <w:pStyle w:val="Cell"/>
            </w:pPr>
            <w:r>
              <w:t xml:space="preserve">Restricting to items above 80% coverage</w:t>
            </w:r>
          </w:p>
        </w:tc>
        <w:tc>
          <w:tcPr>
            <w:tcW w:w="3652" w:type="dxa"/>
          </w:tcPr>
          <w:p>
            <w:pPr>
              <w:pStyle w:val="Cell"/>
            </w:pPr>
            <w:r>
              <w:t xml:space="preserve">Median rbc falls from +0.1729 on all 42 items to −0.0009 on the 19 items above the threshold</w:t>
            </w:r>
          </w:p>
        </w:tc>
        <w:tc>
          <w:tcPr>
            <w:tcW w:w="2545" w:type="dxa"/>
          </w:tcPr>
          <w:p>
            <w:pPr>
              <w:pStyle w:val="Cell"/>
            </w:pPr>
            <w:r>
              <w:t xml:space="preserve">Yes. The arm cannot identify a framing effect; the framing null rests on Qwen alone.</w:t>
            </w:r>
          </w:p>
        </w:tc>
      </w:tr>
      <w:tr>
        <w:tc>
          <w:tcPr>
            <w:tcW w:w="1345" w:type="dxa"/>
          </w:tcPr>
          <w:p>
            <w:pPr>
              <w:pStyle w:val="Cell"/>
            </w:pPr>
            <w:r>
              <w:t xml:space="preserve">Aggregator for the dispersion ratios</w:t>
            </w:r>
          </w:p>
        </w:tc>
        <w:tc>
          <w:tcPr>
            <w:tcW w:w="1530" w:type="dxa"/>
          </w:tcPr>
          <w:p>
            <w:pPr>
              <w:pStyle w:val="Cell"/>
            </w:pPr>
            <w:r>
              <w:t xml:space="preserve">Mean of ratios, median, and ratio of means</w:t>
            </w:r>
          </w:p>
        </w:tc>
        <w:tc>
          <w:tcPr>
            <w:tcW w:w="3652" w:type="dxa"/>
          </w:tcPr>
          <w:p>
            <w:pPr>
              <w:pStyle w:val="Cell"/>
            </w:pPr>
            <w:r>
              <w:t xml:space="preserve">Within-country 0.6052, 0.5727, 0.5859; between-country 0.2821 median, 0.2952 mean</w:t>
            </w:r>
          </w:p>
        </w:tc>
        <w:tc>
          <w:tcPr>
            <w:tcW w:w="2545" w:type="dxa"/>
          </w:tcPr>
          <w:p>
            <w:pPr>
              <w:pStyle w:val="Cell"/>
            </w:pPr>
            <w:r>
              <w:t xml:space="preserve">No. All three within-country estimators fail the pre-declared 0.9–1.1 band.</w:t>
            </w:r>
          </w:p>
        </w:tc>
      </w:tr>
      <w:tr>
        <w:tc>
          <w:tcPr>
            <w:tcW w:w="1345" w:type="dxa"/>
          </w:tcPr>
          <w:p>
            <w:pPr>
              <w:pStyle w:val="Cell"/>
            </w:pPr>
            <w:r>
              <w:t xml:space="preserve">Estimator for the offset reduction</w:t>
            </w:r>
          </w:p>
        </w:tc>
        <w:tc>
          <w:tcPr>
            <w:tcW w:w="1530" w:type="dxa"/>
          </w:tcPr>
          <w:p>
            <w:pPr>
              <w:pStyle w:val="Cell"/>
            </w:pPr>
            <w:r>
              <w:t xml:space="preserve">Four defensible estimators</w:t>
            </w:r>
          </w:p>
        </w:tc>
        <w:tc>
          <w:tcPr>
            <w:tcW w:w="3652" w:type="dxa"/>
          </w:tcPr>
          <w:p>
            <w:pPr>
              <w:pStyle w:val="Cell"/>
            </w:pPr>
            <w:r>
              <w:t xml:space="preserve">Ratio of medians 64.2%, ratio of means 62.9%, median of per-item reductions 59.9%, mean of per-item reductions 53.7%</w:t>
            </w:r>
          </w:p>
        </w:tc>
        <w:tc>
          <w:tcPr>
            <w:tcW w:w="2545" w:type="dxa"/>
          </w:tcPr>
          <w:p>
            <w:pPr>
              <w:pStyle w:val="Cell"/>
            </w:pPr>
            <w:r>
              <w:t xml:space="preserve">Yes for the number quoted: 59.9%, the median of the per-item reductions, named as such.</w:t>
            </w:r>
          </w:p>
        </w:tc>
      </w:tr>
      <w:tr>
        <w:tc>
          <w:tcPr>
            <w:tcW w:w="1345" w:type="dxa"/>
          </w:tcPr>
          <w:p>
            <w:pPr>
              <w:pStyle w:val="Cell"/>
            </w:pPr>
            <w:r>
              <w:t xml:space="preserve">Specification for the cross-level agreement</w:t>
            </w:r>
          </w:p>
        </w:tc>
        <w:tc>
          <w:tcPr>
            <w:tcW w:w="1530" w:type="dxa"/>
          </w:tcPr>
          <w:p>
            <w:pPr>
              <w:pStyle w:val="Cell"/>
            </w:pPr>
            <w:r>
              <w:t xml:space="preserve">As coded, forward items only, sign-aligned</w:t>
            </w:r>
          </w:p>
        </w:tc>
        <w:tc>
          <w:tcPr>
            <w:tcW w:w="3652" w:type="dxa"/>
          </w:tcPr>
          <w:p>
            <w:pPr>
              <w:pStyle w:val="Cell"/>
            </w:pPr>
            <w:r>
              <w:t xml:space="preserve">Pearson 0.9368 as coded, 0.7745 forward-only, 0.8355 sign-aligned</w:t>
            </w:r>
          </w:p>
        </w:tc>
        <w:tc>
          <w:tcPr>
            <w:tcW w:w="2545" w:type="dxa"/>
          </w:tcPr>
          <w:p>
            <w:pPr>
              <w:pStyle w:val="Cell"/>
            </w:pPr>
            <w:r>
              <w:t xml:space="preserve">No for the existence of the agreement. Yes for its description: about a third of the raw magnitude is the shared direction failure.</w:t>
            </w:r>
          </w:p>
        </w:tc>
      </w:tr>
      <w:tr>
        <w:tc>
          <w:tcPr>
            <w:tcW w:w="1345" w:type="dxa"/>
          </w:tcPr>
          <w:p>
            <w:pPr>
              <w:pStyle w:val="Cell"/>
            </w:pPr>
            <w:r>
              <w:t xml:space="preserve">Frame for country-level quantities</w:t>
            </w:r>
          </w:p>
        </w:tc>
        <w:tc>
          <w:tcPr>
            <w:tcW w:w="1530" w:type="dxa"/>
          </w:tcPr>
          <w:p>
            <w:pPr>
              <w:pStyle w:val="Cell"/>
            </w:pPr>
            <w:r>
              <w:t xml:space="preserve">Full frame against the human-model intersection</w:t>
            </w:r>
          </w:p>
        </w:tc>
        <w:tc>
          <w:tcPr>
            <w:tcW w:w="3652" w:type="dxa"/>
          </w:tcPr>
          <w:p>
            <w:pPr>
              <w:pStyle w:val="Cell"/>
            </w:pPr>
            <w:r>
              <w:t xml:space="preserve">Median rbc moves from 0.4433 to 0.4425; single items move by up to 0.109 (health)</w:t>
            </w:r>
          </w:p>
        </w:tc>
        <w:tc>
          <w:tcPr>
            <w:tcW w:w="2545" w:type="dxa"/>
          </w:tcPr>
          <w:p>
            <w:pPr>
              <w:pStyle w:val="Cell"/>
            </w:pPr>
            <w:r>
              <w:t xml:space="preserve">No for the median. The frame is fixed in one place and stated.</w:t>
            </w:r>
          </w:p>
        </w:tc>
      </w:tr>
      <w:tr>
        <w:tc>
          <w:tcPr>
            <w:tcW w:w="1345" w:type="dxa"/>
          </w:tcPr>
          <w:p>
            <w:pPr>
              <w:pStyle w:val="Cell"/>
            </w:pPr>
            <w:r>
              <w:t xml:space="preserve">Stability across rounds</w:t>
            </w:r>
          </w:p>
        </w:tc>
        <w:tc>
          <w:tcPr>
            <w:tcW w:w="1530" w:type="dxa"/>
          </w:tcPr>
          <w:p>
            <w:pPr>
              <w:pStyle w:val="Cell"/>
            </w:pPr>
            <w:r>
              <w:t xml:space="preserve">The March round against the final round</w:t>
            </w:r>
          </w:p>
        </w:tc>
        <w:tc>
          <w:tcPr>
            <w:tcW w:w="3652" w:type="dxa"/>
          </w:tcPr>
          <w:p>
            <w:pPr>
              <w:pStyle w:val="Cell"/>
            </w:pPr>
            <w:r>
              <w:t xml:space="preserve">Median absolute item-level rbc change 0.0415, against a same-round replicate median of 0.060</w:t>
            </w:r>
          </w:p>
        </w:tc>
        <w:tc>
          <w:tcPr>
            <w:tcW w:w="2545" w:type="dxa"/>
          </w:tcPr>
          <w:p>
            <w:pPr>
              <w:pStyle w:val="Cell"/>
            </w:pPr>
            <w:r>
              <w:t xml:space="preserve">No.</w:t>
            </w:r>
          </w:p>
        </w:tc>
      </w:tr>
      <w:tr>
        <w:tc>
          <w:tcPr>
            <w:tcW w:w="1345" w:type="dxa"/>
          </w:tcPr>
          <w:p>
            <w:pPr>
              <w:pStyle w:val="Cell"/>
            </w:pPr>
            <w:r>
              <w:t xml:space="preserve">Human-side missingness rule</w:t>
            </w:r>
          </w:p>
        </w:tc>
        <w:tc>
          <w:tcPr>
            <w:tcW w:w="1530" w:type="dxa"/>
          </w:tcPr>
          <w:p>
            <w:pPr>
              <w:pStyle w:val="Cell"/>
            </w:pPr>
            <w:r>
              <w:t xml:space="preserve">Correcting the missing-code set for the coarse scales</w:t>
            </w:r>
          </w:p>
        </w:tc>
        <w:tc>
          <w:tcPr>
            <w:tcW w:w="3652" w:type="dxa"/>
          </w:tcPr>
          <w:p>
            <w:pPr>
              <w:pStyle w:val="Cell"/>
            </w:pPr>
            <w:r>
              <w:t xml:space="preserve">Median rbc 0.418 to 0.431; items above 0.70 from eight to nine; inverted items from twelve to eleven; within-country dispersion ratio 0.553 to 0.605</w:t>
            </w:r>
          </w:p>
        </w:tc>
        <w:tc>
          <w:tcPr>
            <w:tcW w:w="2545" w:type="dxa"/>
          </w:tcPr>
          <w:p>
            <w:pPr>
              <w:pStyle w:val="Cell"/>
            </w:pPr>
            <w:r>
              <w:t xml:space="preserve">Yes for several reported figures, all corrected. No for any conclusion.</w:t>
            </w:r>
          </w:p>
        </w:tc>
      </w:tr>
    </w:tbl>
    <w:p>
      <w:pPr>
        <w:pStyle w:val="Caption"/>
      </w:pPr>
      <w:r>
        <w:t xml:space="preserve">Table A6. Sensitivity of the between-country correlation to the response-extraction rule, the 15 arms landed at the time of the check.</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