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rPr>
          <w:b/>
        </w:rPr>
        <w:t xml:space="preserve">Figure 1. </w:t>
      </w:r>
      <w:r>
        <w:t xml:space="preserve">The simulation pipeline.</w:t>
      </w:r>
    </w:p>
    <w:p>
      <w:pPr>
        <w:pStyle w:val="Caption"/>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rPr>
          <w:b/>
        </w:rPr>
        <w:t xml:space="preserve">Figure 2. </w:t>
      </w:r>
      <w:r>
        <w:t xml:space="preserve">Aggregate recovery: by condition, and item by item.</w:t>
      </w:r>
    </w:p>
    <w:p>
      <w:pPr>
        <w:pStyle w:val="Caption"/>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rPr>
          <w:b/>
        </w:rPr>
        <w:t xml:space="preserve">Figure 3. </w:t>
      </w:r>
      <w:r>
        <w:t xml:space="preserve">A wrong country name costs the country the respondents came from, Qwen 1P.</w:t>
      </w:r>
    </w:p>
    <w:p>
      <w:pPr>
        <w:pStyle w:val="Caption"/>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rPr>
          <w:b/>
        </w:rPr>
        <w:t xml:space="preserve">Figure 4. </w:t>
      </w:r>
      <w:r>
        <w:t xml:space="preserve">Each backstory block’s effect on aggregate recovery at the two margins that bound it, Qwen 1P.</w:t>
      </w:r>
    </w:p>
    <w:p>
      <w:pPr>
        <w:pStyle w:val="Caption"/>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rPr>
          <w:b/>
        </w:rPr>
        <w:t xml:space="preserve">Figure 5. </w:t>
      </w:r>
      <w:r>
        <w:t xml:space="preserve">The country label by the response format, 22 items, Qwen 1P.</w:t>
      </w:r>
    </w:p>
    <w:p>
      <w:pPr>
        <w:pStyle w:val="Caption"/>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rPr>
          <w:b/>
        </w:rPr>
        <w:t xml:space="preserve">Figure 6. </w:t>
      </w:r>
      <w:r>
        <w:t xml:space="preserve">Individual-level recovery: by condition, and item by item.</w:t>
      </w:r>
    </w:p>
    <w:p>
      <w:pPr>
        <w:pStyle w:val="Caption"/>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rPr>
          <w:b/>
        </w:rPr>
        <w:t xml:space="preserve">Figure 7. </w:t>
      </w:r>
      <w:r>
        <w:t xml:space="preserve">Aggregate against individual country rankings, Qwen 1P.</w:t>
      </w:r>
    </w:p>
    <w:p>
      <w:pPr>
        <w:pStyle w:val="Caption"/>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supplies most of the aggregate signal, and richer profiles do not improve on it.</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rises with the size of the true cross-national differences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Caption"/>
      </w:pPr>
      <w:r>
        <w:rPr>
          <w:i/>
        </w:rPr>
        <w:t xml:space="preserve">Note. </w:t>
      </w:r>
      <w:r>
        <w:t xml:space="preserve">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Caption"/>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Caption"/>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rPr>
          <w:b/>
        </w:rPr>
        <w:t xml:space="preserve">Figure A2. </w:t>
      </w:r>
      <w:r>
        <w:t xml:space="preserve">Country-level scatter for two contrasting items, Qwen 1P.</w:t>
      </w:r>
    </w:p>
    <w:p>
      <w:pPr>
        <w:pStyle w:val="Caption"/>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rPr>
          <w:b/>
        </w:rPr>
        <w:t xml:space="preserve">Figure A3. </w:t>
      </w:r>
      <w:r>
        <w:t xml:space="preserve">The country-label contrast, item by item, Qwen 1P.</w:t>
      </w:r>
    </w:p>
    <w:p>
      <w:pPr>
        <w:pStyle w:val="Caption"/>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Caption"/>
      </w:pPr>
      <w:r>
        <w:rPr>
          <w:i/>
        </w:rPr>
        <w:t xml:space="preserve">Note. </w:t>
      </w:r>
      <w:r>
        <w:t xml:space="preserve">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Caption"/>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Caption"/>
      </w:pPr>
      <w:r>
        <w:rPr>
          <w:i/>
        </w:rPr>
        <w:t xml:space="preserve">Note. </w:t>
      </w:r>
      <w:r>
        <w:t xml:space="preserve">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Caption"/>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