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Early evaluations found that model responses track human ones across several domains.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Later work found compressed distributions and misrepresented groups.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The response format can create cross-national differences by itself. Format here means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Richer conditioning rescues individual recovery only when it is far richer than a demographic profile.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rPr>
          <w:b/>
        </w:rPr>
        <w:t xml:space="preserve">Figure 1. </w:t>
      </w:r>
      <w:r>
        <w:t xml:space="preserve">The simulation pipeline.</w:t>
      </w:r>
    </w:p>
    <w:p>
      <w:pPr>
        <w:pStyle w:val="Caption"/>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rPr>
          <w:b/>
        </w:rPr>
        <w:t xml:space="preserve">Figure 2. </w:t>
      </w:r>
      <w:r>
        <w:t xml:space="preserve">Aggregate recovery: by condition, and item by item.</w:t>
      </w:r>
    </w:p>
    <w:p>
      <w:pPr>
        <w:pStyle w:val="Caption"/>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Institutional trust and subjective well-being recover best, whereas income, safety, and health invert. Panel (b) ranks the same 42 items under Qwen 1P, and the full labeled rankings are in Appendix Figures A1 and A4.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Among forward-coded items, recovery also rises with the size of the true cross-national differences (</w:t>
      </w:r>
      <w:r>
        <w:rPr>
          <w:i/>
        </w:rPr>
        <w:t>r</w:t>
      </w:r>
      <w:r>
        <w:t xml:space="preserve"> = 0.46, p = 0.012 across the 29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a researcher who already holds such data should conclude.</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rPr>
          <w:b/>
        </w:rPr>
        <w:t xml:space="preserve">Figure 3. </w:t>
      </w:r>
      <w:r>
        <w:t xml:space="preserve">A wrong country name costs the country the respondents came from, Qwen 1P.</w:t>
      </w:r>
    </w:p>
    <w:p>
      <w:pPr>
        <w:pStyle w:val="Caption"/>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Removing the country sentence moves recovery more than removing anything else does. It is taken out of an otherwise identical rich profile, holding the same respondents and items. With the country present the paired item-level correlation is higher by a median 0.135 on forward-coded items, where 27 of 29 improve (p &lt; 0.001), and lower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rPr>
          <w:b/>
        </w:rPr>
        <w:t xml:space="preserve">Figure 4. </w:t>
      </w:r>
      <w:r>
        <w:t xml:space="preserve">Each backstory block’s effect on aggregate recovery at the two margins that bound it, Qwen 1P.</w:t>
      </w:r>
    </w:p>
    <w:p>
      <w:pPr>
        <w:pStyle w:val="Caption"/>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rPr>
          <w:b/>
        </w:rPr>
        <w:t xml:space="preserve">Figure 5. </w:t>
      </w:r>
      <w:r>
        <w:t xml:space="preserve">The country label by the response format, 22 items, Qwen 1P.</w:t>
      </w:r>
    </w:p>
    <w:p>
      <w:pPr>
        <w:pStyle w:val="Caption"/>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rPr>
          <w:b/>
        </w:rPr>
        <w:t xml:space="preserve">Figure 6. </w:t>
      </w:r>
      <w:r>
        <w:t xml:space="preserve">Individual-level recovery: by condition, and item by item.</w:t>
      </w:r>
    </w:p>
    <w:p>
      <w:pPr>
        <w:pStyle w:val="Caption"/>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In a replicate arm 95% of the within-country variance the model produces is generation noise.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Dispersion fails the pre-declared band in both directions. Under Qwen 1P the mean ratio of model to human standard deviations is 0.61, using the mean of the per-cell ratios. The median is 0.57 and the ratio of means 0.59, and all three fail the pre-declared 0.9–1.1 band. Llama 3P instead expands variance (1.41).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rPr>
          <w:b/>
        </w:rPr>
        <w:t xml:space="preserve">Figure 7. </w:t>
      </w:r>
      <w:r>
        <w:t xml:space="preserve">Aggregate against individual country rankings, Qwen 1P.</w:t>
      </w:r>
    </w:p>
    <w:p>
      <w:pPr>
        <w:pStyle w:val="Caption"/>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country label result stands apart: the label supplies most of the aggregate signal, and richer profiles do not improve on it.</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nearly all of it is generation noise (Section 4.3).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Country identifiability).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A model can tell countries apart without representing any of them, as human national-character beliefs can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Most of the variance in item-level recovery follows direction, and what is left has a pattern of its own. The items that recover are about the country, and the ones that invert (income, health, safety) are about the respondent. One reading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The reading was formed after the results and it holds: recovery rises with the size of the true cross-national differences (Section 4.1).</w:t>
      </w:r>
    </w:p>
    <w:p>
      <w:pPr>
        <w:pStyle w:val="Body"/>
      </w:pPr>
      <w:r>
        <w:t xml:space="preserve">High pooled correlations mask negative item-level country correlations by combining well-recovered and inverted items. In these data, high pooled and profile correlations coexist with the reversed items, so a screening rule based on either would pass the battery unchanged. Item-level diagnostics are therefore necessary before pooled or profile metrics are used.</w:t>
      </w:r>
    </w:p>
    <w:p>
      <w:pPr>
        <w:pStyle w:val="Body"/>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The pattern is about items, not about which countries are well represented.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supports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of the margins that bound it,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Two quantities a user needs are still unmeasured here, multivariate structure and subgroup calibration. Each should be judged against the estimand it is meant to serve.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Caption"/>
      </w:pPr>
      <w:r>
        <w:rPr>
          <w:i/>
        </w:rPr>
        <w:t xml:space="preserve">Note. </w:t>
      </w:r>
      <w:r>
        <w:t xml:space="preserve">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Caption"/>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Caption"/>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rPr>
          <w:b/>
        </w:rPr>
        <w:t xml:space="preserve">Figure A2. </w:t>
      </w:r>
      <w:r>
        <w:t xml:space="preserve">Country-level scatter for two contrasting items, Qwen 1P.</w:t>
      </w:r>
    </w:p>
    <w:p>
      <w:pPr>
        <w:pStyle w:val="Caption"/>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rPr>
          <w:b/>
        </w:rPr>
        <w:t xml:space="preserve">Figure A3. </w:t>
      </w:r>
      <w:r>
        <w:t xml:space="preserve">The country-label contrast, item by item, Qwen 1P.</w:t>
      </w:r>
    </w:p>
    <w:p>
      <w:pPr>
        <w:pStyle w:val="Caption"/>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Caption"/>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Caption"/>
      </w:pPr>
      <w:r>
        <w:rPr>
          <w:i/>
        </w:rPr>
        <w:t xml:space="preserve">Note. </w:t>
      </w:r>
      <w:r>
        <w:t xml:space="preserve">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Caption"/>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Caption"/>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Caption"/>
      </w:pPr>
      <w:r>
        <w:rPr>
          <w:i/>
        </w:rPr>
        <w:t xml:space="preserve">Note. </w:t>
      </w:r>
      <w:r>
        <w:t xml:space="preserve">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Caption"/>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Caption"/>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