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Figure 2(b) ranks the same items under Qwen 1P. The full labeled rankings appear in Appendix Figures A1 and A4. Figure 6(b) draws the individual level on the same scale, and the two together make the disparity visible: the aggregate series spans 1.64 correlation units, the individual series 0.30, a ratio of 5.5.</w:t>
      </w:r>
    </w:p>
    <w:p>
      <w:pPr>
        <w:pStyle w:val="Body"/>
      </w:pPr>
      <w:r>
        <w:t xml:space="preserve">Panel (b) shows that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Figure 4 gives every block’s effect at both margins, and Appendix Figure A3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Recovery instead varies widely among profiles that identify the country equally well, and the sparsest profile containing the country beats every richer one (Appendix, Country identifiability).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 The methodological one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experiment crosses the country label with the response format, which turns the item inversions from an interpretation into a result. Recovery is reported item by item against a measured run-to-run floor. A pooled correlation would have hidden the inverted items. The practical one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