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highly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appears to use the country as a group-level prior and to largely ignore respondent detail. Individual-level recovery is negligible everywhere and unrelated to aggregate recovery across countries. A 2 × 2 experiment traces the item-level failures to the response scale: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limitations constrain the existing literature. First, most evaluations remain centered on the United States; available cross-national studies cover relatively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governs the form it takes.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model treats the country name as a group-level prior. The label carries most of the aggregate signal. Enriching the profile beyond it adds no consistent gain. The response-scale format sets the sign that signal takes. None of it amounts to individual-level recovery. Three things are new here: the first joint evaluation of item-level country rankings, within-country individual recovery, and the label’s incremental contribution on matched respondents; the experimental identification of that prior and of the format that sets its sign; and benchmarks against model-free alternatives, the comparison a prospective user needs.</w:t>
      </w:r>
    </w:p>
    <w:p>
      <w:pPr>
        <w:pStyle w:val="Body"/>
      </w:pPr>
      <w:r>
        <w:t xml:space="preserve">Four tests in one design answer the four gaps.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across a wide range of attitudes, and how far does that accuracy vary from item to item?</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The next tests are whether the country label adds recovery beyond demographic composition and whether richer profiles add further gains.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reverse-worded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Does the aggregate signal come from the country label or from the composition of the respondent profile, and what decides whether the country ordering it produces is correct or inverted?</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questions together, because a level of recovery is only useful if it can be told apart from the level next to it:</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follows a 2 (model) × 2 (prompt) fully crossed design. Two major open-weight instruction-tuned models are tested: Qwen 2.5-7B-Instruct (Alibaba) and Llama 3.1-8B-Instruct (Meta). Both are run locally on a university HPC cluster (NVIDIA A100 GPU) using vLLM for efficient batched inference. Temperature is set to 0.7;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(most people can be trusted, ppltrst; people try to be fair, pplfair; people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4.4. The sample size is sufficient at both levels of analysis. Subsampled estimates flatten above roughly 400 respondents per country, and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forty-one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identifying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final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with-against-without logic extends to the whole profile. The 20 backstory variables partition into ten named blocks: the ascriptive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not the single variable. The profile contains near-duplicate pairs: age and birth year, education level and education years, household size and children at home. Dropping one of a pair measures duplication, not information. Where a block has no such pair the variables are also tested singly.</w:t>
      </w:r>
    </w:p>
    <w:p>
      <w:pPr>
        <w:pStyle w:val="Body"/>
      </w:pPr>
      <w:r>
        <w:t xml:space="preserve">Every block is observed at two margins. It is added alone to the sparse base plus the country label, and it is removed alone from the otherwise complete profile. These are the extreme positions a block can occupy in any order of additions, so the two margins bound its contribution under every ordering.</w:t>
      </w:r>
    </w:p>
    <w:p>
      <w:pPr>
        <w:pStyle w:val="Body"/>
      </w:pPr>
      <w:r>
        <w:t xml:space="preserve">Three probes settle readings the margins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w:t>
      </w:r>
      <w:r>
        <w:rPr>
          <w:i/>
        </w:rPr>
        <w:t>r</w:t>
      </w:r>
      <w:r>
        <w:rPr>
          <w:i/>
          <w:vertAlign w:val="subscript"/>
        </w:rPr>
        <w:t>pw</w:t>
      </w:r>
      <w:r>
        <w:t xml:space="preserve"> pools respondents across countries after centering within country; it appears once, in Figure 6(b), where its statistical power suits the per-item display. </w:t>
      </w:r>
      <w:r>
        <w:rPr>
          <w:i/>
        </w:rPr>
        <w:t>r</w:t>
      </w:r>
      <w:r>
        <w:rPr>
          <w:i/>
          <w:vertAlign w:val="subscript"/>
        </w:rPr>
        <w:t>pool</w:t>
      </w:r>
      <w:r>
        <w:t xml:space="preserve"> runs across all 1,260 country–item cells. It is reported once,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ceiling on what any demographic profile could recover at the individual level.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as </w:t>
      </w:r>
      <w:r>
        <w:rPr>
          <w:i/>
        </w:rPr>
        <w:t>r</w:t>
      </w:r>
      <w:r>
        <w:rPr>
          <w:i/>
          <w:vertAlign w:val="subscript"/>
        </w:rPr>
        <w:t>bc</w:t>
      </w:r>
      <w:r>
        <w:t xml:space="preserve"> × </w:t>
      </w:r>
      <w:r>
        <w:rPr>
          <w:i/>
        </w:rPr>
        <w:t>C</w:t>
      </w:r>
      <w:r>
        <w:rPr>
          <w:i/>
          <w:vertAlign w:val="subscript"/>
        </w:rPr>
        <w:t>b</w:t>
      </w:r>
      <w:r>
        <w:t xml:space="preserve">,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per-item aggregate recovery is moderate but highly item-dependent. Country-profile and mean-error statistics also produce different country rankings, so no single aggregate measure captures performance.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removing each item's mean leaves a pooled correlation of 0.515.</w:t>
      </w:r>
    </w:p>
    <w:p>
      <w:pPr>
        <w:pStyle w:val="Body"/>
      </w:pPr>
      <w:r>
        <w:t xml:space="preserve">Qwen 1P has the highest item-level median correlation: against the pre-declared thresholds, 20 of 42 items exceed 0.5 and nine exceed 0.7. As the best-performing condition it serves as the reference for the focused analyses below.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every condition, with the median across items marked and the pooled correlation drawn once as a labeled counterexample (all pooled p &lt; 0.001). The Llama 3P swarm is drawn in grey because that arm loses 24% of its scheduled responses to a parse failure and is not read substantively (Section 4.4). The Qwen 1P anchored arm repeats Qwen 1P with verbally anchored response scales on the 22-item batch (Section 4.2). Panel (b): the same 42 items under Qwen 1P, ranked, with the highest and lowest named and reverse-worded items marked. The individual-level counterpart of both panels is Figure 6, whose per-item panel is drawn on the scale of panel (b).</w:t>
      </w:r>
    </w:p>
    <w:p>
      <w:pPr>
        <w:pStyle w:val="Body"/>
      </w:pPr>
      <w:r>
        <w:t xml:space="preserve">Figure 2(b) ranks the same items under Qwen 1P; the full labeled rankings appear in Appendix Figures A1 and A3. Figure 6(b) draws the individual level on the same scale, and the two together make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European unification (euftf, −0.23) is forward-coded. It is a bipolar item whose numeric direction is a convention; in Figure 2(b) it is the one circle in the negative tail.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SD 0.06). Finland, Switzerland, Ireland, Norway, and Austria rank highest (0.88–0.91), while Bulgaria, Serbia, Ukraine, Israel, and Latvia rank lowest (0.69–0.76). The band is narrow: the worst-recovered country in the sample still scores 0.69,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(r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finally, close to independent. All 30 countries have positive mean bias under Qwen 1P, from 0.36 scale points in Finland to 1.40 in Bulgaria, consistent with a shift toward higher numeric responses. Mean SD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Body"/>
      </w:pPr>
      <w:r>
        <w:t xml:space="preserve">4.2 The country label supplies the signal; the response format decides whether the ordering inverts</w:t>
      </w:r>
    </w:p>
    <w:p>
      <w:pPr>
        <w:pStyle w:val="Body"/>
      </w:pPr>
      <w:r>
        <w:t xml:space="preserve">Addressing RQ2, the identifying estimate is one paired contrast: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5404104" cy="4858512"/>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404104" cy="4858512"/>
                    </a:xfrm>
                    <a:prstGeom prst="rect">
                      <a:avLst/>
                    </a:prstGeom>
                  </pic:spPr>
                </pic:pic>
              </a:graphicData>
            </a:graphic>
          </wp:inline>
        </w:drawing>
      </w:r>
    </w:p>
    <w:p>
      <w:pPr>
        <w:pStyle w:val="Caption"/>
      </w:pPr>
      <w:r>
        <w:t xml:space="preserve">Figure 3.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ascriptive base has no add margin, because it is the base. Reverse-worded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A4; per-block values ship with the figure data.</w:t>
      </w:r>
    </w:p>
    <w:p>
      <w:pPr>
        <w:pStyle w:val="Body"/>
      </w:pPr>
      <w:r>
        <w:t xml:space="preserve">Figure 3 gives every block's effect at both margins, and Appendix Figure A4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versus 0.52).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falsification arm shows the model uses the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which is what a cue the model attends to should do, and what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profile keeps carrying a compositional share of its own. The two scorings are not mechanically coupled: under the derangement the named and the true countries' human means correlate at a median of −0.07. Figure 4 puts the conditions side by side.</w:t>
      </w:r>
    </w:p>
    <w:p>
      <w:pPr>
        <w:pStyle w:val="Fig"/>
      </w:pPr>
      <w:r>
        <w:drawing>
          <wp:inline distT="0" distB="0" distL="0" distR="0">
            <wp:extent cx="5279136" cy="294741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279136" cy="2947416"/>
                    </a:xfrm>
                    <a:prstGeom prst="rect">
                      <a:avLst/>
                    </a:prstGeom>
                  </pic:spPr>
                </pic:pic>
              </a:graphicData>
            </a:graphic>
          </wp:inline>
        </w:drawing>
      </w:r>
    </w:p>
    <w:p>
      <w:pPr>
        <w:pStyle w:val="Caption"/>
      </w:pPr>
      <w:r>
        <w:t xml:space="preserve">Figure 4. A wrong country name costs the country the respondents came from, Qwen 1P.</w:t>
      </w:r>
    </w:p>
    <w:p>
      <w:pPr>
        <w:pStyle w:val="Body"/>
      </w:pPr>
      <w:r>
        <w:t xml:space="preserve">Note. Median </w:t>
      </w:r>
      <w:r>
        <w:rPr>
          <w:i/>
        </w:rPr>
        <w:t>r</w:t>
      </w:r>
      <w:r>
        <w:rPr>
          <w:i/>
          <w:vertAlign w:val="subscript"/>
        </w:rPr>
        <w:t>bc</w:t>
      </w:r>
      <w:r>
        <w:t xml:space="preserve"> over items, forward- and reverse-worded shown separately as in Figure 3.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The inversions in Section 4.1 and the negative country-label effect above share one candidate explanation. The model may be reading the numeric scale in the wrong direction while holding correct country associations. That explanation is testable, and a 2 × 2 arm tests it on the 22-item batch (Figure 5).</w:t>
      </w:r>
    </w:p>
    <w:p>
      <w:pPr>
        <w:pStyle w:val="Body"/>
      </w:pPr>
      <w:r>
        <w:t xml:space="preserve">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genuine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2 × 2: country label by response-scale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reverse-worded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of 0.210 sits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demographic-explainable ceiling of 0.210. The conditions and the grey arm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w:t>
      </w:r>
      <w:r>
        <w:rPr>
          <w:i/>
        </w:rPr>
        <w:t>r</w:t>
      </w:r>
      <w:r>
        <w:rPr>
          <w:i/>
          <w:vertAlign w:val="subscript"/>
        </w:rPr>
        <w:t>pool</w:t>
      </w:r>
      <w:r>
        <w:t xml:space="preserve"> lies between 0.64 and 0.83 across conditions while within-country recovery is near zero (Figures 2 and 6). The aggregate–individual dissociation is established for single-country designs; what is new is that it survives at thirty countries and that scale anchoring moves both levels together.</w:t>
      </w:r>
    </w:p>
    <w:p>
      <w:pPr>
        <w:pStyle w:val="Body"/>
      </w:pPr>
      <w:r>
        <w:t xml:space="preserve">The scale manipulation of Section 4.2 also moves this level. Anchoring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At the country level, individual recovery remains uniformly weak. </w:t>
      </w:r>
      <w:r>
        <w:rPr>
          <w:i/>
        </w:rPr>
        <w:t>r</w:t>
      </w:r>
      <w:r>
        <w:rPr>
          <w:i/>
          <w:vertAlign w:val="subscript"/>
        </w:rPr>
        <w:t>wc</w:t>
      </w:r>
      <w:r>
        <w:t xml:space="preserve"> is computed for each of the 1,260 country–item cells. Under Qwen 1P, mean </w:t>
      </w:r>
      <w:r>
        <w:rPr>
          <w:i/>
        </w:rPr>
        <w:t>r</w:t>
      </w:r>
      <w:r>
        <w:rPr>
          <w:i/>
          <w:vertAlign w:val="subscript"/>
        </w:rPr>
        <w:t>wc</w:t>
      </w:r>
      <w:r>
        <w:t xml:space="preserve"> is 0.027 (SD 0.079). Of the 1,260 cells, 826 are positive and 453 reach p &lt; 0.05 (rq3_cell_summary.csv). Even Israel, the highest country mean at 0.077, has less than 1% of individual variance explained. No country reaches a level that supports substantive individual inference.</w:t>
      </w:r>
    </w:p>
    <w:p>
      <w:pPr>
        <w:pStyle w:val="Body"/>
      </w:pPr>
      <w:r>
        <w:t xml:space="preserve">Individual-level recovery has no clear regional gradient and varies more by item than by country.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(90% CI [−0.49, 0.10]). Range-normalized aggregate error yields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a pairwise one, so it is better counted than correlated: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232 of the 435 country pairs reverse. Switzerland and Israel, the sharpest case in the text, are drawn in black.</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r = 0.84.</w:t>
      </w:r>
    </w:p>
    <w:p>
      <w:pPr>
        <w:pStyle w:val="Body"/>
      </w:pPr>
      <w:r>
        <w:t xml:space="preserve">Run-to-run stability sets the interpretive band.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Coverage in the Llama third-person arm changes a conclusion.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headline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backstory experiment identifies the country label as the largest incremental source of aggregate recovery. Richer profiles do not improve on it: the full profile sits below the label alone, and political identity and the socioeconomic block lower recovery when added (Section 4.2). A model that found respondent detail uninformative would show flat margins. Negative margins indicate that the detail is used, and used badly.</w:t>
      </w:r>
    </w:p>
    <w:p>
      <w:pPr>
        <w:pStyle w:val="Body"/>
      </w:pPr>
      <w:r>
        <w:t xml:space="preserve">The label does not work by making the country identifiable. If it did, recovery would track identifiability. Holding identifiability at its maximum, recovery still spans 0.29 to 0.52, and the sparsest profile containing the country beats every richer one (Appendix, Country identifiability). The model appears to treat the country as a group-level prior, and respondent detail as noise around it. Within a country almost none of the variation the model produces is respondent-specific: in a replicate arm 95% of the within-country variance is generation noise, and median within-country recovery is 0.028 against the 0.210 ceiling. And the label is what steers: replacing it with a wrong name costs the country the respondents came from (Section 4.2).</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A model can approximate national averages by treating the country cue as a group-level prior. It does not, however, reproduce how attitudes covary with individual attributes. The first capacity may support narrow aggregate tasks. It does not establish the second.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forty-two items whose cross-national ordering is reversed, so a screening rule based on pooled or profile recovery would certify a battery in which a substantial minority of items has the wrong sign.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(r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and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a third constraint, and the cheapest of the three to change.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which tests whether the cue is specific to the country it names. A 2 × 2 crosses the label with the scale format, which turns the item inversions from an interpretation into a result. Recovery is reported item by item against a measured run-to-run floor;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Six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A classifier trained on its rendered backstories recovers the country 28.7% of the time, against a 3.3% baseline. Harmonized education, marital and activity categories differ in composition across countries. No backstory names a country, so the leak is compositional, and the 0.34 median recovery of that arm is an upper bound on what composition achieves without country knowledge. Fourth, the scale experiment uses Qwen 1P only. The country-label contrast replicates under Llama (Section 4.2), and no experiment here can distinguish calibrated country knowledge from stereotype activation. Fifth, the Llama third-person arm lost 24% of scheduled responses to a format-compliance failure, not a scale-comprehension one, diagnosed in Appendix, Parse failures. It bounds what that arm can show. Finally, generation is unseeded and each arm is one run, so every item-level value carries the run-to-run variation measured in Section 4.4.</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613"/>
        <w:gridCol w:w="1583"/>
        <w:gridCol w:w="1552"/>
        <w:gridCol w:w="1583"/>
        <w:gridCol w:w="2741"/>
      </w:tblGrid>
      <w:tr>
        <w:tc>
          <w:tcPr>
            <w:tcW w:w="1613" w:type="dxa"/>
            <w:tcBorders>
              <w:bottom w:val="single" w:sz="8" w:space="0" w:color="000000"/>
            </w:tcBorders>
          </w:tcPr>
          <w:p>
            <w:pPr>
              <w:pStyle w:val="Cell"/>
            </w:pPr>
            <w:r>
              <w:rPr>
                <w:b/>
              </w:rPr>
              <w:t xml:space="preserve">Variable</w:t>
            </w:r>
          </w:p>
        </w:tc>
        <w:tc>
          <w:tcPr>
            <w:tcW w:w="1583" w:type="dxa"/>
            <w:tcBorders>
              <w:bottom w:val="single" w:sz="8" w:space="0" w:color="000000"/>
            </w:tcBorders>
          </w:tcPr>
          <w:p>
            <w:pPr>
              <w:pStyle w:val="Cell"/>
            </w:pPr>
            <w:r>
              <w:rPr>
                <w:b/>
              </w:rPr>
              <w:t xml:space="preserve">rind (leaked)</w:t>
            </w:r>
          </w:p>
        </w:tc>
        <w:tc>
          <w:tcPr>
            <w:tcW w:w="1552" w:type="dxa"/>
            <w:tcBorders>
              <w:bottom w:val="single" w:sz="8" w:space="0" w:color="000000"/>
            </w:tcBorders>
          </w:tcPr>
          <w:p>
            <w:pPr>
              <w:pStyle w:val="Cell"/>
            </w:pPr>
            <w:r>
              <w:rPr>
                <w:b/>
              </w:rPr>
              <w:t xml:space="preserve">rind (clean)</w:t>
            </w:r>
          </w:p>
        </w:tc>
        <w:tc>
          <w:tcPr>
            <w:tcW w:w="1583" w:type="dxa"/>
            <w:tcBorders>
              <w:bottom w:val="single" w:sz="8" w:space="0" w:color="000000"/>
            </w:tcBorders>
          </w:tcPr>
          <w:p>
            <w:pPr>
              <w:pStyle w:val="Cell"/>
            </w:pPr>
            <w:r>
              <w:rPr>
                <w:b/>
              </w:rPr>
              <w:t xml:space="preserve">Difference</w:t>
            </w:r>
          </w:p>
        </w:tc>
        <w:tc>
          <w:tcPr>
            <w:tcW w:w="2741" w:type="dxa"/>
            <w:tcBorders>
              <w:bottom w:val="single" w:sz="8" w:space="0" w:color="000000"/>
            </w:tcBorders>
          </w:tcPr>
          <w:p>
            <w:pPr>
              <w:pStyle w:val="Cell"/>
            </w:pPr>
            <w:r>
              <w:rPr>
                <w:b/>
              </w:rPr>
              <w:t xml:space="preserve">Interpretation</w:t>
            </w:r>
          </w:p>
        </w:tc>
      </w:tr>
      <w:tr>
        <w:tc>
          <w:tcPr>
            <w:tcW w:w="1613" w:type="dxa"/>
          </w:tcPr>
          <w:p>
            <w:pPr>
              <w:pStyle w:val="Cell"/>
            </w:pPr>
            <w:r>
              <w:t xml:space="preserve">inprdsc</w:t>
            </w:r>
          </w:p>
        </w:tc>
        <w:tc>
          <w:tcPr>
            <w:tcW w:w="1583" w:type="dxa"/>
          </w:tcPr>
          <w:p>
            <w:pPr>
              <w:pStyle w:val="Cell"/>
            </w:pPr>
            <w:r>
              <w:t xml:space="preserve">0.854</w:t>
            </w:r>
          </w:p>
        </w:tc>
        <w:tc>
          <w:tcPr>
            <w:tcW w:w="1552" w:type="dxa"/>
          </w:tcPr>
          <w:p>
            <w:pPr>
              <w:pStyle w:val="Cell"/>
            </w:pPr>
            <w:r>
              <w:t xml:space="preserve">0.038</w:t>
            </w:r>
          </w:p>
        </w:tc>
        <w:tc>
          <w:tcPr>
            <w:tcW w:w="1583" w:type="dxa"/>
          </w:tcPr>
          <w:p>
            <w:pPr>
              <w:pStyle w:val="Cell"/>
            </w:pPr>
            <w:r>
              <w:t xml:space="preserve">−0.817</w:t>
            </w:r>
          </w:p>
        </w:tc>
        <w:tc>
          <w:tcPr>
            <w:tcW w:w="2741" w:type="dxa"/>
          </w:tcPr>
          <w:p>
            <w:pPr>
              <w:pStyle w:val="Cell"/>
            </w:pPr>
            <w:r>
              <w:t xml:space="preserve">Echo removed</w:t>
            </w:r>
          </w:p>
        </w:tc>
      </w:tr>
      <w:tr>
        <w:tc>
          <w:tcPr>
            <w:tcW w:w="1613" w:type="dxa"/>
          </w:tcPr>
          <w:p>
            <w:pPr>
              <w:pStyle w:val="Cell"/>
            </w:pPr>
            <w:r>
              <w:t xml:space="preserve">sclmeet</w:t>
            </w:r>
          </w:p>
        </w:tc>
        <w:tc>
          <w:tcPr>
            <w:tcW w:w="1583" w:type="dxa"/>
          </w:tcPr>
          <w:p>
            <w:pPr>
              <w:pStyle w:val="Cell"/>
            </w:pPr>
            <w:r>
              <w:t xml:space="preserve">0.291</w:t>
            </w:r>
          </w:p>
        </w:tc>
        <w:tc>
          <w:tcPr>
            <w:tcW w:w="1552" w:type="dxa"/>
          </w:tcPr>
          <w:p>
            <w:pPr>
              <w:pStyle w:val="Cell"/>
            </w:pPr>
            <w:r>
              <w:t xml:space="preserve">0.035</w:t>
            </w:r>
          </w:p>
        </w:tc>
        <w:tc>
          <w:tcPr>
            <w:tcW w:w="1583" w:type="dxa"/>
          </w:tcPr>
          <w:p>
            <w:pPr>
              <w:pStyle w:val="Cell"/>
            </w:pPr>
            <w:r>
              <w:t xml:space="preserve">−0.256</w:t>
            </w:r>
          </w:p>
        </w:tc>
        <w:tc>
          <w:tcPr>
            <w:tcW w:w="2741" w:type="dxa"/>
          </w:tcPr>
          <w:p>
            <w:pPr>
              <w:pStyle w:val="Cell"/>
            </w:pPr>
            <w:r>
              <w:t xml:space="preserve">Echo removed</w:t>
            </w:r>
          </w:p>
        </w:tc>
      </w:tr>
      <w:tr>
        <w:tc>
          <w:tcPr>
            <w:tcW w:w="1613" w:type="dxa"/>
          </w:tcPr>
          <w:p>
            <w:pPr>
              <w:pStyle w:val="Cell"/>
            </w:pPr>
            <w:r>
              <w:t xml:space="preserve">vote</w:t>
            </w:r>
          </w:p>
        </w:tc>
        <w:tc>
          <w:tcPr>
            <w:tcW w:w="1583" w:type="dxa"/>
          </w:tcPr>
          <w:p>
            <w:pPr>
              <w:pStyle w:val="Cell"/>
            </w:pPr>
            <w:r>
              <w:t xml:space="preserve">0.142</w:t>
            </w:r>
          </w:p>
        </w:tc>
        <w:tc>
          <w:tcPr>
            <w:tcW w:w="1552" w:type="dxa"/>
          </w:tcPr>
          <w:p>
            <w:pPr>
              <w:pStyle w:val="Cell"/>
            </w:pPr>
            <w:r>
              <w:t xml:space="preserve">−0.037</w:t>
            </w:r>
          </w:p>
        </w:tc>
        <w:tc>
          <w:tcPr>
            <w:tcW w:w="1583" w:type="dxa"/>
          </w:tcPr>
          <w:p>
            <w:pPr>
              <w:pStyle w:val="Cell"/>
            </w:pPr>
            <w:r>
              <w:t xml:space="preserve">−0.179</w:t>
            </w:r>
          </w:p>
        </w:tc>
        <w:tc>
          <w:tcPr>
            <w:tcW w:w="2741" w:type="dxa"/>
          </w:tcPr>
          <w:p>
            <w:pPr>
              <w:pStyle w:val="Cell"/>
            </w:pPr>
            <w:r>
              <w:t xml:space="preserve">Echo removed</w:t>
            </w:r>
          </w:p>
        </w:tc>
      </w:tr>
      <w:tr>
        <w:tc>
          <w:tcPr>
            <w:tcW w:w="1613" w:type="dxa"/>
          </w:tcPr>
          <w:p>
            <w:pPr>
              <w:pStyle w:val="Cell"/>
            </w:pPr>
            <w:r>
              <w:t xml:space="preserve">hincfel</w:t>
            </w:r>
          </w:p>
        </w:tc>
        <w:tc>
          <w:tcPr>
            <w:tcW w:w="1583" w:type="dxa"/>
          </w:tcPr>
          <w:p>
            <w:pPr>
              <w:pStyle w:val="Cell"/>
            </w:pPr>
            <w:r>
              <w:t xml:space="preserve">−0.184</w:t>
            </w:r>
          </w:p>
        </w:tc>
        <w:tc>
          <w:tcPr>
            <w:tcW w:w="1552" w:type="dxa"/>
          </w:tcPr>
          <w:p>
            <w:pPr>
              <w:pStyle w:val="Cell"/>
            </w:pPr>
            <w:r>
              <w:t xml:space="preserve">−0.164</w:t>
            </w:r>
          </w:p>
        </w:tc>
        <w:tc>
          <w:tcPr>
            <w:tcW w:w="1583" w:type="dxa"/>
          </w:tcPr>
          <w:p>
            <w:pPr>
              <w:pStyle w:val="Cell"/>
            </w:pPr>
            <w:r>
              <w:t xml:space="preserve">+0.020</w:t>
            </w:r>
          </w:p>
        </w:tc>
        <w:tc>
          <w:tcPr>
            <w:tcW w:w="2741" w:type="dxa"/>
          </w:tcPr>
          <w:p>
            <w:pPr>
              <w:pStyle w:val="Cell"/>
            </w:pPr>
            <w:r>
              <w:t xml:space="preserve">Attenuated</w:t>
            </w:r>
          </w:p>
        </w:tc>
      </w:tr>
      <w:tr>
        <w:tc>
          <w:tcPr>
            <w:tcW w:w="1613" w:type="dxa"/>
          </w:tcPr>
          <w:p>
            <w:pPr>
              <w:pStyle w:val="Cell"/>
            </w:pPr>
            <w:r>
              <w:t xml:space="preserve">health</w:t>
            </w:r>
          </w:p>
        </w:tc>
        <w:tc>
          <w:tcPr>
            <w:tcW w:w="1583" w:type="dxa"/>
          </w:tcPr>
          <w:p>
            <w:pPr>
              <w:pStyle w:val="Cell"/>
            </w:pPr>
            <w:r>
              <w:t xml:space="preserve">−0.327</w:t>
            </w:r>
          </w:p>
        </w:tc>
        <w:tc>
          <w:tcPr>
            <w:tcW w:w="1552" w:type="dxa"/>
          </w:tcPr>
          <w:p>
            <w:pPr>
              <w:pStyle w:val="Cell"/>
            </w:pPr>
            <w:r>
              <w:t xml:space="preserve">−0.093</w:t>
            </w:r>
          </w:p>
        </w:tc>
        <w:tc>
          <w:tcPr>
            <w:tcW w:w="1583" w:type="dxa"/>
          </w:tcPr>
          <w:p>
            <w:pPr>
              <w:pStyle w:val="Cell"/>
            </w:pPr>
            <w:r>
              <w:t xml:space="preserve">+0.234</w:t>
            </w:r>
          </w:p>
        </w:tc>
        <w:tc>
          <w:tcPr>
            <w:tcW w:w="2741" w:type="dxa"/>
          </w:tcPr>
          <w:p>
            <w:pPr>
              <w:pStyle w:val="Cell"/>
            </w:pPr>
            <w:r>
              <w:t xml:space="preserve">Attenuated</w:t>
            </w:r>
          </w:p>
        </w:tc>
      </w:tr>
      <w:tr>
        <w:tc>
          <w:tcPr>
            <w:tcW w:w="1613" w:type="dxa"/>
          </w:tcPr>
          <w:p>
            <w:pPr>
              <w:pStyle w:val="Cell"/>
            </w:pPr>
            <w:r>
              <w:t xml:space="preserve">rlgatnd</w:t>
            </w:r>
          </w:p>
        </w:tc>
        <w:tc>
          <w:tcPr>
            <w:tcW w:w="1583" w:type="dxa"/>
          </w:tcPr>
          <w:p>
            <w:pPr>
              <w:pStyle w:val="Cell"/>
            </w:pPr>
            <w:r>
              <w:t xml:space="preserve">−0.371</w:t>
            </w:r>
          </w:p>
        </w:tc>
        <w:tc>
          <w:tcPr>
            <w:tcW w:w="1552" w:type="dxa"/>
          </w:tcPr>
          <w:p>
            <w:pPr>
              <w:pStyle w:val="Cell"/>
            </w:pPr>
            <w:r>
              <w:t xml:space="preserve">0.014</w:t>
            </w:r>
          </w:p>
        </w:tc>
        <w:tc>
          <w:tcPr>
            <w:tcW w:w="1583" w:type="dxa"/>
          </w:tcPr>
          <w:p>
            <w:pPr>
              <w:pStyle w:val="Cell"/>
            </w:pPr>
            <w:r>
              <w:t xml:space="preserve">+0.385</w:t>
            </w:r>
          </w:p>
        </w:tc>
        <w:tc>
          <w:tcPr>
            <w:tcW w:w="2741" w:type="dxa"/>
          </w:tcPr>
          <w:p>
            <w:pPr>
              <w:pStyle w:val="Cell"/>
            </w:pPr>
            <w:r>
              <w:t xml:space="preserve">Attenuated</w:t>
            </w:r>
          </w:p>
        </w:tc>
      </w:tr>
      <w:tr>
        <w:tc>
          <w:tcPr>
            <w:tcW w:w="1613" w:type="dxa"/>
          </w:tcPr>
          <w:p>
            <w:pPr>
              <w:pStyle w:val="Cell"/>
            </w:pPr>
            <w:r>
              <w:t xml:space="preserve">polintr</w:t>
            </w:r>
          </w:p>
        </w:tc>
        <w:tc>
          <w:tcPr>
            <w:tcW w:w="1583" w:type="dxa"/>
          </w:tcPr>
          <w:p>
            <w:pPr>
              <w:pStyle w:val="Cell"/>
            </w:pPr>
            <w:r>
              <w:t xml:space="preserve">−0.265</w:t>
            </w:r>
          </w:p>
        </w:tc>
        <w:tc>
          <w:tcPr>
            <w:tcW w:w="1552" w:type="dxa"/>
          </w:tcPr>
          <w:p>
            <w:pPr>
              <w:pStyle w:val="Cell"/>
            </w:pPr>
            <w:r>
              <w:t xml:space="preserve">−0.092</w:t>
            </w:r>
          </w:p>
        </w:tc>
        <w:tc>
          <w:tcPr>
            <w:tcW w:w="1583" w:type="dxa"/>
          </w:tcPr>
          <w:p>
            <w:pPr>
              <w:pStyle w:val="Cell"/>
            </w:pPr>
            <w:r>
              <w:t xml:space="preserve">+0.173</w:t>
            </w:r>
          </w:p>
        </w:tc>
        <w:tc>
          <w:tcPr>
            <w:tcW w:w="2741"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w:t>
      </w:r>
      <w:r>
        <w:rPr>
          <w:i/>
        </w:rPr>
        <w:t>r</w:t>
      </w:r>
      <w:r>
        <w:rPr>
          <w:i/>
          <w:vertAlign w:val="subscript"/>
        </w:rPr>
        <w:t>ind</w:t>
      </w:r>
      <w:r>
        <w:t xml:space="preserve">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w:t>
      </w:r>
      <w:r>
        <w:rPr>
          <w:i/>
        </w:rPr>
        <w:t>r</w:t>
      </w:r>
      <w:r>
        <w:rPr>
          <w:i/>
          <w:vertAlign w:val="subscript"/>
        </w:rPr>
        <w:t>ind</w:t>
      </w:r>
      <w:r>
        <w:t xml:space="preserve">. Because pooling respondents combines within-country correspondence with between-country covariance, </w:t>
      </w:r>
      <w:r>
        <w:rPr>
          <w:i/>
        </w:rPr>
        <w:t>r</w:t>
      </w:r>
      <w:r>
        <w:rPr>
          <w:i/>
          <w:vertAlign w:val="subscript"/>
        </w:rPr>
        <w:t>ind</w:t>
      </w:r>
      <w:r>
        <w:t xml:space="preserve">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forward-worded items and squares reverse-worded, as in Figure 2(b), which shows the same series without labels.</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under Qwen 1P.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OLS fits;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Figure 6(b) and Table A3 break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16841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760720" cy="6168410"/>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Figure A4 reports the country-label contrast item by item, the per-item form of the block effect in Figure 3.</w:t>
      </w:r>
    </w:p>
    <w:p>
      <w:pPr>
        <w:pStyle w:val="Fig"/>
      </w:pPr>
      <w:r>
        <w:drawing>
          <wp:inline distT="0" distB="0" distL="0" distR="0">
            <wp:extent cx="5628146" cy="676656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628146" cy="6766560"/>
                    </a:xfrm>
                    <a:prstGeom prst="rect">
                      <a:avLst/>
                    </a:prstGeom>
                  </pic:spPr>
                </pic:pic>
              </a:graphicData>
            </a:graphic>
          </wp:inline>
        </w:drawing>
      </w:r>
    </w:p>
    <w:p>
      <w:pPr>
        <w:pStyle w:val="Caption"/>
      </w:pPr>
      <w:r>
        <w:t xml:space="preserve">Figure A4.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3 summarizes as one bar. Items are ranked within wording direction. The shaded band is run-to-run noise.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007"/>
        <w:gridCol w:w="1112"/>
        <w:gridCol w:w="1112"/>
        <w:gridCol w:w="1153"/>
        <w:gridCol w:w="906"/>
        <w:gridCol w:w="889"/>
        <w:gridCol w:w="893"/>
      </w:tblGrid>
      <w:tr>
        <w:tc>
          <w:tcPr>
            <w:tcW w:w="3007" w:type="dxa"/>
            <w:tcBorders>
              <w:bottom w:val="single" w:sz="8" w:space="0" w:color="000000"/>
            </w:tcBorders>
          </w:tcPr>
          <w:p>
            <w:pPr>
              <w:pStyle w:val="Cell"/>
            </w:pPr>
            <w:r>
              <w:rPr>
                <w:b/>
              </w:rPr>
              <w:t xml:space="preserve">Comparison</w:t>
            </w:r>
          </w:p>
        </w:tc>
        <w:tc>
          <w:tcPr>
            <w:tcW w:w="1112" w:type="dxa"/>
            <w:tcBorders>
              <w:bottom w:val="single" w:sz="8" w:space="0" w:color="000000"/>
            </w:tcBorders>
          </w:tcPr>
          <w:p>
            <w:pPr>
              <w:pStyle w:val="Cell"/>
            </w:pPr>
            <w:r>
              <w:rPr>
                <w:b/>
              </w:rPr>
              <w:t xml:space="preserve">rwc (A)</w:t>
            </w:r>
          </w:p>
        </w:tc>
        <w:tc>
          <w:tcPr>
            <w:tcW w:w="1112" w:type="dxa"/>
            <w:tcBorders>
              <w:bottom w:val="single" w:sz="8" w:space="0" w:color="000000"/>
            </w:tcBorders>
          </w:tcPr>
          <w:p>
            <w:pPr>
              <w:pStyle w:val="Cell"/>
            </w:pPr>
            <w:r>
              <w:rPr>
                <w:b/>
              </w:rPr>
              <w:t xml:space="preserve">rwc (B)</w:t>
            </w:r>
          </w:p>
        </w:tc>
        <w:tc>
          <w:tcPr>
            <w:tcW w:w="1153" w:type="dxa"/>
            <w:tcBorders>
              <w:bottom w:val="single" w:sz="8" w:space="0" w:color="000000"/>
            </w:tcBorders>
          </w:tcPr>
          <w:p>
            <w:pPr>
              <w:pStyle w:val="Cell"/>
            </w:pPr>
            <w:r>
              <w:rPr>
                <w:b/>
              </w:rPr>
              <w:t xml:space="preserve">Diff</w:t>
            </w:r>
          </w:p>
        </w:tc>
        <w:tc>
          <w:tcPr>
            <w:tcW w:w="906" w:type="dxa"/>
            <w:tcBorders>
              <w:bottom w:val="single" w:sz="8" w:space="0" w:color="000000"/>
            </w:tcBorders>
          </w:tcPr>
          <w:p>
            <w:pPr>
              <w:pStyle w:val="Cell"/>
            </w:pPr>
            <w:r>
              <w:rPr>
                <w:b/>
              </w:rPr>
              <w:t xml:space="preserve">SE</w:t>
            </w:r>
          </w:p>
        </w:tc>
        <w:tc>
          <w:tcPr>
            <w:tcW w:w="889" w:type="dxa"/>
            <w:tcBorders>
              <w:bottom w:val="single" w:sz="8" w:space="0" w:color="000000"/>
            </w:tcBorders>
          </w:tcPr>
          <w:p>
            <w:pPr>
              <w:pStyle w:val="Cell"/>
            </w:pPr>
            <w:r>
              <w:rPr>
                <w:b/>
              </w:rPr>
              <w:t xml:space="preserve">t</w:t>
            </w:r>
          </w:p>
        </w:tc>
        <w:tc>
          <w:tcPr>
            <w:tcW w:w="893" w:type="dxa"/>
            <w:tcBorders>
              <w:bottom w:val="single" w:sz="8" w:space="0" w:color="000000"/>
            </w:tcBorders>
          </w:tcPr>
          <w:p>
            <w:pPr>
              <w:pStyle w:val="Cell"/>
            </w:pPr>
            <w:r>
              <w:rPr>
                <w:b/>
              </w:rPr>
              <w:t xml:space="preserve">p</w:t>
            </w:r>
          </w:p>
        </w:tc>
      </w:tr>
      <w:tr>
        <w:tc>
          <w:tcPr>
            <w:tcW w:w="3007" w:type="dxa"/>
          </w:tcPr>
          <w:p>
            <w:pPr>
              <w:pStyle w:val="Cell"/>
            </w:pPr>
            <w:r>
              <w:t xml:space="preserve">Qwen: 1P vs 3P</w:t>
            </w:r>
          </w:p>
        </w:tc>
        <w:tc>
          <w:tcPr>
            <w:tcW w:w="1112" w:type="dxa"/>
          </w:tcPr>
          <w:p>
            <w:pPr>
              <w:pStyle w:val="Cell"/>
            </w:pPr>
            <w:r>
              <w:t xml:space="preserve">0.027</w:t>
            </w:r>
          </w:p>
        </w:tc>
        <w:tc>
          <w:tcPr>
            <w:tcW w:w="1112" w:type="dxa"/>
          </w:tcPr>
          <w:p>
            <w:pPr>
              <w:pStyle w:val="Cell"/>
            </w:pPr>
            <w:r>
              <w:t xml:space="preserve">0.029</w:t>
            </w:r>
          </w:p>
        </w:tc>
        <w:tc>
          <w:tcPr>
            <w:tcW w:w="1153" w:type="dxa"/>
          </w:tcPr>
          <w:p>
            <w:pPr>
              <w:pStyle w:val="Cell"/>
            </w:pPr>
            <w:r>
              <w:t xml:space="preserve">-0.002</w:t>
            </w:r>
          </w:p>
        </w:tc>
        <w:tc>
          <w:tcPr>
            <w:tcW w:w="906" w:type="dxa"/>
          </w:tcPr>
          <w:p>
            <w:pPr>
              <w:pStyle w:val="Cell"/>
            </w:pPr>
            <w:r>
              <w:t xml:space="preserve">0.006</w:t>
            </w:r>
          </w:p>
        </w:tc>
        <w:tc>
          <w:tcPr>
            <w:tcW w:w="889" w:type="dxa"/>
          </w:tcPr>
          <w:p>
            <w:pPr>
              <w:pStyle w:val="Cell"/>
            </w:pPr>
            <w:r>
              <w:t xml:space="preserve">-0.28</w:t>
            </w:r>
          </w:p>
        </w:tc>
        <w:tc>
          <w:tcPr>
            <w:tcW w:w="893" w:type="dxa"/>
          </w:tcPr>
          <w:p>
            <w:pPr>
              <w:pStyle w:val="Cell"/>
            </w:pPr>
            <w:r>
              <w:t xml:space="preserve">0.785</w:t>
            </w:r>
          </w:p>
        </w:tc>
      </w:tr>
      <w:tr>
        <w:tc>
          <w:tcPr>
            <w:tcW w:w="3007" w:type="dxa"/>
          </w:tcPr>
          <w:p>
            <w:pPr>
              <w:pStyle w:val="Cell"/>
            </w:pPr>
            <w:r>
              <w:t xml:space="preserve">Llama: 1P vs 3P</w:t>
            </w:r>
          </w:p>
        </w:tc>
        <w:tc>
          <w:tcPr>
            <w:tcW w:w="1112" w:type="dxa"/>
          </w:tcPr>
          <w:p>
            <w:pPr>
              <w:pStyle w:val="Cell"/>
            </w:pPr>
            <w:r>
              <w:t xml:space="preserve">0.009</w:t>
            </w:r>
          </w:p>
        </w:tc>
        <w:tc>
          <w:tcPr>
            <w:tcW w:w="1112" w:type="dxa"/>
          </w:tcPr>
          <w:p>
            <w:pPr>
              <w:pStyle w:val="Cell"/>
            </w:pPr>
            <w:r>
              <w:t xml:space="preserve">0.006</w:t>
            </w:r>
          </w:p>
        </w:tc>
        <w:tc>
          <w:tcPr>
            <w:tcW w:w="1153" w:type="dxa"/>
          </w:tcPr>
          <w:p>
            <w:pPr>
              <w:pStyle w:val="Cell"/>
            </w:pPr>
            <w:r>
              <w:t xml:space="preserve">+0.004</w:t>
            </w:r>
          </w:p>
        </w:tc>
        <w:tc>
          <w:tcPr>
            <w:tcW w:w="906" w:type="dxa"/>
          </w:tcPr>
          <w:p>
            <w:pPr>
              <w:pStyle w:val="Cell"/>
            </w:pPr>
            <w:r>
              <w:t xml:space="preserve">0.004</w:t>
            </w:r>
          </w:p>
        </w:tc>
        <w:tc>
          <w:tcPr>
            <w:tcW w:w="889" w:type="dxa"/>
          </w:tcPr>
          <w:p>
            <w:pPr>
              <w:pStyle w:val="Cell"/>
            </w:pPr>
            <w:r>
              <w:t xml:space="preserve">0.99</w:t>
            </w:r>
          </w:p>
        </w:tc>
        <w:tc>
          <w:tcPr>
            <w:tcW w:w="893" w:type="dxa"/>
          </w:tcPr>
          <w:p>
            <w:pPr>
              <w:pStyle w:val="Cell"/>
            </w:pPr>
            <w:r>
              <w:t xml:space="preserve">0.326</w:t>
            </w:r>
          </w:p>
        </w:tc>
      </w:tr>
      <w:tr>
        <w:tc>
          <w:tcPr>
            <w:tcW w:w="3007" w:type="dxa"/>
          </w:tcPr>
          <w:p>
            <w:pPr>
              <w:pStyle w:val="Cell"/>
            </w:pPr>
            <w:r>
              <w:t xml:space="preserve">1P: Qwen vs Llama</w:t>
            </w:r>
          </w:p>
        </w:tc>
        <w:tc>
          <w:tcPr>
            <w:tcW w:w="1112" w:type="dxa"/>
          </w:tcPr>
          <w:p>
            <w:pPr>
              <w:pStyle w:val="Cell"/>
            </w:pPr>
            <w:r>
              <w:t xml:space="preserve">0.027</w:t>
            </w:r>
          </w:p>
        </w:tc>
        <w:tc>
          <w:tcPr>
            <w:tcW w:w="1112" w:type="dxa"/>
          </w:tcPr>
          <w:p>
            <w:pPr>
              <w:pStyle w:val="Cell"/>
            </w:pPr>
            <w:r>
              <w:t xml:space="preserve">0.009</w:t>
            </w:r>
          </w:p>
        </w:tc>
        <w:tc>
          <w:tcPr>
            <w:tcW w:w="1153" w:type="dxa"/>
          </w:tcPr>
          <w:p>
            <w:pPr>
              <w:pStyle w:val="Cell"/>
            </w:pPr>
            <w:r>
              <w:t xml:space="preserve">+0.018</w:t>
            </w:r>
          </w:p>
        </w:tc>
        <w:tc>
          <w:tcPr>
            <w:tcW w:w="906" w:type="dxa"/>
          </w:tcPr>
          <w:p>
            <w:pPr>
              <w:pStyle w:val="Cell"/>
            </w:pPr>
            <w:r>
              <w:t xml:space="preserve">0.006</w:t>
            </w:r>
          </w:p>
        </w:tc>
        <w:tc>
          <w:tcPr>
            <w:tcW w:w="889" w:type="dxa"/>
          </w:tcPr>
          <w:p>
            <w:pPr>
              <w:pStyle w:val="Cell"/>
            </w:pPr>
            <w:r>
              <w:t xml:space="preserve">2.81</w:t>
            </w:r>
          </w:p>
        </w:tc>
        <w:tc>
          <w:tcPr>
            <w:tcW w:w="893" w:type="dxa"/>
          </w:tcPr>
          <w:p>
            <w:pPr>
              <w:pStyle w:val="Cell"/>
            </w:pPr>
            <w:r>
              <w:t xml:space="preserve">0.007</w:t>
            </w:r>
          </w:p>
        </w:tc>
      </w:tr>
      <w:tr>
        <w:tc>
          <w:tcPr>
            <w:tcW w:w="3007" w:type="dxa"/>
          </w:tcPr>
          <w:p>
            <w:pPr>
              <w:pStyle w:val="Cell"/>
            </w:pPr>
            <w:r>
              <w:t xml:space="preserve">3P: Qwen vs Llama</w:t>
            </w:r>
          </w:p>
        </w:tc>
        <w:tc>
          <w:tcPr>
            <w:tcW w:w="1112" w:type="dxa"/>
          </w:tcPr>
          <w:p>
            <w:pPr>
              <w:pStyle w:val="Cell"/>
            </w:pPr>
            <w:r>
              <w:t xml:space="preserve">0.029</w:t>
            </w:r>
          </w:p>
        </w:tc>
        <w:tc>
          <w:tcPr>
            <w:tcW w:w="1112" w:type="dxa"/>
          </w:tcPr>
          <w:p>
            <w:pPr>
              <w:pStyle w:val="Cell"/>
            </w:pPr>
            <w:r>
              <w:t xml:space="preserve">0.006</w:t>
            </w:r>
          </w:p>
        </w:tc>
        <w:tc>
          <w:tcPr>
            <w:tcW w:w="1153" w:type="dxa"/>
          </w:tcPr>
          <w:p>
            <w:pPr>
              <w:pStyle w:val="Cell"/>
            </w:pPr>
            <w:r>
              <w:t xml:space="preserve">+0.023</w:t>
            </w:r>
          </w:p>
        </w:tc>
        <w:tc>
          <w:tcPr>
            <w:tcW w:w="906" w:type="dxa"/>
          </w:tcPr>
          <w:p>
            <w:pPr>
              <w:pStyle w:val="Cell"/>
            </w:pPr>
            <w:r>
              <w:t xml:space="preserve">0.010</w:t>
            </w:r>
          </w:p>
        </w:tc>
        <w:tc>
          <w:tcPr>
            <w:tcW w:w="889" w:type="dxa"/>
          </w:tcPr>
          <w:p>
            <w:pPr>
              <w:pStyle w:val="Cell"/>
            </w:pPr>
            <w:r>
              <w:t xml:space="preserve">2.28</w:t>
            </w:r>
          </w:p>
        </w:tc>
        <w:tc>
          <w:tcPr>
            <w:tcW w:w="893" w:type="dxa"/>
          </w:tcPr>
          <w:p>
            <w:pPr>
              <w:pStyle w:val="Cell"/>
            </w:pPr>
            <w:r>
              <w:t xml:space="preserve">0.028</w:t>
            </w:r>
          </w:p>
        </w:tc>
      </w:tr>
    </w:tbl>
    <w:p>
      <w:pPr>
        <w:pStyle w:val="H3"/>
      </w:pPr>
      <w:r>
        <w:t xml:space="preserve">Aggregate robustness checks</w:t>
      </w:r>
    </w:p>
    <w:p>
      <w:pPr>
        <w:pStyle w:val="Body"/>
      </w:pPr>
      <w:r>
        <w:t xml:space="preserve">Table A5 lists all sixteen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two%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fifteen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headline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fifteen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3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r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(r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Table A5 reports every robustness check with the quantity it moves. Two change something and are discussed in Section 4.4;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7"/>
        <w:gridCol w:w="1532"/>
        <w:gridCol w:w="3644"/>
        <w:gridCol w:w="2549"/>
      </w:tblGrid>
      <w:tr>
        <w:tc>
          <w:tcPr>
            <w:tcW w:w="1347" w:type="dxa"/>
            <w:tcBorders>
              <w:bottom w:val="single" w:sz="8" w:space="0" w:color="000000"/>
            </w:tcBorders>
          </w:tcPr>
          <w:p>
            <w:pPr>
              <w:pStyle w:val="Cell"/>
            </w:pPr>
            <w:r>
              <w:rPr>
                <w:b/>
              </w:rPr>
              <w:t xml:space="preserve">Check</w:t>
            </w:r>
          </w:p>
        </w:tc>
        <w:tc>
          <w:tcPr>
            <w:tcW w:w="1532" w:type="dxa"/>
            <w:tcBorders>
              <w:bottom w:val="single" w:sz="8" w:space="0" w:color="000000"/>
            </w:tcBorders>
          </w:tcPr>
          <w:p>
            <w:pPr>
              <w:pStyle w:val="Cell"/>
            </w:pPr>
            <w:r>
              <w:rPr>
                <w:b/>
              </w:rPr>
              <w:t xml:space="preserve">What it varies</w:t>
            </w:r>
          </w:p>
        </w:tc>
        <w:tc>
          <w:tcPr>
            <w:tcW w:w="3644" w:type="dxa"/>
            <w:tcBorders>
              <w:bottom w:val="single" w:sz="8" w:space="0" w:color="000000"/>
            </w:tcBorders>
          </w:tcPr>
          <w:p>
            <w:pPr>
              <w:pStyle w:val="Cell"/>
            </w:pPr>
            <w:r>
              <w:rPr>
                <w:b/>
              </w:rPr>
              <w:t xml:space="preserve">Result</w:t>
            </w:r>
          </w:p>
        </w:tc>
        <w:tc>
          <w:tcPr>
            <w:tcW w:w="2549" w:type="dxa"/>
            <w:tcBorders>
              <w:bottom w:val="single" w:sz="8" w:space="0" w:color="000000"/>
            </w:tcBorders>
          </w:tcPr>
          <w:p>
            <w:pPr>
              <w:pStyle w:val="Cell"/>
            </w:pPr>
            <w:r>
              <w:rPr>
                <w:b/>
              </w:rPr>
              <w:t xml:space="preserve">Any conclusion change?</w:t>
            </w:r>
          </w:p>
        </w:tc>
      </w:tr>
      <w:tr>
        <w:tc>
          <w:tcPr>
            <w:tcW w:w="1347" w:type="dxa"/>
          </w:tcPr>
          <w:p>
            <w:pPr>
              <w:pStyle w:val="Cell"/>
            </w:pPr>
            <w:r>
              <w:t xml:space="preserve">Design weighting of the human benchmark</w:t>
            </w:r>
          </w:p>
        </w:tc>
        <w:tc>
          <w:tcPr>
            <w:tcW w:w="1532" w:type="dxa"/>
          </w:tcPr>
          <w:p>
            <w:pPr>
              <w:pStyle w:val="Cell"/>
            </w:pPr>
            <w:r>
              <w:t xml:space="preserve">Human country means computed unweighted instead of with pspwght</w:t>
            </w:r>
          </w:p>
        </w:tc>
        <w:tc>
          <w:tcPr>
            <w:tcW w:w="3644" w:type="dxa"/>
          </w:tcPr>
          <w:p>
            <w:pPr>
              <w:pStyle w:val="Cell"/>
            </w:pPr>
            <w:r>
              <w:t xml:space="preserve">The two coefficient vectors correlate at 0.9987; the largest item-level change is 0.103 (health)</w:t>
            </w:r>
          </w:p>
        </w:tc>
        <w:tc>
          <w:tcPr>
            <w:tcW w:w="2549" w:type="dxa"/>
          </w:tcPr>
          <w:p>
            <w:pPr>
              <w:pStyle w:val="Cell"/>
            </w:pPr>
            <w:r>
              <w:t xml:space="preserve">No. The median and the direction decomposition are unaffected.</w:t>
            </w:r>
          </w:p>
        </w:tc>
      </w:tr>
      <w:tr>
        <w:tc>
          <w:tcPr>
            <w:tcW w:w="1347" w:type="dxa"/>
          </w:tcPr>
          <w:p>
            <w:pPr>
              <w:pStyle w:val="Cell"/>
            </w:pPr>
            <w:r>
              <w:t xml:space="preserve">Direction classification of the 42 items</w:t>
            </w:r>
          </w:p>
        </w:tc>
        <w:tc>
          <w:tcPr>
            <w:tcW w:w="1532" w:type="dxa"/>
          </w:tcPr>
          <w:p>
            <w:pPr>
              <w:pStyle w:val="Cell"/>
            </w:pPr>
            <w:r>
              <w:t xml:space="preserve">The frozen classification against the four disputed codings</w:t>
            </w:r>
          </w:p>
        </w:tc>
        <w:tc>
          <w:tcPr>
            <w:tcW w:w="3644" w:type="dxa"/>
          </w:tcPr>
          <w:p>
            <w:pPr>
              <w:pStyle w:val="Cell"/>
            </w:pPr>
            <w:r>
              <w:t xml:space="preserve">R² = 0.6576 on all 42 items, 0.6531 excluding vote, 0.7455 further excluding the two screened items</w:t>
            </w:r>
          </w:p>
        </w:tc>
        <w:tc>
          <w:tcPr>
            <w:tcW w:w="2549" w:type="dxa"/>
          </w:tcPr>
          <w:p>
            <w:pPr>
              <w:pStyle w:val="Cell"/>
            </w:pPr>
            <w:r>
              <w:t xml:space="preserve">No. The effect strengthens as the least interpretable items are removed.</w:t>
            </w:r>
          </w:p>
        </w:tc>
      </w:tr>
      <w:tr>
        <w:tc>
          <w:tcPr>
            <w:tcW w:w="1347" w:type="dxa"/>
          </w:tcPr>
          <w:p>
            <w:pPr>
              <w:pStyle w:val="Cell"/>
            </w:pPr>
            <w:r>
              <w:t xml:space="preserve">Items whose silicon dispersion is near zero</w:t>
            </w:r>
          </w:p>
        </w:tc>
        <w:tc>
          <w:tcPr>
            <w:tcW w:w="1532" w:type="dxa"/>
          </w:tcPr>
          <w:p>
            <w:pPr>
              <w:pStyle w:val="Cell"/>
            </w:pPr>
            <w:r>
              <w:t xml:space="preserve">A reliability screen on the silicon side</w:t>
            </w:r>
          </w:p>
        </w:tc>
        <w:tc>
          <w:tcPr>
            <w:tcW w:w="3644" w:type="dxa"/>
          </w:tcPr>
          <w:p>
            <w:pPr>
              <w:pStyle w:val="Cell"/>
            </w:pPr>
            <w:r>
              <w:t xml:space="preserve">Two items fall below it: hmsfmlsh (reliability 0.25) and rlgatnd (0.44); inprdsc (0.615) is retained</w:t>
            </w:r>
          </w:p>
        </w:tc>
        <w:tc>
          <w:tcPr>
            <w:tcW w:w="2549" w:type="dxa"/>
          </w:tcPr>
          <w:p>
            <w:pPr>
              <w:pStyle w:val="Cell"/>
            </w:pPr>
            <w:r>
              <w:t xml:space="preserve">No. Both are pre-declared uninterpretable and the primary anchored specification excludes them.</w:t>
            </w:r>
          </w:p>
        </w:tc>
      </w:tr>
      <w:tr>
        <w:tc>
          <w:tcPr>
            <w:tcW w:w="1347" w:type="dxa"/>
          </w:tcPr>
          <w:p>
            <w:pPr>
              <w:pStyle w:val="Cell"/>
            </w:pPr>
            <w:r>
              <w:t xml:space="preserve">Item set for the anchoring experiment</w:t>
            </w:r>
          </w:p>
        </w:tc>
        <w:tc>
          <w:tcPr>
            <w:tcW w:w="1532" w:type="dxa"/>
          </w:tcPr>
          <w:p>
            <w:pPr>
              <w:pStyle w:val="Cell"/>
            </w:pPr>
            <w:r>
              <w:t xml:space="preserve">Three pre-specified reverse-item sets</w:t>
            </w:r>
          </w:p>
        </w:tc>
        <w:tc>
          <w:tcPr>
            <w:tcW w:w="3644" w:type="dxa"/>
          </w:tcPr>
          <w:p>
            <w:pPr>
              <w:pStyle w:val="Cell"/>
            </w:pPr>
            <w:r>
              <w:t xml:space="preserve">All 12 in batch: +0.4912 [+0.1515, +0.8809], 11 of 12 up; primary 10: +0.4230 [+0.1259, +0.7928], 10 of 10 up; strictest 8: +0.1636 [+0.0507, +0.2671], 8 of 8 up</w:t>
            </w:r>
          </w:p>
        </w:tc>
        <w:tc>
          <w:tcPr>
            <w:tcW w:w="2549" w:type="dxa"/>
          </w:tcPr>
          <w:p>
            <w:pPr>
              <w:pStyle w:val="Cell"/>
            </w:pPr>
            <w:r>
              <w:t xml:space="preserve">No for the sign and the interval. Yes for the gap verdict: eliminated on the primary set, narrowed with a residual on the strictest.</w:t>
            </w:r>
          </w:p>
        </w:tc>
      </w:tr>
      <w:tr>
        <w:tc>
          <w:tcPr>
            <w:tcW w:w="1347" w:type="dxa"/>
          </w:tcPr>
          <w:p>
            <w:pPr>
              <w:pStyle w:val="Cell"/>
            </w:pPr>
            <w:r>
              <w:t xml:space="preserve">Choice of forward control items</w:t>
            </w:r>
          </w:p>
        </w:tc>
        <w:tc>
          <w:tcPr>
            <w:tcW w:w="1532" w:type="dxa"/>
          </w:tcPr>
          <w:p>
            <w:pPr>
              <w:pStyle w:val="Cell"/>
            </w:pPr>
            <w:r>
              <w:t xml:space="preserve">Ten leave-one-out control sets</w:t>
            </w:r>
          </w:p>
        </w:tc>
        <w:tc>
          <w:tcPr>
            <w:tcW w:w="3644" w:type="dxa"/>
          </w:tcPr>
          <w:p>
            <w:pPr>
              <w:pStyle w:val="Cell"/>
            </w:pPr>
            <w:r>
              <w:t xml:space="preserve">The triple difference stays in [0.403, 0.455] against the primary 0.423; the largest shift is 0.032</w:t>
            </w:r>
          </w:p>
        </w:tc>
        <w:tc>
          <w:tcPr>
            <w:tcW w:w="2549" w:type="dxa"/>
          </w:tcPr>
          <w:p>
            <w:pPr>
              <w:pStyle w:val="Cell"/>
            </w:pPr>
            <w:r>
              <w:t xml:space="preserve">No.</w:t>
            </w:r>
          </w:p>
        </w:tc>
      </w:tr>
      <w:tr>
        <w:tc>
          <w:tcPr>
            <w:tcW w:w="1347" w:type="dxa"/>
          </w:tcPr>
          <w:p>
            <w:pPr>
              <w:pStyle w:val="Cell"/>
            </w:pPr>
            <w:r>
              <w:t xml:space="preserve">Run-to-run stability of the generation</w:t>
            </w:r>
          </w:p>
        </w:tc>
        <w:tc>
          <w:tcPr>
            <w:tcW w:w="1532" w:type="dxa"/>
          </w:tcPr>
          <w:p>
            <w:pPr>
              <w:pStyle w:val="Cell"/>
            </w:pPr>
            <w:r>
              <w:t xml:space="preserve">Two identical unseeded runs</w:t>
            </w:r>
          </w:p>
        </w:tc>
        <w:tc>
          <w:tcPr>
            <w:tcW w:w="3644" w:type="dxa"/>
          </w:tcPr>
          <w:p>
            <w:pPr>
              <w:pStyle w:val="Cell"/>
            </w:pPr>
            <w:r>
              <w:t xml:space="preserve">Median absolute rbc difference 0.0602 per item, maximum 0.1854, no sign reversals</w:t>
            </w:r>
          </w:p>
        </w:tc>
        <w:tc>
          <w:tcPr>
            <w:tcW w:w="2549" w:type="dxa"/>
          </w:tcPr>
          <w:p>
            <w:pPr>
              <w:pStyle w:val="Cell"/>
            </w:pPr>
            <w:r>
              <w:t xml:space="preserve">No, and it closes a stated limitation: every contrast is read against the 0.060 band.</w:t>
            </w:r>
          </w:p>
        </w:tc>
      </w:tr>
      <w:tr>
        <w:tc>
          <w:tcPr>
            <w:tcW w:w="1347" w:type="dxa"/>
          </w:tcPr>
          <w:p>
            <w:pPr>
              <w:pStyle w:val="Cell"/>
            </w:pPr>
            <w:r>
              <w:t xml:space="preserve">Deflator for the macro-covariate comparator</w:t>
            </w:r>
          </w:p>
        </w:tc>
        <w:tc>
          <w:tcPr>
            <w:tcW w:w="1532" w:type="dxa"/>
          </w:tcPr>
          <w:p>
            <w:pPr>
              <w:pStyle w:val="Cell"/>
            </w:pPr>
            <w:r>
              <w:t xml:space="preserve">Market dollars against purchasing parity</w:t>
            </w:r>
          </w:p>
        </w:tc>
        <w:tc>
          <w:tcPr>
            <w:tcW w:w="3644" w:type="dxa"/>
          </w:tcPr>
          <w:p>
            <w:pPr>
              <w:pStyle w:val="Cell"/>
            </w:pPr>
            <w:r>
              <w:t xml:space="preserve">Median r 0.6177 under dollars, 0.6317 under parity; normalized error 0.0522 and 0.0527</w:t>
            </w:r>
          </w:p>
        </w:tc>
        <w:tc>
          <w:tcPr>
            <w:tcW w:w="2549" w:type="dxa"/>
          </w:tcPr>
          <w:p>
            <w:pPr>
              <w:pStyle w:val="Cell"/>
            </w:pPr>
            <w:r>
              <w:t xml:space="preserve">No for the comparison with the model. Yes for one claim, therefore not made: the covariate-alone ranking is deflator-dependent.</w:t>
            </w:r>
          </w:p>
        </w:tc>
      </w:tr>
      <w:tr>
        <w:tc>
          <w:tcPr>
            <w:tcW w:w="1347" w:type="dxa"/>
          </w:tcPr>
          <w:p>
            <w:pPr>
              <w:pStyle w:val="Cell"/>
            </w:pPr>
            <w:r>
              <w:t xml:space="preserve">Israel as a bloc of one in the comparator</w:t>
            </w:r>
          </w:p>
        </w:tc>
        <w:tc>
          <w:tcPr>
            <w:tcW w:w="1532" w:type="dxa"/>
          </w:tcPr>
          <w:p>
            <w:pPr>
              <w:pStyle w:val="Cell"/>
            </w:pPr>
            <w:r>
              <w:t xml:space="preserve">Israel handled as its own regional bloc</w:t>
            </w:r>
          </w:p>
        </w:tc>
        <w:tc>
          <w:tcPr>
            <w:tcW w:w="3644" w:type="dxa"/>
          </w:tcPr>
          <w:p>
            <w:pPr>
              <w:pStyle w:val="Cell"/>
            </w:pPr>
            <w:r>
              <w:t xml:space="preserve">The comparator's median r moves from 0.6177 to 0.6741; the gap to the model from 0.174 to 0.177</w:t>
            </w:r>
          </w:p>
        </w:tc>
        <w:tc>
          <w:tcPr>
            <w:tcW w:w="2549" w:type="dxa"/>
          </w:tcPr>
          <w:p>
            <w:pPr>
              <w:pStyle w:val="Cell"/>
            </w:pPr>
            <w:r>
              <w:t xml:space="preserve">No.</w:t>
            </w:r>
          </w:p>
        </w:tc>
      </w:tr>
      <w:tr>
        <w:tc>
          <w:tcPr>
            <w:tcW w:w="1347" w:type="dxa"/>
          </w:tcPr>
          <w:p>
            <w:pPr>
              <w:pStyle w:val="Cell"/>
            </w:pPr>
            <w:r>
              <w:t xml:space="preserve">Influential countries in the comparator</w:t>
            </w:r>
          </w:p>
        </w:tc>
        <w:tc>
          <w:tcPr>
            <w:tcW w:w="1532" w:type="dxa"/>
          </w:tcPr>
          <w:p>
            <w:pPr>
              <w:pStyle w:val="Cell"/>
            </w:pPr>
            <w:r>
              <w:t xml:space="preserve">Leave-one-out over the 30 countries</w:t>
            </w:r>
          </w:p>
        </w:tc>
        <w:tc>
          <w:tcPr>
            <w:tcW w:w="3644" w:type="dxa"/>
          </w:tcPr>
          <w:p>
            <w:pPr>
              <w:pStyle w:val="Cell"/>
            </w:pPr>
            <w:r>
              <w:t xml:space="preserve">Excluding Ireland moves the headline by 0.001; the high-leverage country is Ukraine (mean hat 0.495)</w:t>
            </w:r>
          </w:p>
        </w:tc>
        <w:tc>
          <w:tcPr>
            <w:tcW w:w="2549" w:type="dxa"/>
          </w:tcPr>
          <w:p>
            <w:pPr>
              <w:pStyle w:val="Cell"/>
            </w:pPr>
            <w:r>
              <w:t xml:space="preserve">No.</w:t>
            </w:r>
          </w:p>
        </w:tc>
      </w:tr>
      <w:tr>
        <w:tc>
          <w:tcPr>
            <w:tcW w:w="1347" w:type="dxa"/>
          </w:tcPr>
          <w:p>
            <w:pPr>
              <w:pStyle w:val="Cell"/>
            </w:pPr>
            <w:r>
              <w:t xml:space="preserve">Coverage in the Llama third-person arm</w:t>
            </w:r>
          </w:p>
        </w:tc>
        <w:tc>
          <w:tcPr>
            <w:tcW w:w="1532" w:type="dxa"/>
          </w:tcPr>
          <w:p>
            <w:pPr>
              <w:pStyle w:val="Cell"/>
            </w:pPr>
            <w:r>
              <w:t xml:space="preserve">Restricting to items above 80% coverage</w:t>
            </w:r>
          </w:p>
        </w:tc>
        <w:tc>
          <w:tcPr>
            <w:tcW w:w="3644" w:type="dxa"/>
          </w:tcPr>
          <w:p>
            <w:pPr>
              <w:pStyle w:val="Cell"/>
            </w:pPr>
            <w:r>
              <w:t xml:space="preserve">Median rbc falls from +0.1729 on all 42 items to −0.0009 on the 19 items above the threshold</w:t>
            </w:r>
          </w:p>
        </w:tc>
        <w:tc>
          <w:tcPr>
            <w:tcW w:w="2549" w:type="dxa"/>
          </w:tcPr>
          <w:p>
            <w:pPr>
              <w:pStyle w:val="Cell"/>
            </w:pPr>
            <w:r>
              <w:t xml:space="preserve">Yes. The arm cannot identify a framing effect; the framing null rests on Qwen alone.</w:t>
            </w:r>
          </w:p>
        </w:tc>
      </w:tr>
      <w:tr>
        <w:tc>
          <w:tcPr>
            <w:tcW w:w="1347" w:type="dxa"/>
          </w:tcPr>
          <w:p>
            <w:pPr>
              <w:pStyle w:val="Cell"/>
            </w:pPr>
            <w:r>
              <w:t xml:space="preserve">Aggregator for the dispersion ratios</w:t>
            </w:r>
          </w:p>
        </w:tc>
        <w:tc>
          <w:tcPr>
            <w:tcW w:w="1532" w:type="dxa"/>
          </w:tcPr>
          <w:p>
            <w:pPr>
              <w:pStyle w:val="Cell"/>
            </w:pPr>
            <w:r>
              <w:t xml:space="preserve">Mean of ratios, median, and ratio of means</w:t>
            </w:r>
          </w:p>
        </w:tc>
        <w:tc>
          <w:tcPr>
            <w:tcW w:w="3644" w:type="dxa"/>
          </w:tcPr>
          <w:p>
            <w:pPr>
              <w:pStyle w:val="Cell"/>
            </w:pPr>
            <w:r>
              <w:t xml:space="preserve">Within-country 0.6052, 0.5727, 0.5859; between-country 0.2821 median, 0.2952 mean</w:t>
            </w:r>
          </w:p>
        </w:tc>
        <w:tc>
          <w:tcPr>
            <w:tcW w:w="2549" w:type="dxa"/>
          </w:tcPr>
          <w:p>
            <w:pPr>
              <w:pStyle w:val="Cell"/>
            </w:pPr>
            <w:r>
              <w:t xml:space="preserve">No. All three within-country estimators fail the pre-declared 0.9–1.1 band.</w:t>
            </w:r>
          </w:p>
        </w:tc>
      </w:tr>
      <w:tr>
        <w:tc>
          <w:tcPr>
            <w:tcW w:w="1347" w:type="dxa"/>
          </w:tcPr>
          <w:p>
            <w:pPr>
              <w:pStyle w:val="Cell"/>
            </w:pPr>
            <w:r>
              <w:t xml:space="preserve">Estimator for the offset reduction</w:t>
            </w:r>
          </w:p>
        </w:tc>
        <w:tc>
          <w:tcPr>
            <w:tcW w:w="1532" w:type="dxa"/>
          </w:tcPr>
          <w:p>
            <w:pPr>
              <w:pStyle w:val="Cell"/>
            </w:pPr>
            <w:r>
              <w:t xml:space="preserve">Four defensible estimators</w:t>
            </w:r>
          </w:p>
        </w:tc>
        <w:tc>
          <w:tcPr>
            <w:tcW w:w="3644" w:type="dxa"/>
          </w:tcPr>
          <w:p>
            <w:pPr>
              <w:pStyle w:val="Cell"/>
            </w:pPr>
            <w:r>
              <w:t xml:space="preserve">Ratio of medians 64.2%, ratio of means 62.9%, median of per-item reductions 59.9%, mean of per-item reductions 53.7%</w:t>
            </w:r>
          </w:p>
        </w:tc>
        <w:tc>
          <w:tcPr>
            <w:tcW w:w="2549" w:type="dxa"/>
          </w:tcPr>
          <w:p>
            <w:pPr>
              <w:pStyle w:val="Cell"/>
            </w:pPr>
            <w:r>
              <w:t xml:space="preserve">Yes for the number quoted: 59.9%, the median of the per-item reductions, named as such.</w:t>
            </w:r>
          </w:p>
        </w:tc>
      </w:tr>
      <w:tr>
        <w:tc>
          <w:tcPr>
            <w:tcW w:w="1347" w:type="dxa"/>
          </w:tcPr>
          <w:p>
            <w:pPr>
              <w:pStyle w:val="Cell"/>
            </w:pPr>
            <w:r>
              <w:t xml:space="preserve">Specification for the cross-level agreement</w:t>
            </w:r>
          </w:p>
        </w:tc>
        <w:tc>
          <w:tcPr>
            <w:tcW w:w="1532" w:type="dxa"/>
          </w:tcPr>
          <w:p>
            <w:pPr>
              <w:pStyle w:val="Cell"/>
            </w:pPr>
            <w:r>
              <w:t xml:space="preserve">As coded, forward items only, sign-aligned</w:t>
            </w:r>
          </w:p>
        </w:tc>
        <w:tc>
          <w:tcPr>
            <w:tcW w:w="3644" w:type="dxa"/>
          </w:tcPr>
          <w:p>
            <w:pPr>
              <w:pStyle w:val="Cell"/>
            </w:pPr>
            <w:r>
              <w:t xml:space="preserve">Pearson 0.9368 as coded, 0.7745 forward-only, 0.8355 sign-aligned</w:t>
            </w:r>
          </w:p>
        </w:tc>
        <w:tc>
          <w:tcPr>
            <w:tcW w:w="2549" w:type="dxa"/>
          </w:tcPr>
          <w:p>
            <w:pPr>
              <w:pStyle w:val="Cell"/>
            </w:pPr>
            <w:r>
              <w:t xml:space="preserve">No for the existence of the agreement. Yes for its description: about a third of the raw magnitude is the shared direction failure.</w:t>
            </w:r>
          </w:p>
        </w:tc>
      </w:tr>
      <w:tr>
        <w:tc>
          <w:tcPr>
            <w:tcW w:w="1347" w:type="dxa"/>
          </w:tcPr>
          <w:p>
            <w:pPr>
              <w:pStyle w:val="Cell"/>
            </w:pPr>
            <w:r>
              <w:t xml:space="preserve">Frame for country-level quantities</w:t>
            </w:r>
          </w:p>
        </w:tc>
        <w:tc>
          <w:tcPr>
            <w:tcW w:w="1532" w:type="dxa"/>
          </w:tcPr>
          <w:p>
            <w:pPr>
              <w:pStyle w:val="Cell"/>
            </w:pPr>
            <w:r>
              <w:t xml:space="preserve">Full frame against the human–model intersection</w:t>
            </w:r>
          </w:p>
        </w:tc>
        <w:tc>
          <w:tcPr>
            <w:tcW w:w="3644" w:type="dxa"/>
          </w:tcPr>
          <w:p>
            <w:pPr>
              <w:pStyle w:val="Cell"/>
            </w:pPr>
            <w:r>
              <w:t xml:space="preserve">Median rbc moves from 0.4433 to 0.4425; single items move by up to 0.109 (health)</w:t>
            </w:r>
          </w:p>
        </w:tc>
        <w:tc>
          <w:tcPr>
            <w:tcW w:w="2549" w:type="dxa"/>
          </w:tcPr>
          <w:p>
            <w:pPr>
              <w:pStyle w:val="Cell"/>
            </w:pPr>
            <w:r>
              <w:t xml:space="preserve">No for the median. The frame is fixed in one place and stated.</w:t>
            </w:r>
          </w:p>
        </w:tc>
      </w:tr>
      <w:tr>
        <w:tc>
          <w:tcPr>
            <w:tcW w:w="1347" w:type="dxa"/>
          </w:tcPr>
          <w:p>
            <w:pPr>
              <w:pStyle w:val="Cell"/>
            </w:pPr>
            <w:r>
              <w:t xml:space="preserve">Stability across rounds</w:t>
            </w:r>
          </w:p>
        </w:tc>
        <w:tc>
          <w:tcPr>
            <w:tcW w:w="1532" w:type="dxa"/>
          </w:tcPr>
          <w:p>
            <w:pPr>
              <w:pStyle w:val="Cell"/>
            </w:pPr>
            <w:r>
              <w:t xml:space="preserve">The March round against the final round</w:t>
            </w:r>
          </w:p>
        </w:tc>
        <w:tc>
          <w:tcPr>
            <w:tcW w:w="3644" w:type="dxa"/>
          </w:tcPr>
          <w:p>
            <w:pPr>
              <w:pStyle w:val="Cell"/>
            </w:pPr>
            <w:r>
              <w:t xml:space="preserve">Median absolute item-level rbc change 0.0415, against a same-round replicate median of 0.060</w:t>
            </w:r>
          </w:p>
        </w:tc>
        <w:tc>
          <w:tcPr>
            <w:tcW w:w="2549" w:type="dxa"/>
          </w:tcPr>
          <w:p>
            <w:pPr>
              <w:pStyle w:val="Cell"/>
            </w:pPr>
            <w:r>
              <w:t xml:space="preserve">No.</w:t>
            </w:r>
          </w:p>
        </w:tc>
      </w:tr>
      <w:tr>
        <w:tc>
          <w:tcPr>
            <w:tcW w:w="1347" w:type="dxa"/>
          </w:tcPr>
          <w:p>
            <w:pPr>
              <w:pStyle w:val="Cell"/>
            </w:pPr>
            <w:r>
              <w:t xml:space="preserve">Human-side missingness rule</w:t>
            </w:r>
          </w:p>
        </w:tc>
        <w:tc>
          <w:tcPr>
            <w:tcW w:w="1532" w:type="dxa"/>
          </w:tcPr>
          <w:p>
            <w:pPr>
              <w:pStyle w:val="Cell"/>
            </w:pPr>
            <w:r>
              <w:t xml:space="preserve">Correcting the missing-code set for the coarse scales</w:t>
            </w:r>
          </w:p>
        </w:tc>
        <w:tc>
          <w:tcPr>
            <w:tcW w:w="3644" w:type="dxa"/>
          </w:tcPr>
          <w:p>
            <w:pPr>
              <w:pStyle w:val="Cell"/>
            </w:pPr>
            <w:r>
              <w:t xml:space="preserve">Median rbc 0.418 to 0.431; items above 0.70 from eight to nine; inverted items from twelve to eleven; within-country dispersion ratio 0.553 to 0.605</w:t>
            </w:r>
          </w:p>
        </w:tc>
        <w:tc>
          <w:tcPr>
            <w:tcW w:w="2549"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