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A 2 × 2 experiment traces the item-level failures to the response format: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 format decides whether the ordering comes out right or inverted. None of it amounts to individual-level recovery. Three things are new here. The first is a joint evaluation of item-level country rankings, within-country individual recovery, and the label’s incremental contribution on matched respondents. The second is the experimental identification of that prior and of the format that decides its direction. The third is a benchmark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the two levels have to be told apart before either can be used:</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 2 (prompt)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574792" cy="4858512"/>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4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a 2 × 2 arm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across 30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Holding identifiability at its maximum, recovery still spans 0.29 to 0.52, and the sparsest profile containing the country beats every richer one (Appendix, Country identifiability). The model treats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Table A3 breaks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4.</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16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Of the checks in Table A5,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