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highly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appears to use the country as a group-level prior and to largely ignore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relatively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joint evaluation of item-level country rankings, within-country individual recovery, and the label’s incremental contribution on matched respondents, the experimental identification of that prior and of the format that decides the direction it takes, and benchmarks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follows a 2 (model) × 2 (prompt) fully crossed design. Two major open-weight instruction-tuned models are tested: Qwen 2.5-7B-Instruct (Alibaba) and Llama 3.1-8B-Instruct (Meta). Both are run locally on a university high-performance computing cluster (NVIDIA A100) using vLLM for efficient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extends to the whole profile.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two margins. It is added alone to the sparse base plus the country label, and it is removed alone from the otherwise complete profile. These are the extreme positions a block can occupy in any order of additions, so the two margins bound its contribution under every ordering.</w:t>
      </w:r>
    </w:p>
    <w:p>
      <w:pPr>
        <w:pStyle w:val="Body"/>
      </w:pPr>
      <w:r>
        <w:t xml:space="preserve">Three probes settle readings the margins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per-item aggregate recovery is moderate but highly item-dependent. Country-profile and mean-error statistics also produce different country rankings, so no single aggregate measure captures performance.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has the highest item-level median correlation: against the pre-declared thresholds, 20 of 42 items exceed 0.5 and nine exceed 0.7. As the best-performing condition it serves as the reference for the focused analyses below.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arm is marked with a dagger because it loses 24% of its scheduled responses to a parse failure, which is why the chapter does not read it substantively (Section 4.4). It is drawn like the other three conditions, because it is one of them by design.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the worst-recovered country in the sample still scores 0.69,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574792" cy="4858512"/>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574792" cy="4858512"/>
                    </a:xfrm>
                    <a:prstGeom prst="rect">
                      <a:avLst/>
                    </a:prstGeom>
                  </pic:spPr>
                </pic:pic>
              </a:graphicData>
            </a:graphic>
          </wp:inline>
        </w:drawing>
      </w:r>
    </w:p>
    <w:p>
      <w:pPr>
        <w:pStyle w:val="Caption"/>
      </w:pPr>
      <w:r>
        <w:t xml:space="preserve">Figure 3.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3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versus 0.52).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model uses the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4 puts the conditions side by side.</w:t>
      </w:r>
    </w:p>
    <w:p>
      <w:pPr>
        <w:pStyle w:val="Fig"/>
      </w:pPr>
      <w:r>
        <w:drawing>
          <wp:inline distT="0" distB="0" distL="0" distR="0">
            <wp:extent cx="5279136" cy="294741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279136" cy="2947416"/>
                    </a:xfrm>
                    <a:prstGeom prst="rect">
                      <a:avLst/>
                    </a:prstGeom>
                  </pic:spPr>
                </pic:pic>
              </a:graphicData>
            </a:graphic>
          </wp:inline>
        </w:drawing>
      </w:r>
    </w:p>
    <w:p>
      <w:pPr>
        <w:pStyle w:val="Caption"/>
      </w:pPr>
      <w:r>
        <w:t xml:space="preserve">Figure 4.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reverse-coded shown separately as in Figure 3.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The inversions in Section 4.1 and the negative country-label effect above share one candidate explanation. The model may be reading the numeric scale in the wrong direction while holding correct country associations. That explanation is testable, and a 2 × 2 arm tests it on the 22-item batch (Figure 5).</w:t>
      </w:r>
    </w:p>
    <w:p>
      <w:pPr>
        <w:pStyle w:val="Body"/>
      </w:pPr>
      <w:r>
        <w:t xml:space="preserve">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w:t>
      </w:r>
    </w:p>
    <w:p>
      <w:pPr>
        <w:pStyle w:val="Body"/>
      </w:pPr>
      <w:r>
        <w:t xml:space="preserve">The scale manipulation of Section 4.2 also moves this level. Anchoring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At the country level, individual recovery remains uniformly weak.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with a standard deviation of 0.079. Of the 1,260 cells,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Individual-level recovery has no clear regional gradient and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is the largest incremental source of aggregate recovery, and richer profiles do not improve on it (Section 4.2). A model that found respondent detail uninformative would show flat margins. The margins are negative, so the detail is used, and used badly.</w:t>
      </w:r>
    </w:p>
    <w:p>
      <w:pPr>
        <w:pStyle w:val="Body"/>
      </w:pPr>
      <w:r>
        <w:t xml:space="preserve">The label does not work by making the country identifiable. If it did, recovery would track identifiability. Holding identifiability at its maximum, recovery still spans 0.29 to 0.52, and the sparsest profile containing the country beats every richer one (Appendix, Country identifiability). The model appears to treat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 (Section 4.2).</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pooled or profile recovery would certify a battery in which a substantial minority of items has the wrong sign.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 A validation therefore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and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crosses the label with the scale format, which turns the item inversions from an interpretation into a result. Recovery is reported item by item against a measured run-to-run floor, and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Finally,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which this design does only once.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6(b)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3.</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3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3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w:t>
      </w:r>
      <w:r>
        <w:rPr>
          <w:i/>
        </w:rPr>
        <w:t>r</w:t>
      </w:r>
      <w:r>
        <w:t xml:space="preserve">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7"/>
        <w:gridCol w:w="1532"/>
        <w:gridCol w:w="3644"/>
        <w:gridCol w:w="2549"/>
      </w:tblGrid>
      <w:tr>
        <w:tc>
          <w:tcPr>
            <w:tcW w:w="1347" w:type="dxa"/>
            <w:tcBorders>
              <w:bottom w:val="single" w:sz="8" w:space="0" w:color="000000"/>
            </w:tcBorders>
          </w:tcPr>
          <w:p>
            <w:pPr>
              <w:pStyle w:val="Cell"/>
            </w:pPr>
            <w:r>
              <w:rPr>
                <w:b/>
              </w:rPr>
              <w:t xml:space="preserve">Check</w:t>
            </w:r>
          </w:p>
        </w:tc>
        <w:tc>
          <w:tcPr>
            <w:tcW w:w="1532" w:type="dxa"/>
            <w:tcBorders>
              <w:bottom w:val="single" w:sz="8" w:space="0" w:color="000000"/>
            </w:tcBorders>
          </w:tcPr>
          <w:p>
            <w:pPr>
              <w:pStyle w:val="Cell"/>
            </w:pPr>
            <w:r>
              <w:rPr>
                <w:b/>
              </w:rPr>
              <w:t xml:space="preserve">What it varies</w:t>
            </w:r>
          </w:p>
        </w:tc>
        <w:tc>
          <w:tcPr>
            <w:tcW w:w="3644" w:type="dxa"/>
            <w:tcBorders>
              <w:bottom w:val="single" w:sz="8" w:space="0" w:color="000000"/>
            </w:tcBorders>
          </w:tcPr>
          <w:p>
            <w:pPr>
              <w:pStyle w:val="Cell"/>
            </w:pPr>
            <w:r>
              <w:rPr>
                <w:b/>
              </w:rPr>
              <w:t xml:space="preserve">Result</w:t>
            </w:r>
          </w:p>
        </w:tc>
        <w:tc>
          <w:tcPr>
            <w:tcW w:w="2549" w:type="dxa"/>
            <w:tcBorders>
              <w:bottom w:val="single" w:sz="8" w:space="0" w:color="000000"/>
            </w:tcBorders>
          </w:tcPr>
          <w:p>
            <w:pPr>
              <w:pStyle w:val="Cell"/>
            </w:pPr>
            <w:r>
              <w:rPr>
                <w:b/>
              </w:rPr>
              <w:t xml:space="preserve">Any conclusion change?</w:t>
            </w:r>
          </w:p>
        </w:tc>
      </w:tr>
      <w:tr>
        <w:tc>
          <w:tcPr>
            <w:tcW w:w="1347" w:type="dxa"/>
          </w:tcPr>
          <w:p>
            <w:pPr>
              <w:pStyle w:val="Cell"/>
            </w:pPr>
            <w:r>
              <w:t xml:space="preserve">Design weighting of the human benchmark</w:t>
            </w:r>
          </w:p>
        </w:tc>
        <w:tc>
          <w:tcPr>
            <w:tcW w:w="1532" w:type="dxa"/>
          </w:tcPr>
          <w:p>
            <w:pPr>
              <w:pStyle w:val="Cell"/>
            </w:pPr>
            <w:r>
              <w:t xml:space="preserve">Human country means computed unweighted instead of with pspwght</w:t>
            </w:r>
          </w:p>
        </w:tc>
        <w:tc>
          <w:tcPr>
            <w:tcW w:w="3644" w:type="dxa"/>
          </w:tcPr>
          <w:p>
            <w:pPr>
              <w:pStyle w:val="Cell"/>
            </w:pPr>
            <w:r>
              <w:t xml:space="preserve">The two coefficient vectors correlate at 0.9987; the largest item-level change is 0.103 (health)</w:t>
            </w:r>
          </w:p>
        </w:tc>
        <w:tc>
          <w:tcPr>
            <w:tcW w:w="2549" w:type="dxa"/>
          </w:tcPr>
          <w:p>
            <w:pPr>
              <w:pStyle w:val="Cell"/>
            </w:pPr>
            <w:r>
              <w:t xml:space="preserve">No. The median and the direction decomposition are unaffected.</w:t>
            </w:r>
          </w:p>
        </w:tc>
      </w:tr>
      <w:tr>
        <w:tc>
          <w:tcPr>
            <w:tcW w:w="1347" w:type="dxa"/>
          </w:tcPr>
          <w:p>
            <w:pPr>
              <w:pStyle w:val="Cell"/>
            </w:pPr>
            <w:r>
              <w:t xml:space="preserve">Direction classification of the 42 items</w:t>
            </w:r>
          </w:p>
        </w:tc>
        <w:tc>
          <w:tcPr>
            <w:tcW w:w="1532" w:type="dxa"/>
          </w:tcPr>
          <w:p>
            <w:pPr>
              <w:pStyle w:val="Cell"/>
            </w:pPr>
            <w:r>
              <w:t xml:space="preserve">The frozen classification against the four disputed codings</w:t>
            </w:r>
          </w:p>
        </w:tc>
        <w:tc>
          <w:tcPr>
            <w:tcW w:w="3644" w:type="dxa"/>
          </w:tcPr>
          <w:p>
            <w:pPr>
              <w:pStyle w:val="Cell"/>
            </w:pPr>
            <w:r>
              <w:t xml:space="preserve">R² = 0.6576 on all 42 items, 0.6531 excluding vote, 0.7455 further excluding the two screened items</w:t>
            </w:r>
          </w:p>
        </w:tc>
        <w:tc>
          <w:tcPr>
            <w:tcW w:w="2549" w:type="dxa"/>
          </w:tcPr>
          <w:p>
            <w:pPr>
              <w:pStyle w:val="Cell"/>
            </w:pPr>
            <w:r>
              <w:t xml:space="preserve">No. The effect strengthens as the least interpretable items are removed.</w:t>
            </w:r>
          </w:p>
        </w:tc>
      </w:tr>
      <w:tr>
        <w:tc>
          <w:tcPr>
            <w:tcW w:w="1347" w:type="dxa"/>
          </w:tcPr>
          <w:p>
            <w:pPr>
              <w:pStyle w:val="Cell"/>
            </w:pPr>
            <w:r>
              <w:t xml:space="preserve">Items whose silicon dispersion is near zero</w:t>
            </w:r>
          </w:p>
        </w:tc>
        <w:tc>
          <w:tcPr>
            <w:tcW w:w="1532" w:type="dxa"/>
          </w:tcPr>
          <w:p>
            <w:pPr>
              <w:pStyle w:val="Cell"/>
            </w:pPr>
            <w:r>
              <w:t xml:space="preserve">A reliability screen on the silicon side</w:t>
            </w:r>
          </w:p>
        </w:tc>
        <w:tc>
          <w:tcPr>
            <w:tcW w:w="3644" w:type="dxa"/>
          </w:tcPr>
          <w:p>
            <w:pPr>
              <w:pStyle w:val="Cell"/>
            </w:pPr>
            <w:r>
              <w:t xml:space="preserve">Two items fall below it: hmsfmlsh (reliability 0.25) and rlgatnd (0.44); inprdsc (0.615) is retained</w:t>
            </w:r>
          </w:p>
        </w:tc>
        <w:tc>
          <w:tcPr>
            <w:tcW w:w="2549" w:type="dxa"/>
          </w:tcPr>
          <w:p>
            <w:pPr>
              <w:pStyle w:val="Cell"/>
            </w:pPr>
            <w:r>
              <w:t xml:space="preserve">No. Both are pre-declared uninterpretable and the primary anchored specification excludes them.</w:t>
            </w:r>
          </w:p>
        </w:tc>
      </w:tr>
      <w:tr>
        <w:tc>
          <w:tcPr>
            <w:tcW w:w="1347" w:type="dxa"/>
          </w:tcPr>
          <w:p>
            <w:pPr>
              <w:pStyle w:val="Cell"/>
            </w:pPr>
            <w:r>
              <w:t xml:space="preserve">Item set for the anchoring experiment</w:t>
            </w:r>
          </w:p>
        </w:tc>
        <w:tc>
          <w:tcPr>
            <w:tcW w:w="1532" w:type="dxa"/>
          </w:tcPr>
          <w:p>
            <w:pPr>
              <w:pStyle w:val="Cell"/>
            </w:pPr>
            <w:r>
              <w:t xml:space="preserve">Three pre-specified reverse-item sets</w:t>
            </w:r>
          </w:p>
        </w:tc>
        <w:tc>
          <w:tcPr>
            <w:tcW w:w="3644" w:type="dxa"/>
          </w:tcPr>
          <w:p>
            <w:pPr>
              <w:pStyle w:val="Cell"/>
            </w:pPr>
            <w:r>
              <w:t xml:space="preserve">All 12 in batch: +0.4912 [+0.1515, +0.8809], 11 of 12 up; primary 10: +0.4230 [+0.1259, +0.7928], 10 of 10 up; strictest 8: +0.1636 [+0.0507, +0.2671], 8 of 8 up</w:t>
            </w:r>
          </w:p>
        </w:tc>
        <w:tc>
          <w:tcPr>
            <w:tcW w:w="2549" w:type="dxa"/>
          </w:tcPr>
          <w:p>
            <w:pPr>
              <w:pStyle w:val="Cell"/>
            </w:pPr>
            <w:r>
              <w:t xml:space="preserve">No for the sign and the interval. Yes for the gap verdict: eliminated on the primary set, narrowed with a residual on the strictest.</w:t>
            </w:r>
          </w:p>
        </w:tc>
      </w:tr>
      <w:tr>
        <w:tc>
          <w:tcPr>
            <w:tcW w:w="1347" w:type="dxa"/>
          </w:tcPr>
          <w:p>
            <w:pPr>
              <w:pStyle w:val="Cell"/>
            </w:pPr>
            <w:r>
              <w:t xml:space="preserve">Choice of forward control items</w:t>
            </w:r>
          </w:p>
        </w:tc>
        <w:tc>
          <w:tcPr>
            <w:tcW w:w="1532" w:type="dxa"/>
          </w:tcPr>
          <w:p>
            <w:pPr>
              <w:pStyle w:val="Cell"/>
            </w:pPr>
            <w:r>
              <w:t xml:space="preserve">Ten leave-one-out control sets</w:t>
            </w:r>
          </w:p>
        </w:tc>
        <w:tc>
          <w:tcPr>
            <w:tcW w:w="3644" w:type="dxa"/>
          </w:tcPr>
          <w:p>
            <w:pPr>
              <w:pStyle w:val="Cell"/>
            </w:pPr>
            <w:r>
              <w:t xml:space="preserve">The triple difference stays in [0.403, 0.455] against the primary 0.423; the largest shift is 0.032</w:t>
            </w:r>
          </w:p>
        </w:tc>
        <w:tc>
          <w:tcPr>
            <w:tcW w:w="2549" w:type="dxa"/>
          </w:tcPr>
          <w:p>
            <w:pPr>
              <w:pStyle w:val="Cell"/>
            </w:pPr>
            <w:r>
              <w:t xml:space="preserve">No.</w:t>
            </w:r>
          </w:p>
        </w:tc>
      </w:tr>
      <w:tr>
        <w:tc>
          <w:tcPr>
            <w:tcW w:w="1347" w:type="dxa"/>
          </w:tcPr>
          <w:p>
            <w:pPr>
              <w:pStyle w:val="Cell"/>
            </w:pPr>
            <w:r>
              <w:t xml:space="preserve">Run-to-run stability of the generation</w:t>
            </w:r>
          </w:p>
        </w:tc>
        <w:tc>
          <w:tcPr>
            <w:tcW w:w="1532" w:type="dxa"/>
          </w:tcPr>
          <w:p>
            <w:pPr>
              <w:pStyle w:val="Cell"/>
            </w:pPr>
            <w:r>
              <w:t xml:space="preserve">Two identical unseeded runs</w:t>
            </w:r>
          </w:p>
        </w:tc>
        <w:tc>
          <w:tcPr>
            <w:tcW w:w="3644" w:type="dxa"/>
          </w:tcPr>
          <w:p>
            <w:pPr>
              <w:pStyle w:val="Cell"/>
            </w:pPr>
            <w:r>
              <w:t xml:space="preserve">Median absolute rbc difference 0.0602 per item, maximum 0.1854, no sign reversals</w:t>
            </w:r>
          </w:p>
        </w:tc>
        <w:tc>
          <w:tcPr>
            <w:tcW w:w="2549" w:type="dxa"/>
          </w:tcPr>
          <w:p>
            <w:pPr>
              <w:pStyle w:val="Cell"/>
            </w:pPr>
            <w:r>
              <w:t xml:space="preserve">No, and it closes a stated limitation: every contrast is read against the 0.060 band.</w:t>
            </w:r>
          </w:p>
        </w:tc>
      </w:tr>
      <w:tr>
        <w:tc>
          <w:tcPr>
            <w:tcW w:w="1347" w:type="dxa"/>
          </w:tcPr>
          <w:p>
            <w:pPr>
              <w:pStyle w:val="Cell"/>
            </w:pPr>
            <w:r>
              <w:t xml:space="preserve">Deflator for the macro-covariate comparator</w:t>
            </w:r>
          </w:p>
        </w:tc>
        <w:tc>
          <w:tcPr>
            <w:tcW w:w="1532" w:type="dxa"/>
          </w:tcPr>
          <w:p>
            <w:pPr>
              <w:pStyle w:val="Cell"/>
            </w:pPr>
            <w:r>
              <w:t xml:space="preserve">Market dollars against purchasing parity</w:t>
            </w:r>
          </w:p>
        </w:tc>
        <w:tc>
          <w:tcPr>
            <w:tcW w:w="3644" w:type="dxa"/>
          </w:tcPr>
          <w:p>
            <w:pPr>
              <w:pStyle w:val="Cell"/>
            </w:pPr>
            <w:r>
              <w:t xml:space="preserve">Median r 0.6177 under dollars, 0.6317 under parity; normalized error 0.0522 and 0.0527</w:t>
            </w:r>
          </w:p>
        </w:tc>
        <w:tc>
          <w:tcPr>
            <w:tcW w:w="2549" w:type="dxa"/>
          </w:tcPr>
          <w:p>
            <w:pPr>
              <w:pStyle w:val="Cell"/>
            </w:pPr>
            <w:r>
              <w:t xml:space="preserve">No for the comparison with the model. Yes for one claim, therefore not made: the covariate-alone ranking is deflator-dependent.</w:t>
            </w:r>
          </w:p>
        </w:tc>
      </w:tr>
      <w:tr>
        <w:tc>
          <w:tcPr>
            <w:tcW w:w="1347" w:type="dxa"/>
          </w:tcPr>
          <w:p>
            <w:pPr>
              <w:pStyle w:val="Cell"/>
            </w:pPr>
            <w:r>
              <w:t xml:space="preserve">Israel as a bloc of one in the comparator</w:t>
            </w:r>
          </w:p>
        </w:tc>
        <w:tc>
          <w:tcPr>
            <w:tcW w:w="1532" w:type="dxa"/>
          </w:tcPr>
          <w:p>
            <w:pPr>
              <w:pStyle w:val="Cell"/>
            </w:pPr>
            <w:r>
              <w:t xml:space="preserve">Israel handled as its own regional bloc</w:t>
            </w:r>
          </w:p>
        </w:tc>
        <w:tc>
          <w:tcPr>
            <w:tcW w:w="3644" w:type="dxa"/>
          </w:tcPr>
          <w:p>
            <w:pPr>
              <w:pStyle w:val="Cell"/>
            </w:pPr>
            <w:r>
              <w:t xml:space="preserve">The comparator's median r moves from 0.6177 to 0.6741; the gap to the model from 0.174 to 0.177</w:t>
            </w:r>
          </w:p>
        </w:tc>
        <w:tc>
          <w:tcPr>
            <w:tcW w:w="2549" w:type="dxa"/>
          </w:tcPr>
          <w:p>
            <w:pPr>
              <w:pStyle w:val="Cell"/>
            </w:pPr>
            <w:r>
              <w:t xml:space="preserve">No.</w:t>
            </w:r>
          </w:p>
        </w:tc>
      </w:tr>
      <w:tr>
        <w:tc>
          <w:tcPr>
            <w:tcW w:w="1347" w:type="dxa"/>
          </w:tcPr>
          <w:p>
            <w:pPr>
              <w:pStyle w:val="Cell"/>
            </w:pPr>
            <w:r>
              <w:t xml:space="preserve">Influential countries in the comparator</w:t>
            </w:r>
          </w:p>
        </w:tc>
        <w:tc>
          <w:tcPr>
            <w:tcW w:w="1532" w:type="dxa"/>
          </w:tcPr>
          <w:p>
            <w:pPr>
              <w:pStyle w:val="Cell"/>
            </w:pPr>
            <w:r>
              <w:t xml:space="preserve">Leave-one-out over the 30 countries</w:t>
            </w:r>
          </w:p>
        </w:tc>
        <w:tc>
          <w:tcPr>
            <w:tcW w:w="3644" w:type="dxa"/>
          </w:tcPr>
          <w:p>
            <w:pPr>
              <w:pStyle w:val="Cell"/>
            </w:pPr>
            <w:r>
              <w:t xml:space="preserve">Excluding Ireland moves the headline by 0.001; the high-leverage country is Ukraine (mean hat 0.495)</w:t>
            </w:r>
          </w:p>
        </w:tc>
        <w:tc>
          <w:tcPr>
            <w:tcW w:w="2549" w:type="dxa"/>
          </w:tcPr>
          <w:p>
            <w:pPr>
              <w:pStyle w:val="Cell"/>
            </w:pPr>
            <w:r>
              <w:t xml:space="preserve">No.</w:t>
            </w:r>
          </w:p>
        </w:tc>
      </w:tr>
      <w:tr>
        <w:tc>
          <w:tcPr>
            <w:tcW w:w="1347" w:type="dxa"/>
          </w:tcPr>
          <w:p>
            <w:pPr>
              <w:pStyle w:val="Cell"/>
            </w:pPr>
            <w:r>
              <w:t xml:space="preserve">Coverage in the Llama third-person arm</w:t>
            </w:r>
          </w:p>
        </w:tc>
        <w:tc>
          <w:tcPr>
            <w:tcW w:w="1532" w:type="dxa"/>
          </w:tcPr>
          <w:p>
            <w:pPr>
              <w:pStyle w:val="Cell"/>
            </w:pPr>
            <w:r>
              <w:t xml:space="preserve">Restricting to items above 80% coverage</w:t>
            </w:r>
          </w:p>
        </w:tc>
        <w:tc>
          <w:tcPr>
            <w:tcW w:w="3644" w:type="dxa"/>
          </w:tcPr>
          <w:p>
            <w:pPr>
              <w:pStyle w:val="Cell"/>
            </w:pPr>
            <w:r>
              <w:t xml:space="preserve">Median rbc falls from +0.1729 on all 42 items to −0.0009 on the 19 items above the threshold</w:t>
            </w:r>
          </w:p>
        </w:tc>
        <w:tc>
          <w:tcPr>
            <w:tcW w:w="2549" w:type="dxa"/>
          </w:tcPr>
          <w:p>
            <w:pPr>
              <w:pStyle w:val="Cell"/>
            </w:pPr>
            <w:r>
              <w:t xml:space="preserve">Yes. The arm cannot identify a framing effect; the framing null rests on Qwen alone.</w:t>
            </w:r>
          </w:p>
        </w:tc>
      </w:tr>
      <w:tr>
        <w:tc>
          <w:tcPr>
            <w:tcW w:w="1347" w:type="dxa"/>
          </w:tcPr>
          <w:p>
            <w:pPr>
              <w:pStyle w:val="Cell"/>
            </w:pPr>
            <w:r>
              <w:t xml:space="preserve">Aggregator for the dispersion ratios</w:t>
            </w:r>
          </w:p>
        </w:tc>
        <w:tc>
          <w:tcPr>
            <w:tcW w:w="1532" w:type="dxa"/>
          </w:tcPr>
          <w:p>
            <w:pPr>
              <w:pStyle w:val="Cell"/>
            </w:pPr>
            <w:r>
              <w:t xml:space="preserve">Mean of ratios, median, and ratio of means</w:t>
            </w:r>
          </w:p>
        </w:tc>
        <w:tc>
          <w:tcPr>
            <w:tcW w:w="3644" w:type="dxa"/>
          </w:tcPr>
          <w:p>
            <w:pPr>
              <w:pStyle w:val="Cell"/>
            </w:pPr>
            <w:r>
              <w:t xml:space="preserve">Within-country 0.6052, 0.5727, 0.5859; between-country 0.2821 median, 0.2952 mean</w:t>
            </w:r>
          </w:p>
        </w:tc>
        <w:tc>
          <w:tcPr>
            <w:tcW w:w="2549" w:type="dxa"/>
          </w:tcPr>
          <w:p>
            <w:pPr>
              <w:pStyle w:val="Cell"/>
            </w:pPr>
            <w:r>
              <w:t xml:space="preserve">No. All three within-country estimators fail the pre-declared 0.9–1.1 band.</w:t>
            </w:r>
          </w:p>
        </w:tc>
      </w:tr>
      <w:tr>
        <w:tc>
          <w:tcPr>
            <w:tcW w:w="1347" w:type="dxa"/>
          </w:tcPr>
          <w:p>
            <w:pPr>
              <w:pStyle w:val="Cell"/>
            </w:pPr>
            <w:r>
              <w:t xml:space="preserve">Estimator for the offset reduction</w:t>
            </w:r>
          </w:p>
        </w:tc>
        <w:tc>
          <w:tcPr>
            <w:tcW w:w="1532" w:type="dxa"/>
          </w:tcPr>
          <w:p>
            <w:pPr>
              <w:pStyle w:val="Cell"/>
            </w:pPr>
            <w:r>
              <w:t xml:space="preserve">Four defensible estimators</w:t>
            </w:r>
          </w:p>
        </w:tc>
        <w:tc>
          <w:tcPr>
            <w:tcW w:w="3644" w:type="dxa"/>
          </w:tcPr>
          <w:p>
            <w:pPr>
              <w:pStyle w:val="Cell"/>
            </w:pPr>
            <w:r>
              <w:t xml:space="preserve">Ratio of medians 64.2%, ratio of means 62.9%, median of per-item reductions 59.9%, mean of per-item reductions 53.7%</w:t>
            </w:r>
          </w:p>
        </w:tc>
        <w:tc>
          <w:tcPr>
            <w:tcW w:w="2549" w:type="dxa"/>
          </w:tcPr>
          <w:p>
            <w:pPr>
              <w:pStyle w:val="Cell"/>
            </w:pPr>
            <w:r>
              <w:t xml:space="preserve">Yes for the number quoted: 59.9%, the median of the per-item reductions, named as such.</w:t>
            </w:r>
          </w:p>
        </w:tc>
      </w:tr>
      <w:tr>
        <w:tc>
          <w:tcPr>
            <w:tcW w:w="1347" w:type="dxa"/>
          </w:tcPr>
          <w:p>
            <w:pPr>
              <w:pStyle w:val="Cell"/>
            </w:pPr>
            <w:r>
              <w:t xml:space="preserve">Specification for the cross-level agreement</w:t>
            </w:r>
          </w:p>
        </w:tc>
        <w:tc>
          <w:tcPr>
            <w:tcW w:w="1532" w:type="dxa"/>
          </w:tcPr>
          <w:p>
            <w:pPr>
              <w:pStyle w:val="Cell"/>
            </w:pPr>
            <w:r>
              <w:t xml:space="preserve">As coded, forward items only, sign-aligned</w:t>
            </w:r>
          </w:p>
        </w:tc>
        <w:tc>
          <w:tcPr>
            <w:tcW w:w="3644" w:type="dxa"/>
          </w:tcPr>
          <w:p>
            <w:pPr>
              <w:pStyle w:val="Cell"/>
            </w:pPr>
            <w:r>
              <w:t xml:space="preserve">Pearson 0.9368 as coded, 0.7745 forward-only, 0.8355 sign-aligned</w:t>
            </w:r>
          </w:p>
        </w:tc>
        <w:tc>
          <w:tcPr>
            <w:tcW w:w="2549" w:type="dxa"/>
          </w:tcPr>
          <w:p>
            <w:pPr>
              <w:pStyle w:val="Cell"/>
            </w:pPr>
            <w:r>
              <w:t xml:space="preserve">No for the existence of the agreement. Yes for its description: about a third of the raw magnitude is the shared direction failure.</w:t>
            </w:r>
          </w:p>
        </w:tc>
      </w:tr>
      <w:tr>
        <w:tc>
          <w:tcPr>
            <w:tcW w:w="1347" w:type="dxa"/>
          </w:tcPr>
          <w:p>
            <w:pPr>
              <w:pStyle w:val="Cell"/>
            </w:pPr>
            <w:r>
              <w:t xml:space="preserve">Frame for country-level quantities</w:t>
            </w:r>
          </w:p>
        </w:tc>
        <w:tc>
          <w:tcPr>
            <w:tcW w:w="1532" w:type="dxa"/>
          </w:tcPr>
          <w:p>
            <w:pPr>
              <w:pStyle w:val="Cell"/>
            </w:pPr>
            <w:r>
              <w:t xml:space="preserve">Full frame against the human-model intersection</w:t>
            </w:r>
          </w:p>
        </w:tc>
        <w:tc>
          <w:tcPr>
            <w:tcW w:w="3644" w:type="dxa"/>
          </w:tcPr>
          <w:p>
            <w:pPr>
              <w:pStyle w:val="Cell"/>
            </w:pPr>
            <w:r>
              <w:t xml:space="preserve">Median rbc moves from 0.4433 to 0.4425; single items move by up to 0.109 (health)</w:t>
            </w:r>
          </w:p>
        </w:tc>
        <w:tc>
          <w:tcPr>
            <w:tcW w:w="2549" w:type="dxa"/>
          </w:tcPr>
          <w:p>
            <w:pPr>
              <w:pStyle w:val="Cell"/>
            </w:pPr>
            <w:r>
              <w:t xml:space="preserve">No for the median. The frame is fixed in one place and stated.</w:t>
            </w:r>
          </w:p>
        </w:tc>
      </w:tr>
      <w:tr>
        <w:tc>
          <w:tcPr>
            <w:tcW w:w="1347" w:type="dxa"/>
          </w:tcPr>
          <w:p>
            <w:pPr>
              <w:pStyle w:val="Cell"/>
            </w:pPr>
            <w:r>
              <w:t xml:space="preserve">Stability across rounds</w:t>
            </w:r>
          </w:p>
        </w:tc>
        <w:tc>
          <w:tcPr>
            <w:tcW w:w="1532" w:type="dxa"/>
          </w:tcPr>
          <w:p>
            <w:pPr>
              <w:pStyle w:val="Cell"/>
            </w:pPr>
            <w:r>
              <w:t xml:space="preserve">The March round against the final round</w:t>
            </w:r>
          </w:p>
        </w:tc>
        <w:tc>
          <w:tcPr>
            <w:tcW w:w="3644" w:type="dxa"/>
          </w:tcPr>
          <w:p>
            <w:pPr>
              <w:pStyle w:val="Cell"/>
            </w:pPr>
            <w:r>
              <w:t xml:space="preserve">Median absolute item-level rbc change 0.0415, against a same-round replicate median of 0.060</w:t>
            </w:r>
          </w:p>
        </w:tc>
        <w:tc>
          <w:tcPr>
            <w:tcW w:w="2549" w:type="dxa"/>
          </w:tcPr>
          <w:p>
            <w:pPr>
              <w:pStyle w:val="Cell"/>
            </w:pPr>
            <w:r>
              <w:t xml:space="preserve">No.</w:t>
            </w:r>
          </w:p>
        </w:tc>
      </w:tr>
      <w:tr>
        <w:tc>
          <w:tcPr>
            <w:tcW w:w="1347" w:type="dxa"/>
          </w:tcPr>
          <w:p>
            <w:pPr>
              <w:pStyle w:val="Cell"/>
            </w:pPr>
            <w:r>
              <w:t xml:space="preserve">Human-side missingness rule</w:t>
            </w:r>
          </w:p>
        </w:tc>
        <w:tc>
          <w:tcPr>
            <w:tcW w:w="1532" w:type="dxa"/>
          </w:tcPr>
          <w:p>
            <w:pPr>
              <w:pStyle w:val="Cell"/>
            </w:pPr>
            <w:r>
              <w:t xml:space="preserve">Correcting the missing-code set for the coarse scales</w:t>
            </w:r>
          </w:p>
        </w:tc>
        <w:tc>
          <w:tcPr>
            <w:tcW w:w="3644" w:type="dxa"/>
          </w:tcPr>
          <w:p>
            <w:pPr>
              <w:pStyle w:val="Cell"/>
            </w:pPr>
            <w:r>
              <w:t xml:space="preserve">Median rbc 0.418 to 0.431; items above 0.70 from eight to nine; inverted items from twelve to eleven; within-country dispersion ratio 0.553 to 0.605</w:t>
            </w:r>
          </w:p>
        </w:tc>
        <w:tc>
          <w:tcPr>
            <w:tcW w:w="2549"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