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Solution Architecture Diagram</w:t>
      </w:r>
    </w:p>
    <w:p>
      <w:pPr>
        <w:spacing w:after="300" w:before="200"/>
        <w:jc w:val="center"/>
      </w:pPr>
      <w:r>
        <w:drawing>
          <wp:inline distT="0" distB="0" distL="0" distR="0">
            <wp:extent cx="523875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Architecture Description</w:t>
      </w:r>
    </w:p>
    <w:p>
      <w:pPr>
        <w:spacing w:after="200"/>
      </w:pPr>
      <w:r>
        <w:rPr>
          <w:sz w:val="22"/>
          <w:szCs w:val="22"/>
        </w:rPr>
        <w:t xml:space="preserve">The architecture follows a layered design: a Data Layer (Microsoft SQL Server) for storage and pre-processing, an Analytics/Visualization Layer (Tableau) for building dashboards, and a Presentation Layer (Flask) for web-based access. Each layer communicates in one direction — data flows from the database to the visualization layer, and from there into the web application — keeping the system modular and easy to maintain.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f4a0970135387ad910f7fb7f3d03a9eb4742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2026-07-19T16:57:56.977Z</dcterms:created>
  <dcterms:modified xsi:type="dcterms:W3CDTF">2026-07-19T16:57:56.977Z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