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200"/>
        <w:jc w:val="center"/>
      </w:pPr>
      <w:r>
        <w:rPr>
          <w:b/>
          <w:bCs/>
          <w:sz w:val="26"/>
          <w:szCs w:val="26"/>
        </w:rPr>
        <w:t xml:space="preserve">Project Development Phase</w:t>
      </w:r>
    </w:p>
    <w:p>
      <w:pPr>
        <w:spacing w:after="200"/>
        <w:jc w:val="center"/>
      </w:pPr>
      <w:r>
        <w:rPr>
          <w:b/>
          <w:bCs/>
          <w:color w:val="1CADC4"/>
          <w:sz w:val="30"/>
          <w:szCs w:val="30"/>
        </w:rPr>
        <w:t xml:space="preserve">Acceptance Testing — UAT Execution &amp; Report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CADC4" w:val="clear"/>
            <w:tcMar>
              <w:top w:type="dxa" w:w="100"/>
              <w:left w:type="dxa" w:w="150"/>
              <w:bottom w:type="dxa" w:w="100"/>
              <w:right w:type="dxa" w:w="150"/>
            </w:tcMar>
          </w:tcPr>
          <w:p>
            <w:r>
              <w:rPr>
                <w:b/>
                <w:bCs/>
                <w:color w:val="FFFFFF"/>
                <w:sz w:val="20"/>
                <w:szCs w:val="20"/>
              </w:rPr>
              <w:t xml:space="preserve">Date</w:t>
            </w:r>
          </w:p>
        </w:tc>
        <w:tc>
          <w:tcPr>
            <w:tcW w:type="dxa" w:w="6500"/>
            <w:tcMar>
              <w:top w:type="dxa" w:w="100"/>
              <w:left w:type="dxa" w:w="150"/>
              <w:bottom w:type="dxa" w:w="100"/>
              <w:right w:type="dxa" w:w="150"/>
            </w:tcMar>
          </w:tcPr>
          <w:p>
            <w:r>
              <w:rPr>
                <w:b w:val="false"/>
                <w:bCs w:val="false"/>
                <w:color w:val="1A1A1A"/>
                <w:sz w:val="20"/>
                <w:szCs w:val="20"/>
              </w:rPr>
              <w:t xml:space="preserve">20 July 2026</w:t>
            </w:r>
          </w:p>
        </w:tc>
      </w:tr>
      <w:tr>
        <w:tc>
          <w:tcPr>
            <w:tcW w:type="dxa" w:w="2500"/>
            <w:shd w:fill="1CADC4" w:val="clear"/>
            <w:tcMar>
              <w:top w:type="dxa" w:w="100"/>
              <w:left w:type="dxa" w:w="150"/>
              <w:bottom w:type="dxa" w:w="100"/>
              <w:right w:type="dxa" w:w="150"/>
            </w:tcMar>
          </w:tcPr>
          <w:p>
            <w:r>
              <w:rPr>
                <w:b/>
                <w:bCs/>
                <w:color w:val="FFFFFF"/>
                <w:sz w:val="20"/>
                <w:szCs w:val="20"/>
              </w:rPr>
              <w:t xml:space="preserve">Team ID</w:t>
            </w:r>
          </w:p>
        </w:tc>
        <w:tc>
          <w:tcPr>
            <w:tcW w:type="dxa" w:w="6500"/>
            <w:tcMar>
              <w:top w:type="dxa" w:w="100"/>
              <w:left w:type="dxa" w:w="150"/>
              <w:bottom w:type="dxa" w:w="100"/>
              <w:right w:type="dxa" w:w="150"/>
            </w:tcMar>
          </w:tcPr>
          <w:p>
            <w:r>
              <w:rPr>
                <w:b w:val="false"/>
                <w:bCs w:val="false"/>
                <w:color w:val="1A1A1A"/>
                <w:sz w:val="20"/>
                <w:szCs w:val="20"/>
              </w:rPr>
              <w:t xml:space="preserve"/>
            </w:r>
          </w:p>
        </w:tc>
      </w:tr>
      <w:tr>
        <w:tc>
          <w:tcPr>
            <w:tcW w:type="dxa" w:w="2500"/>
            <w:shd w:fill="1CADC4" w:val="clear"/>
            <w:tcMar>
              <w:top w:type="dxa" w:w="100"/>
              <w:left w:type="dxa" w:w="150"/>
              <w:bottom w:type="dxa" w:w="100"/>
              <w:right w:type="dxa" w:w="150"/>
            </w:tcMar>
          </w:tcPr>
          <w:p>
            <w:r>
              <w:rPr>
                <w:b/>
                <w:bCs/>
                <w:color w:val="FFFFFF"/>
                <w:sz w:val="20"/>
                <w:szCs w:val="20"/>
              </w:rPr>
              <w:t xml:space="preserve">Project Name</w:t>
            </w:r>
          </w:p>
        </w:tc>
        <w:tc>
          <w:tcPr>
            <w:tcW w:type="dxa" w:w="6500"/>
            <w:tcMar>
              <w:top w:type="dxa" w:w="100"/>
              <w:left w:type="dxa" w:w="150"/>
              <w:bottom w:type="dxa" w:w="100"/>
              <w:right w:type="dxa" w:w="150"/>
            </w:tcMar>
          </w:tcPr>
          <w:p>
            <w:r>
              <w:rPr>
                <w:b w:val="false"/>
                <w:bCs w:val="false"/>
                <w:color w:val="1A1A1A"/>
                <w:sz w:val="20"/>
                <w:szCs w:val="20"/>
              </w:rPr>
              <w:t xml:space="preserve">Plugging Into the Future: An Exploration of Electricity Consumption Patterns</w:t>
            </w:r>
          </w:p>
        </w:tc>
      </w:tr>
      <w:tr>
        <w:tc>
          <w:tcPr>
            <w:tcW w:type="dxa" w:w="2500"/>
            <w:shd w:fill="1CADC4" w:val="clear"/>
            <w:tcMar>
              <w:top w:type="dxa" w:w="100"/>
              <w:left w:type="dxa" w:w="150"/>
              <w:bottom w:type="dxa" w:w="100"/>
              <w:right w:type="dxa" w:w="150"/>
            </w:tcMar>
          </w:tcPr>
          <w:p>
            <w:r>
              <w:rPr>
                <w:b/>
                <w:bCs/>
                <w:color w:val="FFFFFF"/>
                <w:sz w:val="20"/>
                <w:szCs w:val="20"/>
              </w:rPr>
              <w:t xml:space="preserve">Maximum Marks</w:t>
            </w:r>
          </w:p>
        </w:tc>
        <w:tc>
          <w:tcPr>
            <w:tcW w:type="dxa" w:w="6500"/>
            <w:tcMar>
              <w:top w:type="dxa" w:w="100"/>
              <w:left w:type="dxa" w:w="150"/>
              <w:bottom w:type="dxa" w:w="100"/>
              <w:right w:type="dxa" w:w="150"/>
            </w:tcMar>
          </w:tcPr>
          <w:p>
            <w:r>
              <w:rPr>
                <w:b w:val="false"/>
                <w:bCs w:val="false"/>
                <w:color w:val="1A1A1A"/>
                <w:sz w:val="20"/>
                <w:szCs w:val="20"/>
              </w:rPr>
              <w:t xml:space="preserve">4 Marks</w:t>
            </w:r>
          </w:p>
        </w:tc>
      </w:tr>
    </w:tbl>
    <w:p>
      <w:pPr>
        <w:spacing w:after="200"/>
      </w:pPr>
    </w:p>
    <w:p>
      <w:pPr>
        <w:pStyle w:val="Heading1"/>
        <w:spacing w:after="200" w:before="400"/>
      </w:pPr>
      <w:r>
        <w:rPr>
          <w:b/>
          <w:bCs/>
          <w:color w:val="1CADC4"/>
        </w:rPr>
        <w:t xml:space="preserve">1. Purpose of Document</w:t>
      </w:r>
    </w:p>
    <w:p>
      <w:pPr>
        <w:spacing w:after="200"/>
      </w:pPr>
      <w:r>
        <w:rPr>
          <w:sz w:val="22"/>
          <w:szCs w:val="22"/>
        </w:rPr>
        <w:t xml:space="preserve">The purpose of this document is to briefly explain the test coverage and open issues of the Electricity Consumption Analysis project at the time of release to User Acceptance Testing (UAT).</w:t>
      </w:r>
    </w:p>
    <w:p>
      <w:pPr>
        <w:pStyle w:val="Heading1"/>
        <w:spacing w:after="200" w:before="400"/>
      </w:pPr>
      <w:r>
        <w:rPr>
          <w:b/>
          <w:bCs/>
          <w:color w:val="1CADC4"/>
        </w:rPr>
        <w:t xml:space="preserve">2. Defect Analysis</w:t>
      </w:r>
    </w:p>
    <w:p>
      <w:pPr>
        <w:spacing w:after="200"/>
      </w:pPr>
      <w:r>
        <w:rPr>
          <w:sz w:val="22"/>
          <w:szCs w:val="22"/>
        </w:rPr>
        <w:t xml:space="preserve">This report shows the number of resolved or closed issues at each severity level, and how they were resolved.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200"/>
      </w:tblGrid>
      <w:tr>
        <w:trPr>
          <w:tblHeader/>
        </w:trPr>
        <w:tc>
          <w:tcPr>
            <w:tcW w:type="dxa" w:w="1600"/>
            <w:shd w:fill="1CADC4" w:val="clear"/>
            <w:tcMar>
              <w:top w:type="dxa" w:w="100"/>
              <w:left w:type="dxa" w:w="150"/>
              <w:bottom w:type="dxa" w:w="100"/>
              <w:right w:type="dxa" w:w="150"/>
            </w:tcMar>
          </w:tcPr>
          <w:p>
            <w:r>
              <w:rPr>
                <w:b/>
                <w:bCs/>
                <w:color w:val="FFFFFF"/>
                <w:sz w:val="20"/>
                <w:szCs w:val="20"/>
              </w:rPr>
              <w:t xml:space="preserve">Resolution</w:t>
            </w:r>
          </w:p>
        </w:tc>
        <w:tc>
          <w:tcPr>
            <w:tcW w:type="dxa" w:w="1300"/>
            <w:shd w:fill="1CADC4" w:val="clear"/>
            <w:tcMar>
              <w:top w:type="dxa" w:w="100"/>
              <w:left w:type="dxa" w:w="150"/>
              <w:bottom w:type="dxa" w:w="100"/>
              <w:right w:type="dxa" w:w="150"/>
            </w:tcMar>
          </w:tcPr>
          <w:p>
            <w:r>
              <w:rPr>
                <w:b/>
                <w:bCs/>
                <w:color w:val="FFFFFF"/>
                <w:sz w:val="20"/>
                <w:szCs w:val="20"/>
              </w:rPr>
              <w:t xml:space="preserve">Severity 1</w:t>
            </w:r>
          </w:p>
        </w:tc>
        <w:tc>
          <w:tcPr>
            <w:tcW w:type="dxa" w:w="1300"/>
            <w:shd w:fill="1CADC4" w:val="clear"/>
            <w:tcMar>
              <w:top w:type="dxa" w:w="100"/>
              <w:left w:type="dxa" w:w="150"/>
              <w:bottom w:type="dxa" w:w="100"/>
              <w:right w:type="dxa" w:w="150"/>
            </w:tcMar>
          </w:tcPr>
          <w:p>
            <w:r>
              <w:rPr>
                <w:b/>
                <w:bCs/>
                <w:color w:val="FFFFFF"/>
                <w:sz w:val="20"/>
                <w:szCs w:val="20"/>
              </w:rPr>
              <w:t xml:space="preserve">Severity 2</w:t>
            </w:r>
          </w:p>
        </w:tc>
        <w:tc>
          <w:tcPr>
            <w:tcW w:type="dxa" w:w="1300"/>
            <w:shd w:fill="1CADC4" w:val="clear"/>
            <w:tcMar>
              <w:top w:type="dxa" w:w="100"/>
              <w:left w:type="dxa" w:w="150"/>
              <w:bottom w:type="dxa" w:w="100"/>
              <w:right w:type="dxa" w:w="150"/>
            </w:tcMar>
          </w:tcPr>
          <w:p>
            <w:r>
              <w:rPr>
                <w:b/>
                <w:bCs/>
                <w:color w:val="FFFFFF"/>
                <w:sz w:val="20"/>
                <w:szCs w:val="20"/>
              </w:rPr>
              <w:t xml:space="preserve">Severity 3</w:t>
            </w:r>
          </w:p>
        </w:tc>
        <w:tc>
          <w:tcPr>
            <w:tcW w:type="dxa" w:w="1300"/>
            <w:shd w:fill="1CADC4" w:val="clear"/>
            <w:tcMar>
              <w:top w:type="dxa" w:w="100"/>
              <w:left w:type="dxa" w:w="150"/>
              <w:bottom w:type="dxa" w:w="100"/>
              <w:right w:type="dxa" w:w="150"/>
            </w:tcMar>
          </w:tcPr>
          <w:p>
            <w:r>
              <w:rPr>
                <w:b/>
                <w:bCs/>
                <w:color w:val="FFFFFF"/>
                <w:sz w:val="20"/>
                <w:szCs w:val="20"/>
              </w:rPr>
              <w:t xml:space="preserve">Severity 4</w:t>
            </w:r>
          </w:p>
        </w:tc>
        <w:tc>
          <w:tcPr>
            <w:tcW w:type="dxa" w:w="1200"/>
            <w:shd w:fill="1CADC4" w:val="clear"/>
            <w:tcMar>
              <w:top w:type="dxa" w:w="100"/>
              <w:left w:type="dxa" w:w="150"/>
              <w:bottom w:type="dxa" w:w="100"/>
              <w:right w:type="dxa" w:w="150"/>
            </w:tcMar>
          </w:tcPr>
          <w:p>
            <w:r>
              <w:rPr>
                <w:b/>
                <w:bCs/>
                <w:color w:val="FFFFFF"/>
                <w:sz w:val="20"/>
                <w:szCs w:val="20"/>
              </w:rPr>
              <w:t xml:space="preserve">Subtotal</w:t>
            </w:r>
          </w:p>
        </w:tc>
      </w:tr>
      <w:tr>
        <w:tc>
          <w:tcPr>
            <w:tcW w:type="dxa" w:w="1600"/>
            <w:tcMar>
              <w:top w:type="dxa" w:w="100"/>
              <w:left w:type="dxa" w:w="150"/>
              <w:bottom w:type="dxa" w:w="100"/>
              <w:right w:type="dxa" w:w="150"/>
            </w:tcMar>
          </w:tcPr>
          <w:p>
            <w:r>
              <w:rPr>
                <w:b w:val="false"/>
                <w:bCs w:val="false"/>
                <w:color w:val="1A1A1A"/>
                <w:sz w:val="20"/>
                <w:szCs w:val="20"/>
              </w:rPr>
              <w:t xml:space="preserve">Fixed</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2</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2</w:t>
            </w:r>
          </w:p>
        </w:tc>
        <w:tc>
          <w:tcPr>
            <w:tcW w:type="dxa" w:w="1200"/>
            <w:tcMar>
              <w:top w:type="dxa" w:w="100"/>
              <w:left w:type="dxa" w:w="150"/>
              <w:bottom w:type="dxa" w:w="100"/>
              <w:right w:type="dxa" w:w="150"/>
            </w:tcMar>
          </w:tcPr>
          <w:p>
            <w:r>
              <w:rPr>
                <w:b w:val="false"/>
                <w:bCs w:val="false"/>
                <w:color w:val="1A1A1A"/>
                <w:sz w:val="20"/>
                <w:szCs w:val="20"/>
              </w:rPr>
              <w:t xml:space="preserve">6</w:t>
            </w:r>
          </w:p>
        </w:tc>
      </w:tr>
      <w:tr>
        <w:tc>
          <w:tcPr>
            <w:tcW w:type="dxa" w:w="1600"/>
            <w:tcMar>
              <w:top w:type="dxa" w:w="100"/>
              <w:left w:type="dxa" w:w="150"/>
              <w:bottom w:type="dxa" w:w="100"/>
              <w:right w:type="dxa" w:w="150"/>
            </w:tcMar>
          </w:tcPr>
          <w:p>
            <w:r>
              <w:rPr>
                <w:b w:val="false"/>
                <w:bCs w:val="false"/>
                <w:color w:val="1A1A1A"/>
                <w:sz w:val="20"/>
                <w:szCs w:val="20"/>
              </w:rPr>
              <w:t xml:space="preserve">By Design</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200"/>
            <w:tcMar>
              <w:top w:type="dxa" w:w="100"/>
              <w:left w:type="dxa" w:w="150"/>
              <w:bottom w:type="dxa" w:w="100"/>
              <w:right w:type="dxa" w:w="150"/>
            </w:tcMar>
          </w:tcPr>
          <w:p>
            <w:r>
              <w:rPr>
                <w:b w:val="false"/>
                <w:bCs w:val="false"/>
                <w:color w:val="1A1A1A"/>
                <w:sz w:val="20"/>
                <w:szCs w:val="20"/>
              </w:rPr>
              <w:t xml:space="preserve">3</w:t>
            </w:r>
          </w:p>
        </w:tc>
      </w:tr>
      <w:tr>
        <w:tc>
          <w:tcPr>
            <w:tcW w:type="dxa" w:w="1600"/>
            <w:tcMar>
              <w:top w:type="dxa" w:w="100"/>
              <w:left w:type="dxa" w:w="150"/>
              <w:bottom w:type="dxa" w:w="100"/>
              <w:right w:type="dxa" w:w="150"/>
            </w:tcMar>
          </w:tcPr>
          <w:p>
            <w:r>
              <w:rPr>
                <w:b w:val="false"/>
                <w:bCs w:val="false"/>
                <w:color w:val="1A1A1A"/>
                <w:sz w:val="20"/>
                <w:szCs w:val="20"/>
              </w:rPr>
              <w:t xml:space="preserve">Won't Fix</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200"/>
            <w:tcMar>
              <w:top w:type="dxa" w:w="100"/>
              <w:left w:type="dxa" w:w="150"/>
              <w:bottom w:type="dxa" w:w="100"/>
              <w:right w:type="dxa" w:w="150"/>
            </w:tcMar>
          </w:tcPr>
          <w:p>
            <w:r>
              <w:rPr>
                <w:b w:val="false"/>
                <w:bCs w:val="false"/>
                <w:color w:val="1A1A1A"/>
                <w:sz w:val="20"/>
                <w:szCs w:val="20"/>
              </w:rPr>
              <w:t xml:space="preserve">2</w:t>
            </w:r>
          </w:p>
        </w:tc>
      </w:tr>
      <w:tr>
        <w:tc>
          <w:tcPr>
            <w:tcW w:type="dxa" w:w="1600"/>
            <w:tcMar>
              <w:top w:type="dxa" w:w="100"/>
              <w:left w:type="dxa" w:w="150"/>
              <w:bottom w:type="dxa" w:w="100"/>
              <w:right w:type="dxa" w:w="150"/>
            </w:tcMar>
          </w:tcPr>
          <w:p>
            <w:r>
              <w:rPr>
                <w:b w:val="false"/>
                <w:bCs w:val="false"/>
                <w:color w:val="1A1A1A"/>
                <w:sz w:val="20"/>
                <w:szCs w:val="20"/>
              </w:rPr>
              <w:t xml:space="preserve">Totals</w:t>
            </w:r>
          </w:p>
        </w:tc>
        <w:tc>
          <w:tcPr>
            <w:tcW w:type="dxa" w:w="1300"/>
            <w:tcMar>
              <w:top w:type="dxa" w:w="100"/>
              <w:left w:type="dxa" w:w="150"/>
              <w:bottom w:type="dxa" w:w="100"/>
              <w:right w:type="dxa" w:w="150"/>
            </w:tcMar>
          </w:tcPr>
          <w:p>
            <w:r>
              <w:rPr>
                <w:b w:val="false"/>
                <w:bCs w:val="false"/>
                <w:color w:val="1A1A1A"/>
                <w:sz w:val="20"/>
                <w:szCs w:val="20"/>
              </w:rPr>
              <w:t xml:space="preserve">1</w:t>
            </w:r>
          </w:p>
        </w:tc>
        <w:tc>
          <w:tcPr>
            <w:tcW w:type="dxa" w:w="1300"/>
            <w:tcMar>
              <w:top w:type="dxa" w:w="100"/>
              <w:left w:type="dxa" w:w="150"/>
              <w:bottom w:type="dxa" w:w="100"/>
              <w:right w:type="dxa" w:w="150"/>
            </w:tcMar>
          </w:tcPr>
          <w:p>
            <w:r>
              <w:rPr>
                <w:b w:val="false"/>
                <w:bCs w:val="false"/>
                <w:color w:val="1A1A1A"/>
                <w:sz w:val="20"/>
                <w:szCs w:val="20"/>
              </w:rPr>
              <w:t xml:space="preserve">3</w:t>
            </w:r>
          </w:p>
        </w:tc>
        <w:tc>
          <w:tcPr>
            <w:tcW w:type="dxa" w:w="1300"/>
            <w:tcMar>
              <w:top w:type="dxa" w:w="100"/>
              <w:left w:type="dxa" w:w="150"/>
              <w:bottom w:type="dxa" w:w="100"/>
              <w:right w:type="dxa" w:w="150"/>
            </w:tcMar>
          </w:tcPr>
          <w:p>
            <w:r>
              <w:rPr>
                <w:b w:val="false"/>
                <w:bCs w:val="false"/>
                <w:color w:val="1A1A1A"/>
                <w:sz w:val="20"/>
                <w:szCs w:val="20"/>
              </w:rPr>
              <w:t xml:space="preserve">3</w:t>
            </w:r>
          </w:p>
        </w:tc>
        <w:tc>
          <w:tcPr>
            <w:tcW w:type="dxa" w:w="1300"/>
            <w:tcMar>
              <w:top w:type="dxa" w:w="100"/>
              <w:left w:type="dxa" w:w="150"/>
              <w:bottom w:type="dxa" w:w="100"/>
              <w:right w:type="dxa" w:w="150"/>
            </w:tcMar>
          </w:tcPr>
          <w:p>
            <w:r>
              <w:rPr>
                <w:b w:val="false"/>
                <w:bCs w:val="false"/>
                <w:color w:val="1A1A1A"/>
                <w:sz w:val="20"/>
                <w:szCs w:val="20"/>
              </w:rPr>
              <w:t xml:space="preserve">4</w:t>
            </w:r>
          </w:p>
        </w:tc>
        <w:tc>
          <w:tcPr>
            <w:tcW w:type="dxa" w:w="1200"/>
            <w:tcMar>
              <w:top w:type="dxa" w:w="100"/>
              <w:left w:type="dxa" w:w="150"/>
              <w:bottom w:type="dxa" w:w="100"/>
              <w:right w:type="dxa" w:w="150"/>
            </w:tcMar>
          </w:tcPr>
          <w:p>
            <w:r>
              <w:rPr>
                <w:b w:val="false"/>
                <w:bCs w:val="false"/>
                <w:color w:val="1A1A1A"/>
                <w:sz w:val="20"/>
                <w:szCs w:val="20"/>
              </w:rPr>
              <w:t xml:space="preserve">11</w:t>
            </w:r>
          </w:p>
        </w:tc>
      </w:tr>
    </w:tbl>
    <w:p>
      <w:pPr>
        <w:pStyle w:val="Heading1"/>
        <w:spacing w:after="200" w:before="400"/>
      </w:pPr>
      <w:r>
        <w:rPr>
          <w:b/>
          <w:bCs/>
          <w:color w:val="1CADC4"/>
        </w:rPr>
        <w:t xml:space="preserve">3. Test Case Analysis</w:t>
      </w:r>
    </w:p>
    <w:p>
      <w:pPr>
        <w:spacing w:after="200"/>
      </w:pPr>
      <w:r>
        <w:rPr>
          <w:sz w:val="22"/>
          <w:szCs w:val="22"/>
        </w:rPr>
        <w:t xml:space="preserve">This report shows the number of test cases that have passed, failed, and untested.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gridCol w:w="1000"/>
        <w:gridCol w:w="1000"/>
      </w:tblGrid>
      <w:tr>
        <w:trPr>
          <w:tblHeader/>
        </w:trPr>
        <w:tc>
          <w:tcPr>
            <w:tcW w:type="dxa" w:w="4200"/>
            <w:shd w:fill="1CADC4" w:val="clear"/>
            <w:tcMar>
              <w:top w:type="dxa" w:w="100"/>
              <w:left w:type="dxa" w:w="150"/>
              <w:bottom w:type="dxa" w:w="100"/>
              <w:right w:type="dxa" w:w="150"/>
            </w:tcMar>
          </w:tcPr>
          <w:p>
            <w:r>
              <w:rPr>
                <w:b/>
                <w:bCs/>
                <w:color w:val="FFFFFF"/>
                <w:sz w:val="20"/>
                <w:szCs w:val="20"/>
              </w:rPr>
              <w:t xml:space="preserve">Section</w:t>
            </w:r>
          </w:p>
        </w:tc>
        <w:tc>
          <w:tcPr>
            <w:tcW w:type="dxa" w:w="1300"/>
            <w:shd w:fill="1CADC4" w:val="clear"/>
            <w:tcMar>
              <w:top w:type="dxa" w:w="100"/>
              <w:left w:type="dxa" w:w="150"/>
              <w:bottom w:type="dxa" w:w="100"/>
              <w:right w:type="dxa" w:w="150"/>
            </w:tcMar>
          </w:tcPr>
          <w:p>
            <w:r>
              <w:rPr>
                <w:b/>
                <w:bCs/>
                <w:color w:val="FFFFFF"/>
                <w:sz w:val="20"/>
                <w:szCs w:val="20"/>
              </w:rPr>
              <w:t xml:space="preserve">Total Cases</w:t>
            </w:r>
          </w:p>
        </w:tc>
        <w:tc>
          <w:tcPr>
            <w:tcW w:type="dxa" w:w="1300"/>
            <w:shd w:fill="1CADC4" w:val="clear"/>
            <w:tcMar>
              <w:top w:type="dxa" w:w="100"/>
              <w:left w:type="dxa" w:w="150"/>
              <w:bottom w:type="dxa" w:w="100"/>
              <w:right w:type="dxa" w:w="150"/>
            </w:tcMar>
          </w:tcPr>
          <w:p>
            <w:r>
              <w:rPr>
                <w:b/>
                <w:bCs/>
                <w:color w:val="FFFFFF"/>
                <w:sz w:val="20"/>
                <w:szCs w:val="20"/>
              </w:rPr>
              <w:t xml:space="preserve">Not Tested</w:t>
            </w:r>
          </w:p>
        </w:tc>
        <w:tc>
          <w:tcPr>
            <w:tcW w:type="dxa" w:w="1000"/>
            <w:shd w:fill="1CADC4" w:val="clear"/>
            <w:tcMar>
              <w:top w:type="dxa" w:w="100"/>
              <w:left w:type="dxa" w:w="150"/>
              <w:bottom w:type="dxa" w:w="100"/>
              <w:right w:type="dxa" w:w="150"/>
            </w:tcMar>
          </w:tcPr>
          <w:p>
            <w:r>
              <w:rPr>
                <w:b/>
                <w:bCs/>
                <w:color w:val="FFFFFF"/>
                <w:sz w:val="20"/>
                <w:szCs w:val="20"/>
              </w:rPr>
              <w:t xml:space="preserve">Fail</w:t>
            </w:r>
          </w:p>
        </w:tc>
        <w:tc>
          <w:tcPr>
            <w:tcW w:type="dxa" w:w="1000"/>
            <w:shd w:fill="1CADC4" w:val="clear"/>
            <w:tcMar>
              <w:top w:type="dxa" w:w="100"/>
              <w:left w:type="dxa" w:w="150"/>
              <w:bottom w:type="dxa" w:w="100"/>
              <w:right w:type="dxa" w:w="150"/>
            </w:tcMar>
          </w:tcPr>
          <w:p>
            <w:r>
              <w:rPr>
                <w:b/>
                <w:bCs/>
                <w:color w:val="FFFFFF"/>
                <w:sz w:val="20"/>
                <w:szCs w:val="20"/>
              </w:rPr>
              <w:t xml:space="preserve">Pass</w:t>
            </w:r>
          </w:p>
        </w:tc>
      </w:tr>
      <w:tr>
        <w:tc>
          <w:tcPr>
            <w:tcW w:type="dxa" w:w="4200"/>
            <w:tcMar>
              <w:top w:type="dxa" w:w="100"/>
              <w:left w:type="dxa" w:w="150"/>
              <w:bottom w:type="dxa" w:w="100"/>
              <w:right w:type="dxa" w:w="150"/>
            </w:tcMar>
          </w:tcPr>
          <w:p>
            <w:r>
              <w:rPr>
                <w:b w:val="false"/>
                <w:bCs w:val="false"/>
                <w:color w:val="1A1A1A"/>
                <w:sz w:val="20"/>
                <w:szCs w:val="20"/>
              </w:rPr>
              <w:t xml:space="preserve">Data Pipeline (SQL Server cleaning &amp; queries)</w:t>
            </w:r>
          </w:p>
        </w:tc>
        <w:tc>
          <w:tcPr>
            <w:tcW w:type="dxa" w:w="1300"/>
            <w:tcMar>
              <w:top w:type="dxa" w:w="100"/>
              <w:left w:type="dxa" w:w="150"/>
              <w:bottom w:type="dxa" w:w="100"/>
              <w:right w:type="dxa" w:w="150"/>
            </w:tcMar>
          </w:tcPr>
          <w:p>
            <w:r>
              <w:rPr>
                <w:b w:val="false"/>
                <w:bCs w:val="false"/>
                <w:color w:val="1A1A1A"/>
                <w:sz w:val="20"/>
                <w:szCs w:val="20"/>
              </w:rPr>
              <w:t xml:space="preserve">8</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8</w:t>
            </w:r>
          </w:p>
        </w:tc>
      </w:tr>
      <w:tr>
        <w:tc>
          <w:tcPr>
            <w:tcW w:type="dxa" w:w="4200"/>
            <w:tcMar>
              <w:top w:type="dxa" w:w="100"/>
              <w:left w:type="dxa" w:w="150"/>
              <w:bottom w:type="dxa" w:w="100"/>
              <w:right w:type="dxa" w:w="150"/>
            </w:tcMar>
          </w:tcPr>
          <w:p>
            <w:r>
              <w:rPr>
                <w:b w:val="false"/>
                <w:bCs w:val="false"/>
                <w:color w:val="1A1A1A"/>
                <w:sz w:val="20"/>
                <w:szCs w:val="20"/>
              </w:rPr>
              <w:t xml:space="preserve">Tableau Dashboards &amp; Filters</w:t>
            </w:r>
          </w:p>
        </w:tc>
        <w:tc>
          <w:tcPr>
            <w:tcW w:type="dxa" w:w="1300"/>
            <w:tcMar>
              <w:top w:type="dxa" w:w="100"/>
              <w:left w:type="dxa" w:w="150"/>
              <w:bottom w:type="dxa" w:w="100"/>
              <w:right w:type="dxa" w:w="150"/>
            </w:tcMar>
          </w:tcPr>
          <w:p>
            <w:r>
              <w:rPr>
                <w:b w:val="false"/>
                <w:bCs w:val="false"/>
                <w:color w:val="1A1A1A"/>
                <w:sz w:val="20"/>
                <w:szCs w:val="20"/>
              </w:rPr>
              <w:t xml:space="preserve">10</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1</w:t>
            </w:r>
          </w:p>
        </w:tc>
        <w:tc>
          <w:tcPr>
            <w:tcW w:type="dxa" w:w="1000"/>
            <w:tcMar>
              <w:top w:type="dxa" w:w="100"/>
              <w:left w:type="dxa" w:w="150"/>
              <w:bottom w:type="dxa" w:w="100"/>
              <w:right w:type="dxa" w:w="150"/>
            </w:tcMar>
          </w:tcPr>
          <w:p>
            <w:r>
              <w:rPr>
                <w:b w:val="false"/>
                <w:bCs w:val="false"/>
                <w:color w:val="1A1A1A"/>
                <w:sz w:val="20"/>
                <w:szCs w:val="20"/>
              </w:rPr>
              <w:t xml:space="preserve">9</w:t>
            </w:r>
          </w:p>
        </w:tc>
      </w:tr>
      <w:tr>
        <w:tc>
          <w:tcPr>
            <w:tcW w:type="dxa" w:w="4200"/>
            <w:tcMar>
              <w:top w:type="dxa" w:w="100"/>
              <w:left w:type="dxa" w:w="150"/>
              <w:bottom w:type="dxa" w:w="100"/>
              <w:right w:type="dxa" w:w="150"/>
            </w:tcMar>
          </w:tcPr>
          <w:p>
            <w:r>
              <w:rPr>
                <w:b w:val="false"/>
                <w:bCs w:val="false"/>
                <w:color w:val="1A1A1A"/>
                <w:sz w:val="20"/>
                <w:szCs w:val="20"/>
              </w:rPr>
              <w:t xml:space="preserve">Flask Web Application Routing</w:t>
            </w:r>
          </w:p>
        </w:tc>
        <w:tc>
          <w:tcPr>
            <w:tcW w:type="dxa" w:w="1300"/>
            <w:tcMar>
              <w:top w:type="dxa" w:w="100"/>
              <w:left w:type="dxa" w:w="150"/>
              <w:bottom w:type="dxa" w:w="100"/>
              <w:right w:type="dxa" w:w="150"/>
            </w:tcMar>
          </w:tcPr>
          <w:p>
            <w:r>
              <w:rPr>
                <w:b w:val="false"/>
                <w:bCs w:val="false"/>
                <w:color w:val="1A1A1A"/>
                <w:sz w:val="20"/>
                <w:szCs w:val="20"/>
              </w:rPr>
              <w:t xml:space="preserve">6</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6</w:t>
            </w:r>
          </w:p>
        </w:tc>
      </w:tr>
      <w:tr>
        <w:tc>
          <w:tcPr>
            <w:tcW w:type="dxa" w:w="4200"/>
            <w:tcMar>
              <w:top w:type="dxa" w:w="100"/>
              <w:left w:type="dxa" w:w="150"/>
              <w:bottom w:type="dxa" w:w="100"/>
              <w:right w:type="dxa" w:w="150"/>
            </w:tcMar>
          </w:tcPr>
          <w:p>
            <w:r>
              <w:rPr>
                <w:b w:val="false"/>
                <w:bCs w:val="false"/>
                <w:color w:val="1A1A1A"/>
                <w:sz w:val="20"/>
                <w:szCs w:val="20"/>
              </w:rPr>
              <w:t xml:space="preserve">Story Navigation</w:t>
            </w:r>
          </w:p>
        </w:tc>
        <w:tc>
          <w:tcPr>
            <w:tcW w:type="dxa" w:w="1300"/>
            <w:tcMar>
              <w:top w:type="dxa" w:w="100"/>
              <w:left w:type="dxa" w:w="150"/>
              <w:bottom w:type="dxa" w:w="100"/>
              <w:right w:type="dxa" w:w="150"/>
            </w:tcMar>
          </w:tcPr>
          <w:p>
            <w:r>
              <w:rPr>
                <w:b w:val="false"/>
                <w:bCs w:val="false"/>
                <w:color w:val="1A1A1A"/>
                <w:sz w:val="20"/>
                <w:szCs w:val="20"/>
              </w:rPr>
              <w:t xml:space="preserve">3</w:t>
            </w:r>
          </w:p>
        </w:tc>
        <w:tc>
          <w:tcPr>
            <w:tcW w:type="dxa" w:w="13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0</w:t>
            </w:r>
          </w:p>
        </w:tc>
        <w:tc>
          <w:tcPr>
            <w:tcW w:type="dxa" w:w="1000"/>
            <w:tcMar>
              <w:top w:type="dxa" w:w="100"/>
              <w:left w:type="dxa" w:w="150"/>
              <w:bottom w:type="dxa" w:w="100"/>
              <w:right w:type="dxa" w:w="150"/>
            </w:tcMar>
          </w:tcPr>
          <w:p>
            <w:r>
              <w:rPr>
                <w:b w:val="false"/>
                <w:bCs w:val="false"/>
                <w:color w:val="1A1A1A"/>
                <w:sz w:val="20"/>
                <w:szCs w:val="20"/>
              </w:rPr>
              <w:t xml:space="preserve">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2026-07-19T16:57:57.250Z</dcterms:created>
  <dcterms:modified xsi:type="dcterms:W3CDTF">2026-07-19T16:57:57.250Z</dcterms:modified>
</cp:coreProperties>
</file>

<file path=docProps/custom.xml><?xml version="1.0" encoding="utf-8"?>
<Properties xmlns="http://schemas.openxmlformats.org/officeDocument/2006/custom-properties" xmlns:vt="http://schemas.openxmlformats.org/officeDocument/2006/docPropsVTypes"/>
</file>