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2"/>
        </w:rPr>
        <w:t>視覺藝術科組會議 — 議程</w:t>
      </w:r>
    </w:p>
    <w:p>
      <w:r>
        <w:rPr>
          <w:b/>
        </w:rPr>
        <w:t>會議日期：</w:t>
      </w:r>
      <w:r>
        <w:t>2026年5月28日（星期三）</w:t>
      </w:r>
    </w:p>
    <w:p>
      <w:r>
        <w:rPr>
          <w:b/>
        </w:rPr>
        <w:t>時間：</w:t>
      </w:r>
      <w:r>
        <w:t>16:00–17:05</w:t>
      </w:r>
    </w:p>
    <w:p>
      <w:r>
        <w:rPr>
          <w:b/>
        </w:rPr>
        <w:t>地點：</w:t>
      </w:r>
      <w:r>
        <w:t>視藝室</w:t>
      </w:r>
    </w:p>
    <w:p>
      <w:r>
        <w:rPr>
          <w:b/>
        </w:rPr>
        <w:t>主席：</w:t>
      </w:r>
      <w:r>
        <w:t>陳主任（視藝科主任）</w:t>
      </w:r>
    </w:p>
    <w:p>
      <w:r>
        <w:rPr>
          <w:b/>
        </w:rPr>
        <w:t>記錄：</w:t>
      </w:r>
      <w:r>
        <w:t>林老師</w:t>
      </w:r>
    </w:p>
    <w:p/>
    <w:p>
      <w:pPr>
        <w:pStyle w:val="Heading2"/>
      </w:pPr>
      <w:r>
        <w:t>議程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編號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議項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預計時間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負責報告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下學期視藝科展覽安排（校庆 cross-media showcase）</w:t>
            </w:r>
          </w:p>
        </w:tc>
        <w:tc>
          <w:tcPr>
            <w:tcW w:type="dxa" w:w="2160"/>
          </w:tcPr>
          <w:p>
            <w:r>
              <w:t>25 分鐘</w:t>
            </w:r>
          </w:p>
        </w:tc>
        <w:tc>
          <w:tcPr>
            <w:tcW w:type="dxa" w:w="2160"/>
          </w:tcPr>
          <w:p>
            <w:r>
              <w:t>陳主任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中四選修課程及 split class 編排</w:t>
            </w:r>
          </w:p>
        </w:tc>
        <w:tc>
          <w:tcPr>
            <w:tcW w:type="dxa" w:w="2160"/>
          </w:tcPr>
          <w:p>
            <w:r>
              <w:t>20 分鐘</w:t>
            </w:r>
          </w:p>
        </w:tc>
        <w:tc>
          <w:tcPr>
            <w:tcW w:type="dxa" w:w="2160"/>
          </w:tcPr>
          <w:p>
            <w:r>
              <w:t>陳主任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AI 工具於評核功課的使用指引（科組補充規定）</w:t>
            </w:r>
          </w:p>
        </w:tc>
        <w:tc>
          <w:tcPr>
            <w:tcW w:type="dxa" w:w="2160"/>
          </w:tcPr>
          <w:p>
            <w:r>
              <w:t>15 分鐘</w:t>
            </w:r>
          </w:p>
        </w:tc>
        <w:tc>
          <w:tcPr>
            <w:tcW w:type="dxa" w:w="2160"/>
          </w:tcPr>
          <w:p>
            <w:r>
              <w:t>陳主任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其他事項</w:t>
            </w:r>
          </w:p>
        </w:tc>
        <w:tc>
          <w:tcPr>
            <w:tcW w:type="dxa" w:w="2160"/>
          </w:tcPr>
          <w:p>
            <w:r>
              <w:t>5 分鐘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會前閱讀</w:t>
      </w:r>
    </w:p>
    <w:p>
      <w:pPr>
        <w:pStyle w:val="ListBullet"/>
      </w:pPr>
      <w:r>
        <w:t>教务处 AI 使用指引 draft（2026年5月版）</w:t>
      </w:r>
    </w:p>
    <w:p>
      <w:pPr>
        <w:pStyle w:val="ListBullet"/>
      </w:pPr>
      <w:r>
        <w:t>上學年展覽材料預算表（參考）</w:t>
      </w:r>
    </w:p>
    <w:p/>
    <w:p>
      <w:pPr>
        <w:pStyle w:val="Heading2"/>
      </w:pPr>
      <w:r>
        <w:t>預期產出</w:t>
      </w:r>
    </w:p>
    <w:p>
      <w:pPr>
        <w:pStyle w:val="ListNumber"/>
      </w:pPr>
      <w:r>
        <w:t>確認展覽主題、三區安排及 submission deadline</w:t>
      </w:r>
    </w:p>
    <w:p>
      <w:pPr>
        <w:pStyle w:val="ListNumber"/>
      </w:pPr>
      <w:r>
        <w:t>確定與 Timetable 組跟進 split class 的時間表</w:t>
      </w:r>
    </w:p>
    <w:p>
      <w:pPr>
        <w:pStyle w:val="ListNumber"/>
      </w:pPr>
      <w:r>
        <w:t>科組 AI declaration form 起草人及下次會議批准流程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