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0"/>
      </w:pPr>
      <w:r>
        <w:rPr>
          <w:b/>
          <w:bCs/>
          <w:color w:val="185FA5"/>
          <w:sz w:val="52"/>
          <w:szCs w:val="52"/>
        </w:rPr>
        <w:t xml:space="preserve">Deep Learning Model Optimisation</w:t>
      </w:r>
    </w:p>
    <w:p>
      <w:pPr>
        <w:spacing w:after="80" w:before="0"/>
      </w:pPr>
      <w:r>
        <w:rPr>
          <w:i/>
          <w:iCs/>
          <w:color w:val="6B6B6B"/>
          <w:sz w:val="24"/>
          <w:szCs w:val="24"/>
        </w:rPr>
        <w:t xml:space="preserve">Short Course Content — Size &amp; Latency Optimisation for Production Deployment</w:t>
      </w:r>
    </w:p>
    <w:p>
      <w:pPr>
        <w:spacing w:after="80" w:before="0"/>
      </w:pPr>
      <w:r>
        <w:rPr>
          <w:color w:val="6B6B6B"/>
          <w:sz w:val="20"/>
          <w:szCs w:val="20"/>
        </w:rPr>
        <w:t xml:space="preserve">Nanyang Polytechnic · School of Information Technology</w:t>
      </w:r>
    </w:p>
    <w:p>
      <w:pPr>
        <w:pBdr>
          <w:bottom w:val="single" w:color="C8C8C8" w:sz="4"/>
        </w:pBdr>
      </w:pPr>
    </w:p>
    <w:p>
      <w:pPr>
        <w:spacing w:after="0" w:before="160"/>
      </w:pPr>
    </w:p>
    <w:p>
      <w:pPr>
        <w:pStyle w:val="Heading2"/>
        <w:spacing w:after="80" w:before="0"/>
      </w:pPr>
      <w:r>
        <w:rPr>
          <w:b/>
          <w:bCs/>
          <w:color w:val="1A1A1A"/>
          <w:sz w:val="28"/>
          <w:szCs w:val="28"/>
        </w:rPr>
        <w:t xml:space="preserve">Module overview</w:t>
      </w:r>
    </w:p>
    <w:p>
      <w:pPr>
        <w:spacing w:after="60" w:before="60"/>
      </w:pPr>
      <w:r>
        <w:rPr>
          <w:color w:val="4B4B4B"/>
          <w:sz w:val="20"/>
          <w:szCs w:val="20"/>
        </w:rPr>
        <w:t xml:space="preserve">This six-session short course bridges the gap between a research-grade trained model and a production inference service. Students apply each technique hands-on in a GPU Colab environment and finish with a benchmarked, deployable CV pipeline. Total contact time: ~6 hours.</w:t>
      </w:r>
    </w:p>
    <w:p>
      <w:pPr>
        <w:spacing w:after="60" w:before="60"/>
      </w:pPr>
      <w:r>
        <w:rPr>
          <w:color w:val="4B4B4B"/>
          <w:sz w:val="20"/>
          <w:szCs w:val="20"/>
        </w:rPr>
        <w:t xml:space="preserve">Prerequisite: familiarity with PyTorch training loops and basic CNN architecture (covered in earlier modules).</w:t>
      </w:r>
    </w:p>
    <w:p>
      <w:pPr>
        <w:spacing w:after="0" w:before="120"/>
      </w:pPr>
    </w:p>
    <w:p>
      <w:pPr>
        <w:spacing w:after="80" w:before="0"/>
      </w:pPr>
      <w:r>
        <w:rPr>
          <w:b/>
          <w:bCs/>
          <w:color w:val="1A1A1A"/>
          <w:sz w:val="22"/>
          <w:szCs w:val="22"/>
        </w:rPr>
        <w:t xml:space="preserve">Session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800"/>
        <w:gridCol w:w="2960"/>
      </w:tblGrid>
      <w:tr>
        <w:trPr>
          <w:tblHeader/>
        </w:trPr>
        <w:tc>
          <w:tcPr>
            <w:tcW w:type="dxa" w:w="400"/>
            <w:shd w:fill="185FA5" w:color="185FA5" w:val="clear"/>
            <w:tcMar>
              <w:top w:type="dxa" w:w="80"/>
              <w:left w:type="dxa" w:w="120"/>
              <w:bottom w:type="dxa" w:w="80"/>
              <w:right w:type="dxa" w:w="120"/>
            </w:tcMar>
          </w:tcPr>
          <w:p>
            <w:r>
              <w:rPr>
                <w:b/>
                <w:bCs/>
                <w:color w:val="FFFFFF"/>
                <w:sz w:val="18"/>
                <w:szCs w:val="18"/>
              </w:rPr>
              <w:t xml:space="preserve">#</w:t>
            </w:r>
          </w:p>
        </w:tc>
        <w:tc>
          <w:tcPr>
            <w:tcW w:type="dxa" w:w="4000"/>
            <w:shd w:fill="185FA5" w:color="185FA5" w:val="clear"/>
            <w:tcMar>
              <w:top w:type="dxa" w:w="80"/>
              <w:left w:type="dxa" w:w="120"/>
              <w:bottom w:type="dxa" w:w="80"/>
              <w:right w:type="dxa" w:w="120"/>
            </w:tcMar>
          </w:tcPr>
          <w:p>
            <w:r>
              <w:rPr>
                <w:b/>
                <w:bCs/>
                <w:color w:val="FFFFFF"/>
                <w:sz w:val="18"/>
                <w:szCs w:val="18"/>
              </w:rPr>
              <w:t xml:space="preserve">Session title</w:t>
            </w:r>
          </w:p>
        </w:tc>
        <w:tc>
          <w:tcPr>
            <w:tcW w:type="dxa" w:w="1800"/>
            <w:shd w:fill="185FA5" w:color="185FA5" w:val="clear"/>
            <w:tcMar>
              <w:top w:type="dxa" w:w="80"/>
              <w:left w:type="dxa" w:w="120"/>
              <w:bottom w:type="dxa" w:w="80"/>
              <w:right w:type="dxa" w:w="120"/>
            </w:tcMar>
          </w:tcPr>
          <w:p>
            <w:r>
              <w:rPr>
                <w:b/>
                <w:bCs/>
                <w:color w:val="FFFFFF"/>
                <w:sz w:val="18"/>
                <w:szCs w:val="18"/>
              </w:rPr>
              <w:t xml:space="preserve">Duration</w:t>
            </w:r>
          </w:p>
        </w:tc>
        <w:tc>
          <w:tcPr>
            <w:tcW w:type="dxa" w:w="1800"/>
            <w:shd w:fill="185FA5" w:color="185FA5" w:val="clear"/>
            <w:tcMar>
              <w:top w:type="dxa" w:w="80"/>
              <w:left w:type="dxa" w:w="120"/>
              <w:bottom w:type="dxa" w:w="80"/>
              <w:right w:type="dxa" w:w="120"/>
            </w:tcMar>
          </w:tcPr>
          <w:p>
            <w:r>
              <w:rPr>
                <w:b/>
                <w:bCs/>
                <w:color w:val="FFFFFF"/>
                <w:sz w:val="18"/>
                <w:szCs w:val="18"/>
              </w:rPr>
              <w:t xml:space="preserve">Key tools</w:t>
            </w:r>
          </w:p>
        </w:tc>
      </w:tr>
      <w:tr>
        <w:tc>
          <w:tcPr>
            <w:tcW w:type="dxa" w:w="400"/>
            <w:shd w:fill="F8F8F8" w:color="F8F8F8" w:val="clear"/>
            <w:tcMar>
              <w:top w:type="dxa" w:w="70"/>
              <w:left w:type="dxa" w:w="120"/>
              <w:bottom w:type="dxa" w:w="70"/>
              <w:right w:type="dxa" w:w="120"/>
            </w:tcMar>
          </w:tcPr>
          <w:p>
            <w:r>
              <w:rPr>
                <w:color w:val="4B4B4B"/>
                <w:sz w:val="18"/>
                <w:szCs w:val="18"/>
              </w:rPr>
              <w:t xml:space="preserve">1</w:t>
            </w:r>
          </w:p>
        </w:tc>
        <w:tc>
          <w:tcPr>
            <w:tcW w:type="dxa" w:w="4000"/>
            <w:shd w:fill="F8F8F8" w:color="F8F8F8" w:val="clear"/>
            <w:tcMar>
              <w:top w:type="dxa" w:w="70"/>
              <w:left w:type="dxa" w:w="120"/>
              <w:bottom w:type="dxa" w:w="70"/>
              <w:right w:type="dxa" w:w="120"/>
            </w:tcMar>
          </w:tcPr>
          <w:p>
            <w:r>
              <w:rPr>
                <w:color w:val="4B4B4B"/>
                <w:sz w:val="18"/>
                <w:szCs w:val="18"/>
              </w:rPr>
              <w:t xml:space="preserve">Why Optimisation Matters in Production</w:t>
            </w:r>
          </w:p>
        </w:tc>
        <w:tc>
          <w:tcPr>
            <w:tcW w:type="dxa" w:w="1800"/>
            <w:shd w:fill="F8F8F8" w:color="F8F8F8" w:val="clear"/>
            <w:tcMar>
              <w:top w:type="dxa" w:w="70"/>
              <w:left w:type="dxa" w:w="120"/>
              <w:bottom w:type="dxa" w:w="70"/>
              <w:right w:type="dxa" w:w="120"/>
            </w:tcMar>
          </w:tcPr>
          <w:p>
            <w:r>
              <w:rPr>
                <w:color w:val="4B4B4B"/>
                <w:sz w:val="18"/>
                <w:szCs w:val="18"/>
              </w:rPr>
              <w:t xml:space="preserve">30 min</w:t>
            </w:r>
          </w:p>
        </w:tc>
        <w:tc>
          <w:tcPr>
            <w:tcW w:type="dxa" w:w="1800"/>
            <w:shd w:fill="F8F8F8" w:color="F8F8F8" w:val="clear"/>
            <w:tcMar>
              <w:top w:type="dxa" w:w="70"/>
              <w:left w:type="dxa" w:w="120"/>
              <w:bottom w:type="dxa" w:w="70"/>
              <w:right w:type="dxa" w:w="120"/>
            </w:tcMar>
          </w:tcPr>
          <w:p>
            <w:r>
              <w:rPr>
                <w:color w:val="4B4B4B"/>
                <w:sz w:val="18"/>
                <w:szCs w:val="18"/>
              </w:rPr>
              <w:t xml:space="preserve">Colab, PyTorch</w:t>
            </w:r>
          </w:p>
        </w:tc>
      </w:tr>
      <w:tr>
        <w:tc>
          <w:tcPr>
            <w:tcW w:type="dxa" w:w="400"/>
            <w:shd w:fill="FFFFFF" w:color="FFFFFF" w:val="clear"/>
            <w:tcMar>
              <w:top w:type="dxa" w:w="70"/>
              <w:left w:type="dxa" w:w="120"/>
              <w:bottom w:type="dxa" w:w="70"/>
              <w:right w:type="dxa" w:w="120"/>
            </w:tcMar>
          </w:tcPr>
          <w:p>
            <w:r>
              <w:rPr>
                <w:color w:val="4B4B4B"/>
                <w:sz w:val="18"/>
                <w:szCs w:val="18"/>
              </w:rPr>
              <w:t xml:space="preserve">2</w:t>
            </w:r>
          </w:p>
        </w:tc>
        <w:tc>
          <w:tcPr>
            <w:tcW w:type="dxa" w:w="4000"/>
            <w:shd w:fill="FFFFFF" w:color="FFFFFF" w:val="clear"/>
            <w:tcMar>
              <w:top w:type="dxa" w:w="70"/>
              <w:left w:type="dxa" w:w="120"/>
              <w:bottom w:type="dxa" w:w="70"/>
              <w:right w:type="dxa" w:w="120"/>
            </w:tcMar>
          </w:tcPr>
          <w:p>
            <w:r>
              <w:rPr>
                <w:color w:val="4B4B4B"/>
                <w:sz w:val="18"/>
                <w:szCs w:val="18"/>
              </w:rPr>
              <w:t xml:space="preserve">Quantisation</w:t>
            </w:r>
          </w:p>
        </w:tc>
        <w:tc>
          <w:tcPr>
            <w:tcW w:type="dxa" w:w="1800"/>
            <w:shd w:fill="FFFFFF" w:color="FFFFFF" w:val="clear"/>
            <w:tcMar>
              <w:top w:type="dxa" w:w="70"/>
              <w:left w:type="dxa" w:w="120"/>
              <w:bottom w:type="dxa" w:w="70"/>
              <w:right w:type="dxa" w:w="120"/>
            </w:tcMar>
          </w:tcPr>
          <w:p>
            <w:r>
              <w:rPr>
                <w:color w:val="4B4B4B"/>
                <w:sz w:val="18"/>
                <w:szCs w:val="18"/>
              </w:rPr>
              <w:t xml:space="preserve">1.5 hr</w:t>
            </w:r>
          </w:p>
        </w:tc>
        <w:tc>
          <w:tcPr>
            <w:tcW w:type="dxa" w:w="1800"/>
            <w:shd w:fill="FFFFFF" w:color="FFFFFF" w:val="clear"/>
            <w:tcMar>
              <w:top w:type="dxa" w:w="70"/>
              <w:left w:type="dxa" w:w="120"/>
              <w:bottom w:type="dxa" w:w="70"/>
              <w:right w:type="dxa" w:w="120"/>
            </w:tcMar>
          </w:tcPr>
          <w:p>
            <w:r>
              <w:rPr>
                <w:color w:val="4B4B4B"/>
                <w:sz w:val="18"/>
                <w:szCs w:val="18"/>
              </w:rPr>
              <w:t xml:space="preserve">ONNX Runtime, ORT Quantisation</w:t>
            </w:r>
          </w:p>
        </w:tc>
      </w:tr>
      <w:tr>
        <w:tc>
          <w:tcPr>
            <w:tcW w:type="dxa" w:w="400"/>
            <w:shd w:fill="F8F8F8" w:color="F8F8F8" w:val="clear"/>
            <w:tcMar>
              <w:top w:type="dxa" w:w="70"/>
              <w:left w:type="dxa" w:w="120"/>
              <w:bottom w:type="dxa" w:w="70"/>
              <w:right w:type="dxa" w:w="120"/>
            </w:tcMar>
          </w:tcPr>
          <w:p>
            <w:r>
              <w:rPr>
                <w:color w:val="4B4B4B"/>
                <w:sz w:val="18"/>
                <w:szCs w:val="18"/>
              </w:rPr>
              <w:t xml:space="preserve">3</w:t>
            </w:r>
          </w:p>
        </w:tc>
        <w:tc>
          <w:tcPr>
            <w:tcW w:type="dxa" w:w="4000"/>
            <w:shd w:fill="F8F8F8" w:color="F8F8F8" w:val="clear"/>
            <w:tcMar>
              <w:top w:type="dxa" w:w="70"/>
              <w:left w:type="dxa" w:w="120"/>
              <w:bottom w:type="dxa" w:w="70"/>
              <w:right w:type="dxa" w:w="120"/>
            </w:tcMar>
          </w:tcPr>
          <w:p>
            <w:r>
              <w:rPr>
                <w:color w:val="4B4B4B"/>
                <w:sz w:val="18"/>
                <w:szCs w:val="18"/>
              </w:rPr>
              <w:t xml:space="preserve">Pruning and Sparsity</w:t>
            </w:r>
          </w:p>
        </w:tc>
        <w:tc>
          <w:tcPr>
            <w:tcW w:type="dxa" w:w="1800"/>
            <w:shd w:fill="F8F8F8" w:color="F8F8F8" w:val="clear"/>
            <w:tcMar>
              <w:top w:type="dxa" w:w="70"/>
              <w:left w:type="dxa" w:w="120"/>
              <w:bottom w:type="dxa" w:w="70"/>
              <w:right w:type="dxa" w:w="120"/>
            </w:tcMar>
          </w:tcPr>
          <w:p>
            <w:r>
              <w:rPr>
                <w:color w:val="4B4B4B"/>
                <w:sz w:val="18"/>
                <w:szCs w:val="18"/>
              </w:rPr>
              <w:t xml:space="preserve">1 hr</w:t>
            </w:r>
          </w:p>
        </w:tc>
        <w:tc>
          <w:tcPr>
            <w:tcW w:type="dxa" w:w="1800"/>
            <w:shd w:fill="F8F8F8" w:color="F8F8F8" w:val="clear"/>
            <w:tcMar>
              <w:top w:type="dxa" w:w="70"/>
              <w:left w:type="dxa" w:w="120"/>
              <w:bottom w:type="dxa" w:w="70"/>
              <w:right w:type="dxa" w:w="120"/>
            </w:tcMar>
          </w:tcPr>
          <w:p>
            <w:r>
              <w:rPr>
                <w:color w:val="4B4B4B"/>
                <w:sz w:val="18"/>
                <w:szCs w:val="18"/>
              </w:rPr>
              <w:t xml:space="preserve">PyTorch Pruning API</w:t>
            </w:r>
          </w:p>
        </w:tc>
      </w:tr>
      <w:tr>
        <w:tc>
          <w:tcPr>
            <w:tcW w:type="dxa" w:w="400"/>
            <w:shd w:fill="FFFFFF" w:color="FFFFFF" w:val="clear"/>
            <w:tcMar>
              <w:top w:type="dxa" w:w="70"/>
              <w:left w:type="dxa" w:w="120"/>
              <w:bottom w:type="dxa" w:w="70"/>
              <w:right w:type="dxa" w:w="120"/>
            </w:tcMar>
          </w:tcPr>
          <w:p>
            <w:r>
              <w:rPr>
                <w:color w:val="4B4B4B"/>
                <w:sz w:val="18"/>
                <w:szCs w:val="18"/>
              </w:rPr>
              <w:t xml:space="preserve">4</w:t>
            </w:r>
          </w:p>
        </w:tc>
        <w:tc>
          <w:tcPr>
            <w:tcW w:type="dxa" w:w="4000"/>
            <w:shd w:fill="FFFFFF" w:color="FFFFFF" w:val="clear"/>
            <w:tcMar>
              <w:top w:type="dxa" w:w="70"/>
              <w:left w:type="dxa" w:w="120"/>
              <w:bottom w:type="dxa" w:w="70"/>
              <w:right w:type="dxa" w:w="120"/>
            </w:tcMar>
          </w:tcPr>
          <w:p>
            <w:r>
              <w:rPr>
                <w:color w:val="4B4B4B"/>
                <w:sz w:val="18"/>
                <w:szCs w:val="18"/>
              </w:rPr>
              <w:t xml:space="preserve">Knowledge Distillation</w:t>
            </w:r>
          </w:p>
        </w:tc>
        <w:tc>
          <w:tcPr>
            <w:tcW w:type="dxa" w:w="1800"/>
            <w:shd w:fill="FFFFFF" w:color="FFFFFF" w:val="clear"/>
            <w:tcMar>
              <w:top w:type="dxa" w:w="70"/>
              <w:left w:type="dxa" w:w="120"/>
              <w:bottom w:type="dxa" w:w="70"/>
              <w:right w:type="dxa" w:w="120"/>
            </w:tcMar>
          </w:tcPr>
          <w:p>
            <w:r>
              <w:rPr>
                <w:color w:val="4B4B4B"/>
                <w:sz w:val="18"/>
                <w:szCs w:val="18"/>
              </w:rPr>
              <w:t xml:space="preserve">1 hr</w:t>
            </w:r>
          </w:p>
        </w:tc>
        <w:tc>
          <w:tcPr>
            <w:tcW w:type="dxa" w:w="1800"/>
            <w:shd w:fill="FFFFFF" w:color="FFFFFF" w:val="clear"/>
            <w:tcMar>
              <w:top w:type="dxa" w:w="70"/>
              <w:left w:type="dxa" w:w="120"/>
              <w:bottom w:type="dxa" w:w="70"/>
              <w:right w:type="dxa" w:w="120"/>
            </w:tcMar>
          </w:tcPr>
          <w:p>
            <w:r>
              <w:rPr>
                <w:color w:val="4B4B4B"/>
                <w:sz w:val="18"/>
                <w:szCs w:val="18"/>
              </w:rPr>
              <w:t xml:space="preserve">timm, distillation loop</w:t>
            </w:r>
          </w:p>
        </w:tc>
      </w:tr>
      <w:tr>
        <w:tc>
          <w:tcPr>
            <w:tcW w:type="dxa" w:w="400"/>
            <w:shd w:fill="F8F8F8" w:color="F8F8F8" w:val="clear"/>
            <w:tcMar>
              <w:top w:type="dxa" w:w="70"/>
              <w:left w:type="dxa" w:w="120"/>
              <w:bottom w:type="dxa" w:w="70"/>
              <w:right w:type="dxa" w:w="120"/>
            </w:tcMar>
          </w:tcPr>
          <w:p>
            <w:r>
              <w:rPr>
                <w:color w:val="4B4B4B"/>
                <w:sz w:val="18"/>
                <w:szCs w:val="18"/>
              </w:rPr>
              <w:t xml:space="preserve">5</w:t>
            </w:r>
          </w:p>
        </w:tc>
        <w:tc>
          <w:tcPr>
            <w:tcW w:type="dxa" w:w="4000"/>
            <w:shd w:fill="F8F8F8" w:color="F8F8F8" w:val="clear"/>
            <w:tcMar>
              <w:top w:type="dxa" w:w="70"/>
              <w:left w:type="dxa" w:w="120"/>
              <w:bottom w:type="dxa" w:w="70"/>
              <w:right w:type="dxa" w:w="120"/>
            </w:tcMar>
          </w:tcPr>
          <w:p>
            <w:r>
              <w:rPr>
                <w:color w:val="4B4B4B"/>
                <w:sz w:val="18"/>
                <w:szCs w:val="18"/>
              </w:rPr>
              <w:t xml:space="preserve">Hardware-Aware Deployment</w:t>
            </w:r>
          </w:p>
        </w:tc>
        <w:tc>
          <w:tcPr>
            <w:tcW w:type="dxa" w:w="1800"/>
            <w:shd w:fill="F8F8F8" w:color="F8F8F8" w:val="clear"/>
            <w:tcMar>
              <w:top w:type="dxa" w:w="70"/>
              <w:left w:type="dxa" w:w="120"/>
              <w:bottom w:type="dxa" w:w="70"/>
              <w:right w:type="dxa" w:w="120"/>
            </w:tcMar>
          </w:tcPr>
          <w:p>
            <w:r>
              <w:rPr>
                <w:color w:val="4B4B4B"/>
                <w:sz w:val="18"/>
                <w:szCs w:val="18"/>
              </w:rPr>
              <w:t xml:space="preserve">1 hr</w:t>
            </w:r>
          </w:p>
        </w:tc>
        <w:tc>
          <w:tcPr>
            <w:tcW w:type="dxa" w:w="1800"/>
            <w:shd w:fill="F8F8F8" w:color="F8F8F8" w:val="clear"/>
            <w:tcMar>
              <w:top w:type="dxa" w:w="70"/>
              <w:left w:type="dxa" w:w="120"/>
              <w:bottom w:type="dxa" w:w="70"/>
              <w:right w:type="dxa" w:w="120"/>
            </w:tcMar>
          </w:tcPr>
          <w:p>
            <w:r>
              <w:rPr>
                <w:color w:val="4B4B4B"/>
                <w:sz w:val="18"/>
                <w:szCs w:val="18"/>
              </w:rPr>
              <w:t xml:space="preserve">TensorRT, Triton</w:t>
            </w:r>
          </w:p>
        </w:tc>
      </w:tr>
      <w:tr>
        <w:tc>
          <w:tcPr>
            <w:tcW w:type="dxa" w:w="400"/>
            <w:shd w:fill="FFFFFF" w:color="FFFFFF" w:val="clear"/>
            <w:tcMar>
              <w:top w:type="dxa" w:w="70"/>
              <w:left w:type="dxa" w:w="120"/>
              <w:bottom w:type="dxa" w:w="70"/>
              <w:right w:type="dxa" w:w="120"/>
            </w:tcMar>
          </w:tcPr>
          <w:p>
            <w:r>
              <w:rPr>
                <w:color w:val="4B4B4B"/>
                <w:sz w:val="18"/>
                <w:szCs w:val="18"/>
              </w:rPr>
              <w:t xml:space="preserve">6</w:t>
            </w:r>
          </w:p>
        </w:tc>
        <w:tc>
          <w:tcPr>
            <w:tcW w:type="dxa" w:w="4000"/>
            <w:shd w:fill="FFFFFF" w:color="FFFFFF" w:val="clear"/>
            <w:tcMar>
              <w:top w:type="dxa" w:w="70"/>
              <w:left w:type="dxa" w:w="120"/>
              <w:bottom w:type="dxa" w:w="70"/>
              <w:right w:type="dxa" w:w="120"/>
            </w:tcMar>
          </w:tcPr>
          <w:p>
            <w:r>
              <w:rPr>
                <w:color w:val="4B4B4B"/>
                <w:sz w:val="18"/>
                <w:szCs w:val="18"/>
              </w:rPr>
              <w:t xml:space="preserve">Benchmarking and the Accuracy–Latency Trade-off</w:t>
            </w:r>
          </w:p>
        </w:tc>
        <w:tc>
          <w:tcPr>
            <w:tcW w:type="dxa" w:w="1800"/>
            <w:shd w:fill="FFFFFF" w:color="FFFFFF" w:val="clear"/>
            <w:tcMar>
              <w:top w:type="dxa" w:w="70"/>
              <w:left w:type="dxa" w:w="120"/>
              <w:bottom w:type="dxa" w:w="70"/>
              <w:right w:type="dxa" w:w="120"/>
            </w:tcMar>
          </w:tcPr>
          <w:p>
            <w:r>
              <w:rPr>
                <w:color w:val="4B4B4B"/>
                <w:sz w:val="18"/>
                <w:szCs w:val="18"/>
              </w:rPr>
              <w:t xml:space="preserve">45 min</w:t>
            </w:r>
          </w:p>
        </w:tc>
        <w:tc>
          <w:tcPr>
            <w:tcW w:type="dxa" w:w="1800"/>
            <w:shd w:fill="FFFFFF" w:color="FFFFFF" w:val="clear"/>
            <w:tcMar>
              <w:top w:type="dxa" w:w="70"/>
              <w:left w:type="dxa" w:w="120"/>
              <w:bottom w:type="dxa" w:w="70"/>
              <w:right w:type="dxa" w:w="120"/>
            </w:tcMar>
          </w:tcPr>
          <w:p>
            <w:r>
              <w:rPr>
                <w:color w:val="4B4B4B"/>
                <w:sz w:val="18"/>
                <w:szCs w:val="18"/>
              </w:rPr>
              <w:t xml:space="preserve">timm, Matplotlib</w:t>
            </w:r>
          </w:p>
        </w:tc>
      </w:tr>
    </w:tbl>
    <w:p>
      <w:pPr>
        <w:spacing w:after="0" w:before="240"/>
      </w:pPr>
    </w:p>
    <w:p>
      <w:pPr>
        <w:pBdr>
          <w:bottom w:val="single" w:color="C8C8C8" w:sz="4"/>
        </w:pBdr>
      </w:pPr>
    </w:p>
    <w:p>
      <w:pPr>
        <w:spacing w:after="0" w:before="80"/>
      </w:pPr>
    </w:p>
    <w:p>
      <w:pPr>
        <w:pStyle w:val="Heading2"/>
        <w:spacing w:after="60" w:before="320"/>
      </w:pPr>
      <w:r>
        <w:rPr>
          <w:b/>
          <w:bCs/>
          <w:color w:val="185FA5"/>
          <w:sz w:val="26"/>
          <w:szCs w:val="26"/>
        </w:rPr>
        <w:t xml:space="preserve">1. </w:t>
      </w:r>
      <w:r>
        <w:rPr>
          <w:b/>
          <w:bCs/>
          <w:color w:val="1A1A1A"/>
          <w:sz w:val="26"/>
          <w:szCs w:val="26"/>
        </w:rPr>
        <w:t xml:space="preserve">Why Optimisation Matters in Production</w:t>
      </w:r>
      <w:r>
        <w:rPr>
          <w:i/>
          <w:iCs/>
          <w:color w:val="6B6B6B"/>
          <w:sz w:val="22"/>
          <w:szCs w:val="22"/>
        </w:rPr>
        <w:t xml:space="preserve">   30 min</w:t>
      </w:r>
    </w:p>
    <w:p>
      <w:pPr>
        <w:spacing w:after="60" w:before="60"/>
      </w:pPr>
      <w:r>
        <w:rPr>
          <w:color w:val="4B4B4B"/>
          <w:sz w:val="20"/>
          <w:szCs w:val="20"/>
        </w:rPr>
        <w:t xml:space="preserve">A model that achieves state-of-the-art accuracy in a paper runs unconstrained on 8× A100s with no latency SLA. Production adds constraints a notebook never has to satisfy — this session maps those constraints and introduces the engineering pipeline students will build across Sessions 2–6.</w:t>
      </w:r>
    </w:p>
    <w:p>
      <w:pPr>
        <w:spacing w:after="0" w:before="100"/>
      </w:pPr>
    </w:p>
    <w:tbl>
      <w:tblPr>
        <w:tblW w:type="dxa" w:w="9360"/>
        <w:tblBorders>
          <w:top w:val="single" w:color="C8C8C8" w:sz="4"/>
          <w:left w:val="none"/>
          <w:bottom w:val="single" w:color="C8C8C8" w:sz="4"/>
          <w:right w:val="none"/>
          <w:insideH w:val="single" w:color="auto" w:sz="4"/>
          <w:insideV w:val="single" w:color="auto" w:sz="4"/>
        </w:tblBorders>
      </w:tblPr>
      <w:tblGrid>
        <w:gridCol w:w="3100"/>
        <w:gridCol w:w="3100"/>
        <w:gridCol w:w="3100"/>
      </w:tblGrid>
      <w:tr>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THE GAP  </w:t>
            </w:r>
          </w:p>
          <w:p>
            <w:pPr>
              <w:spacing w:after="60" w:before="0"/>
            </w:pPr>
            <w:r>
              <w:rPr>
                <w:b/>
                <w:bCs/>
                <w:color w:val="1A1A1A"/>
                <w:sz w:val="22"/>
                <w:szCs w:val="22"/>
              </w:rPr>
              <w:t xml:space="preserve">Research vs production inference cost</w:t>
            </w:r>
          </w:p>
          <w:p>
            <w:pPr>
              <w:spacing w:after="60" w:before="60"/>
            </w:pPr>
            <w:r>
              <w:rPr>
                <w:color w:val="4B4B4B"/>
                <w:sz w:val="20"/>
                <w:szCs w:val="20"/>
              </w:rPr>
              <w:t xml:space="preserve">A paper result runs unconstrained on 8× A100s with no latency SLA. Production requires sub-10ms p95 latency, 4 GB memory budget, and 10K RPS throughput on a single T4 GPU.</w:t>
            </w:r>
          </w:p>
          <w:p>
            <w:pPr>
              <w:spacing w:after="0" w:before="40"/>
            </w:pPr>
            <w:r>
              <w:rPr>
                <w:color w:val="185FA5"/>
                <w:sz w:val="16"/>
                <w:szCs w:val="16"/>
                <w:shd w:fill="E6F1FB" w:color="E6F1FB" w:val="clear"/>
              </w:rPr>
              <w:t xml:space="preserve">  motivation  </w:t>
            </w:r>
            <w:r>
              <w:rPr>
                <w:sz w:val="16"/>
                <w:szCs w:val="16"/>
              </w:rPr>
              <w:t xml:space="preserve">  </w:t>
            </w:r>
            <w:r>
              <w:rPr>
                <w:color w:val="534AB7"/>
                <w:sz w:val="16"/>
                <w:szCs w:val="16"/>
                <w:shd w:fill="EEEDFE" w:color="EEEDFE" w:val="clear"/>
              </w:rPr>
              <w:t xml:space="preserve">  systems  </w:t>
            </w:r>
            <w:r>
              <w:rPr>
                <w:sz w:val="16"/>
                <w:szCs w:val="16"/>
              </w:rPr>
              <w:t xml:space="preserve">  </w:t>
            </w:r>
            <w:r>
              <w:rPr>
                <w:color w:val="0F6E56"/>
                <w:sz w:val="16"/>
                <w:szCs w:val="16"/>
                <w:shd w:fill="E1F5EE" w:color="E1F5EE" w:val="clear"/>
              </w:rPr>
              <w:t xml:space="preserve">  real-world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COST AXES  </w:t>
            </w:r>
          </w:p>
          <w:p>
            <w:pPr>
              <w:spacing w:after="60" w:before="0"/>
            </w:pPr>
            <w:r>
              <w:rPr>
                <w:b/>
                <w:bCs/>
                <w:color w:val="1A1A1A"/>
                <w:sz w:val="22"/>
                <w:szCs w:val="22"/>
              </w:rPr>
              <w:t xml:space="preserve">Latency, memory, and energy budget</w:t>
            </w:r>
          </w:p>
          <w:p>
            <w:pPr>
              <w:spacing w:after="60" w:before="60"/>
            </w:pPr>
            <w:r>
              <w:rPr>
                <w:color w:val="4B4B4B"/>
                <w:sz w:val="20"/>
                <w:szCs w:val="20"/>
              </w:rPr>
              <w:t xml:space="preserve">Production deployments are bounded by three orthogonal constraints: inference latency (user-facing SLA), memory footprint (GPU/device RAM), and energy (edge battery or cloud $/query). Optimisation must be evaluated on all three, not accuracy alone.</w:t>
            </w:r>
          </w:p>
          <w:p>
            <w:pPr>
              <w:spacing w:after="0" w:before="40"/>
            </w:pPr>
            <w:r>
              <w:rPr>
                <w:color w:val="185FA5"/>
                <w:sz w:val="16"/>
                <w:szCs w:val="16"/>
                <w:shd w:fill="E6F1FB" w:color="E6F1FB" w:val="clear"/>
              </w:rPr>
              <w:t xml:space="preserve">  latency  </w:t>
            </w:r>
            <w:r>
              <w:rPr>
                <w:sz w:val="16"/>
                <w:szCs w:val="16"/>
              </w:rPr>
              <w:t xml:space="preserve">  </w:t>
            </w:r>
            <w:r>
              <w:rPr>
                <w:color w:val="185FA5"/>
                <w:sz w:val="16"/>
                <w:szCs w:val="16"/>
                <w:shd w:fill="E6F1FB" w:color="E6F1FB" w:val="clear"/>
              </w:rPr>
              <w:t xml:space="preserve">  memory  </w:t>
            </w:r>
            <w:r>
              <w:rPr>
                <w:sz w:val="16"/>
                <w:szCs w:val="16"/>
              </w:rPr>
              <w:t xml:space="preserve">  </w:t>
            </w:r>
            <w:r>
              <w:rPr>
                <w:color w:val="854F0B"/>
                <w:sz w:val="16"/>
                <w:szCs w:val="16"/>
                <w:shd w:fill="FAEEDA" w:color="FAEEDA" w:val="clear"/>
              </w:rPr>
              <w:t xml:space="preserve">  energy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PIPELINE  </w:t>
            </w:r>
          </w:p>
          <w:p>
            <w:pPr>
              <w:spacing w:after="60" w:before="0"/>
            </w:pPr>
            <w:r>
              <w:rPr>
                <w:b/>
                <w:bCs/>
                <w:color w:val="1A1A1A"/>
                <w:sz w:val="22"/>
                <w:szCs w:val="22"/>
              </w:rPr>
              <w:t xml:space="preserve">The optimisation engineering pipeline</w:t>
            </w:r>
          </w:p>
          <w:p>
            <w:pPr>
              <w:spacing w:after="60" w:before="60"/>
            </w:pPr>
            <w:r>
              <w:rPr>
                <w:color w:val="4B4B4B"/>
                <w:sz w:val="20"/>
                <w:szCs w:val="20"/>
              </w:rPr>
              <w:t xml:space="preserve">The canonical production pipeline is: train → export (ONNX) → compress (quantise/prune/distil) → compile (TensorRT/OpenVINO) → benchmark → serve (Triton/ORT REST). Each stage has tooling, failure modes, and accuracy checkpoints.</w:t>
            </w:r>
          </w:p>
          <w:p>
            <w:pPr>
              <w:spacing w:after="0" w:before="40"/>
            </w:pPr>
            <w:r>
              <w:rPr>
                <w:color w:val="0F6E56"/>
                <w:sz w:val="16"/>
                <w:szCs w:val="16"/>
                <w:shd w:fill="E1F5EE" w:color="E1F5EE" w:val="clear"/>
              </w:rPr>
              <w:t xml:space="preserve">  ONNX  </w:t>
            </w:r>
            <w:r>
              <w:rPr>
                <w:sz w:val="16"/>
                <w:szCs w:val="16"/>
              </w:rPr>
              <w:t xml:space="preserve">  </w:t>
            </w:r>
            <w:r>
              <w:rPr>
                <w:color w:val="185FA5"/>
                <w:sz w:val="16"/>
                <w:szCs w:val="16"/>
                <w:shd w:fill="E6F1FB" w:color="E6F1FB" w:val="clear"/>
              </w:rPr>
              <w:t xml:space="preserve">  pipeline  </w:t>
            </w:r>
            <w:r>
              <w:rPr>
                <w:sz w:val="16"/>
                <w:szCs w:val="16"/>
              </w:rPr>
              <w:t xml:space="preserve">  </w:t>
            </w:r>
            <w:r>
              <w:rPr>
                <w:color w:val="534AB7"/>
                <w:sz w:val="16"/>
                <w:szCs w:val="16"/>
                <w:shd w:fill="EEEDFE" w:color="EEEDFE" w:val="clear"/>
              </w:rPr>
              <w:t xml:space="preserve">  TensorRT  </w:t>
            </w:r>
          </w:p>
        </w:tc>
      </w:tr>
    </w:tbl>
    <w:p>
      <w:pPr>
        <w:spacing w:after="0" w:before="120"/>
      </w:pPr>
    </w:p>
    <w:p>
      <w:pPr>
        <w:spacing w:after="60" w:before="0"/>
      </w:pPr>
      <w:r>
        <w:rPr>
          <w:b/>
          <w:bCs/>
          <w:color w:val="1A1A1A"/>
          <w:sz w:val="20"/>
          <w:szCs w:val="20"/>
        </w:rPr>
        <w:t xml:space="preserve">Learning outcomes</w:t>
      </w:r>
    </w:p>
    <w:p>
      <w:pPr>
        <w:pStyle w:val="ListParagraph"/>
        <w:numPr>
          <w:ilvl w:val="0"/>
          <w:numId w:val="2"/>
        </w:numPr>
        <w:spacing w:after="50" w:before="50"/>
      </w:pPr>
      <w:r>
        <w:rPr>
          <w:color w:val="4B4B4B"/>
          <w:sz w:val="20"/>
          <w:szCs w:val="20"/>
        </w:rPr>
        <w:t xml:space="preserve">Explain the three cost axes (latency, memory, energy) and why they diverge from training metrics.</w:t>
      </w:r>
    </w:p>
    <w:p>
      <w:pPr>
        <w:pStyle w:val="ListParagraph"/>
        <w:numPr>
          <w:ilvl w:val="0"/>
          <w:numId w:val="2"/>
        </w:numPr>
        <w:spacing w:after="50" w:before="50"/>
      </w:pPr>
      <w:r>
        <w:rPr>
          <w:color w:val="4B4B4B"/>
          <w:sz w:val="20"/>
          <w:szCs w:val="20"/>
        </w:rPr>
        <w:t xml:space="preserve">Sketch the end-to-end optimisation pipeline from ONNX export to serving.</w:t>
      </w:r>
    </w:p>
    <w:p>
      <w:pPr>
        <w:pStyle w:val="ListParagraph"/>
        <w:numPr>
          <w:ilvl w:val="0"/>
          <w:numId w:val="2"/>
        </w:numPr>
        <w:spacing w:after="50" w:before="50"/>
      </w:pPr>
      <w:r>
        <w:rPr>
          <w:color w:val="4B4B4B"/>
          <w:sz w:val="20"/>
          <w:szCs w:val="20"/>
        </w:rPr>
        <w:t xml:space="preserve">Identify the most constraining resource for a given deployment scenario (edge vs cloud vs batch).</w:t>
      </w:r>
    </w:p>
    <w:p>
      <w:pPr>
        <w:spacing w:after="0" w:before="240"/>
      </w:pPr>
    </w:p>
    <w:p>
      <w:pPr>
        <w:pBdr>
          <w:bottom w:val="single" w:color="C8C8C8" w:sz="4"/>
        </w:pBdr>
      </w:pPr>
    </w:p>
    <w:p>
      <w:pPr>
        <w:spacing w:after="0" w:before="80"/>
      </w:pPr>
    </w:p>
    <w:p>
      <w:pPr>
        <w:pStyle w:val="Heading2"/>
        <w:spacing w:after="60" w:before="320"/>
      </w:pPr>
      <w:r>
        <w:rPr>
          <w:b/>
          <w:bCs/>
          <w:color w:val="185FA5"/>
          <w:sz w:val="26"/>
          <w:szCs w:val="26"/>
        </w:rPr>
        <w:t xml:space="preserve">2. </w:t>
      </w:r>
      <w:r>
        <w:rPr>
          <w:b/>
          <w:bCs/>
          <w:color w:val="1A1A1A"/>
          <w:sz w:val="26"/>
          <w:szCs w:val="26"/>
        </w:rPr>
        <w:t xml:space="preserve">Quantisation</w:t>
      </w:r>
      <w:r>
        <w:rPr>
          <w:i/>
          <w:iCs/>
          <w:color w:val="6B6B6B"/>
          <w:sz w:val="22"/>
          <w:szCs w:val="22"/>
        </w:rPr>
        <w:t xml:space="preserve">   1.5 hr</w:t>
      </w:r>
    </w:p>
    <w:p>
      <w:pPr>
        <w:spacing w:after="60" w:before="60"/>
      </w:pPr>
      <w:r>
        <w:rPr>
          <w:color w:val="4B4B4B"/>
          <w:sz w:val="20"/>
          <w:szCs w:val="20"/>
        </w:rPr>
        <w:t xml:space="preserve">Quantisation is the highest-ROI compression technique for most CNN and Transformer models, reducing model size by 2–4× and inference latency by 1.5–3× with acceptable accuracy loss when applied correctly. This session covers both post-training (PTQ) and quantisation-aware training (QAT), and introduces the mixed-precision W4A8 paradigm emerging in LLM deployment.</w:t>
      </w:r>
    </w:p>
    <w:p>
      <w:pPr>
        <w:spacing w:after="0" w:before="100"/>
      </w:pPr>
    </w:p>
    <w:tbl>
      <w:tblPr>
        <w:tblW w:type="dxa" w:w="9360"/>
        <w:tblBorders>
          <w:top w:val="single" w:color="C8C8C8" w:sz="4"/>
          <w:left w:val="none"/>
          <w:bottom w:val="single" w:color="C8C8C8" w:sz="4"/>
          <w:right w:val="none"/>
          <w:insideH w:val="single" w:color="auto" w:sz="4"/>
          <w:insideV w:val="single" w:color="auto" w:sz="4"/>
        </w:tblBorders>
      </w:tblPr>
      <w:tblGrid>
        <w:gridCol w:w="3100"/>
        <w:gridCol w:w="3100"/>
        <w:gridCol w:w="3100"/>
      </w:tblGrid>
      <w:tr>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PTQ  </w:t>
            </w:r>
          </w:p>
          <w:p>
            <w:pPr>
              <w:spacing w:after="60" w:before="0"/>
            </w:pPr>
            <w:r>
              <w:rPr>
                <w:b/>
                <w:bCs/>
                <w:color w:val="1A1A1A"/>
                <w:sz w:val="22"/>
                <w:szCs w:val="22"/>
              </w:rPr>
              <w:t xml:space="preserve">Post-training quantisation: no retraining</w:t>
            </w:r>
          </w:p>
          <w:p>
            <w:pPr>
              <w:spacing w:after="60" w:before="60"/>
            </w:pPr>
            <w:r>
              <w:rPr>
                <w:color w:val="4B4B4B"/>
                <w:sz w:val="20"/>
                <w:szCs w:val="20"/>
              </w:rPr>
              <w:t xml:space="preserve">PTQ converts FP32 weights and activations to INT8 (or INT4) after training using a small calibration dataset to compute activation ranges. GPTQ (Frantar et al., 2022) and AWQ (Lin et al., 2023) show near-zero accuracy loss at W4 for large language models.</w:t>
            </w:r>
          </w:p>
          <w:p>
            <w:pPr>
              <w:spacing w:after="0" w:before="40"/>
            </w:pPr>
            <w:r>
              <w:rPr>
                <w:color w:val="185FA5"/>
                <w:sz w:val="16"/>
                <w:szCs w:val="16"/>
                <w:shd w:fill="E6F1FB" w:color="E6F1FB" w:val="clear"/>
              </w:rPr>
              <w:t xml:space="preserve">  INT8  </w:t>
            </w:r>
            <w:r>
              <w:rPr>
                <w:sz w:val="16"/>
                <w:szCs w:val="16"/>
              </w:rPr>
              <w:t xml:space="preserve">  </w:t>
            </w:r>
            <w:r>
              <w:rPr>
                <w:color w:val="0F6E56"/>
                <w:sz w:val="16"/>
                <w:szCs w:val="16"/>
                <w:shd w:fill="E1F5EE" w:color="E1F5EE" w:val="clear"/>
              </w:rPr>
              <w:t xml:space="preserve">  calibration  </w:t>
            </w:r>
            <w:r>
              <w:rPr>
                <w:sz w:val="16"/>
                <w:szCs w:val="16"/>
              </w:rPr>
              <w:t xml:space="preserve">  </w:t>
            </w:r>
            <w:r>
              <w:rPr>
                <w:color w:val="534AB7"/>
                <w:sz w:val="16"/>
                <w:szCs w:val="16"/>
                <w:shd w:fill="EEEDFE" w:color="EEEDFE" w:val="clear"/>
              </w:rPr>
              <w:t xml:space="preserve">  GPTQ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QAT  </w:t>
            </w:r>
          </w:p>
          <w:p>
            <w:pPr>
              <w:spacing w:after="60" w:before="0"/>
            </w:pPr>
            <w:r>
              <w:rPr>
                <w:b/>
                <w:bCs/>
                <w:color w:val="1A1A1A"/>
                <w:sz w:val="22"/>
                <w:szCs w:val="22"/>
              </w:rPr>
              <w:t xml:space="preserve">Quantisation-aware training: accuracy recovery</w:t>
            </w:r>
          </w:p>
          <w:p>
            <w:pPr>
              <w:spacing w:after="60" w:before="60"/>
            </w:pPr>
            <w:r>
              <w:rPr>
                <w:color w:val="4B4B4B"/>
                <w:sz w:val="20"/>
                <w:szCs w:val="20"/>
              </w:rPr>
              <w:t xml:space="preserve">QAT inserts fake quantisation nodes during fine-tuning so the model learns to tolerate quantisation error. Required when PTQ accuracy loss exceeds the deployment SLA — typical threshold is &gt;1% top-1 accuracy drop on CNNs.</w:t>
            </w:r>
          </w:p>
          <w:p>
            <w:pPr>
              <w:spacing w:after="0" w:before="40"/>
            </w:pPr>
            <w:r>
              <w:rPr>
                <w:color w:val="534AB7"/>
                <w:sz w:val="16"/>
                <w:szCs w:val="16"/>
                <w:shd w:fill="EEEDFE" w:color="EEEDFE" w:val="clear"/>
              </w:rPr>
              <w:t xml:space="preserve">  QAT  </w:t>
            </w:r>
            <w:r>
              <w:rPr>
                <w:sz w:val="16"/>
                <w:szCs w:val="16"/>
              </w:rPr>
              <w:t xml:space="preserve">  </w:t>
            </w:r>
            <w:r>
              <w:rPr>
                <w:color w:val="185FA5"/>
                <w:sz w:val="16"/>
                <w:szCs w:val="16"/>
                <w:shd w:fill="E6F1FB" w:color="E6F1FB" w:val="clear"/>
              </w:rPr>
              <w:t xml:space="preserve">  FP16  </w:t>
            </w:r>
            <w:r>
              <w:rPr>
                <w:sz w:val="16"/>
                <w:szCs w:val="16"/>
              </w:rPr>
              <w:t xml:space="preserve">  </w:t>
            </w:r>
            <w:r>
              <w:rPr>
                <w:color w:val="0F6E56"/>
                <w:sz w:val="16"/>
                <w:szCs w:val="16"/>
                <w:shd w:fill="E1F5EE" w:color="E1F5EE" w:val="clear"/>
              </w:rPr>
              <w:t xml:space="preserve">  fine-tune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W4A8  </w:t>
            </w:r>
          </w:p>
          <w:p>
            <w:pPr>
              <w:spacing w:after="60" w:before="0"/>
            </w:pPr>
            <w:r>
              <w:rPr>
                <w:b/>
                <w:bCs/>
                <w:color w:val="1A1A1A"/>
                <w:sz w:val="22"/>
                <w:szCs w:val="22"/>
              </w:rPr>
              <w:t xml:space="preserve">Mixed-precision: weights vs activations</w:t>
            </w:r>
          </w:p>
          <w:p>
            <w:pPr>
              <w:spacing w:after="60" w:before="60"/>
            </w:pPr>
            <w:r>
              <w:rPr>
                <w:color w:val="4B4B4B"/>
                <w:sz w:val="20"/>
                <w:szCs w:val="20"/>
              </w:rPr>
              <w:t xml:space="preserve">Recent work decouples weight and activation precision. W4A8 (4-bit weights, 8-bit activations) achieves 2× model size reduction while keeping runtime compute in INT8, offering the best size-latency-accuracy trade-off for edge LLM deployment.</w:t>
            </w:r>
          </w:p>
          <w:p>
            <w:pPr>
              <w:spacing w:after="0" w:before="40"/>
            </w:pPr>
            <w:r>
              <w:rPr>
                <w:color w:val="854F0B"/>
                <w:sz w:val="16"/>
                <w:szCs w:val="16"/>
                <w:shd w:fill="FAEEDA" w:color="FAEEDA" w:val="clear"/>
              </w:rPr>
              <w:t xml:space="preserve">  W4A8  </w:t>
            </w:r>
            <w:r>
              <w:rPr>
                <w:sz w:val="16"/>
                <w:szCs w:val="16"/>
              </w:rPr>
              <w:t xml:space="preserve">  </w:t>
            </w:r>
            <w:r>
              <w:rPr>
                <w:color w:val="534AB7"/>
                <w:sz w:val="16"/>
                <w:szCs w:val="16"/>
                <w:shd w:fill="EEEDFE" w:color="EEEDFE" w:val="clear"/>
              </w:rPr>
              <w:t xml:space="preserve">  mixed-precision  </w:t>
            </w:r>
            <w:r>
              <w:rPr>
                <w:sz w:val="16"/>
                <w:szCs w:val="16"/>
              </w:rPr>
              <w:t xml:space="preserve">  </w:t>
            </w:r>
            <w:r>
              <w:rPr>
                <w:color w:val="185FA5"/>
                <w:sz w:val="16"/>
                <w:szCs w:val="16"/>
                <w:shd w:fill="E6F1FB" w:color="E6F1FB" w:val="clear"/>
              </w:rPr>
              <w:t xml:space="preserve">  edge  </w:t>
            </w:r>
          </w:p>
        </w:tc>
      </w:tr>
    </w:tbl>
    <w:p>
      <w:pPr>
        <w:spacing w:after="0" w:before="120"/>
      </w:pPr>
    </w:p>
    <w:p>
      <w:pPr>
        <w:spacing w:after="60" w:before="0"/>
      </w:pPr>
      <w:r>
        <w:rPr>
          <w:b/>
          <w:bCs/>
          <w:color w:val="1A1A1A"/>
          <w:sz w:val="20"/>
          <w:szCs w:val="20"/>
        </w:rPr>
        <w:t xml:space="preserve">Learning outcomes</w:t>
      </w:r>
    </w:p>
    <w:p>
      <w:pPr>
        <w:pStyle w:val="ListParagraph"/>
        <w:numPr>
          <w:ilvl w:val="0"/>
          <w:numId w:val="2"/>
        </w:numPr>
        <w:spacing w:after="50" w:before="50"/>
      </w:pPr>
      <w:r>
        <w:rPr>
          <w:color w:val="4B4B4B"/>
          <w:sz w:val="20"/>
          <w:szCs w:val="20"/>
        </w:rPr>
        <w:t xml:space="preserve">Apply dynamic and static INT8 post-training quantisation using ONNX Runtime and compare accuracy/latency numbers.</w:t>
      </w:r>
    </w:p>
    <w:p>
      <w:pPr>
        <w:pStyle w:val="ListParagraph"/>
        <w:numPr>
          <w:ilvl w:val="0"/>
          <w:numId w:val="2"/>
        </w:numPr>
        <w:spacing w:after="50" w:before="50"/>
      </w:pPr>
      <w:r>
        <w:rPr>
          <w:color w:val="4B4B4B"/>
          <w:sz w:val="20"/>
          <w:szCs w:val="20"/>
        </w:rPr>
        <w:t xml:space="preserve">Explain the difference between PTQ and QAT and select the appropriate approach given an accuracy SLA.</w:t>
      </w:r>
    </w:p>
    <w:p>
      <w:pPr>
        <w:pStyle w:val="ListParagraph"/>
        <w:numPr>
          <w:ilvl w:val="0"/>
          <w:numId w:val="2"/>
        </w:numPr>
        <w:spacing w:after="50" w:before="50"/>
      </w:pPr>
      <w:r>
        <w:rPr>
          <w:color w:val="4B4B4B"/>
          <w:sz w:val="20"/>
          <w:szCs w:val="20"/>
        </w:rPr>
        <w:t xml:space="preserve">Describe the W4A8 paradigm and its relevance to on-device LLM inference.</w:t>
      </w:r>
    </w:p>
    <w:p>
      <w:pPr>
        <w:spacing w:after="0" w:before="240"/>
      </w:pPr>
    </w:p>
    <w:p>
      <w:pPr>
        <w:pBdr>
          <w:bottom w:val="single" w:color="C8C8C8" w:sz="4"/>
        </w:pBdr>
      </w:pPr>
    </w:p>
    <w:p>
      <w:pPr>
        <w:spacing w:after="0" w:before="80"/>
      </w:pPr>
    </w:p>
    <w:p>
      <w:pPr>
        <w:pStyle w:val="Heading2"/>
        <w:spacing w:after="60" w:before="320"/>
      </w:pPr>
      <w:r>
        <w:rPr>
          <w:b/>
          <w:bCs/>
          <w:color w:val="185FA5"/>
          <w:sz w:val="26"/>
          <w:szCs w:val="26"/>
        </w:rPr>
        <w:t xml:space="preserve">3. </w:t>
      </w:r>
      <w:r>
        <w:rPr>
          <w:b/>
          <w:bCs/>
          <w:color w:val="1A1A1A"/>
          <w:sz w:val="26"/>
          <w:szCs w:val="26"/>
        </w:rPr>
        <w:t xml:space="preserve">Pruning and Sparsity</w:t>
      </w:r>
      <w:r>
        <w:rPr>
          <w:i/>
          <w:iCs/>
          <w:color w:val="6B6B6B"/>
          <w:sz w:val="22"/>
          <w:szCs w:val="22"/>
        </w:rPr>
        <w:t xml:space="preserve">   1 hr</w:t>
      </w:r>
    </w:p>
    <w:p>
      <w:pPr>
        <w:spacing w:after="60" w:before="60"/>
      </w:pPr>
      <w:r>
        <w:rPr>
          <w:color w:val="4B4B4B"/>
          <w:sz w:val="20"/>
          <w:szCs w:val="20"/>
        </w:rPr>
        <w:t xml:space="preserve">Pruning removes redundant parameters from a trained network. The critical distinction — which students frequently conflate — is that unstructured (weight-level) sparsity rarely speeds up dense GPU matmuls, whereas structured (channel-level) pruning directly reduces FLOPs and measurable latency.</w:t>
      </w:r>
    </w:p>
    <w:p>
      <w:pPr>
        <w:spacing w:after="0" w:before="100"/>
      </w:pPr>
    </w:p>
    <w:tbl>
      <w:tblPr>
        <w:tblW w:type="dxa" w:w="9360"/>
        <w:tblBorders>
          <w:top w:val="single" w:color="C8C8C8" w:sz="4"/>
          <w:left w:val="none"/>
          <w:bottom w:val="single" w:color="C8C8C8" w:sz="4"/>
          <w:right w:val="none"/>
          <w:insideH w:val="single" w:color="auto" w:sz="4"/>
          <w:insideV w:val="single" w:color="auto" w:sz="4"/>
        </w:tblBorders>
      </w:tblPr>
      <w:tblGrid>
        <w:gridCol w:w="3100"/>
        <w:gridCol w:w="3100"/>
        <w:gridCol w:w="3100"/>
      </w:tblGrid>
      <w:tr>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MAGNITUDE  </w:t>
            </w:r>
          </w:p>
          <w:p>
            <w:pPr>
              <w:spacing w:after="60" w:before="0"/>
            </w:pPr>
            <w:r>
              <w:rPr>
                <w:b/>
                <w:bCs/>
                <w:color w:val="1A1A1A"/>
                <w:sz w:val="22"/>
                <w:szCs w:val="22"/>
              </w:rPr>
              <w:t xml:space="preserve">Unstructured pruning: weight zeroing</w:t>
            </w:r>
          </w:p>
          <w:p>
            <w:pPr>
              <w:spacing w:after="60" w:before="60"/>
            </w:pPr>
            <w:r>
              <w:rPr>
                <w:color w:val="4B4B4B"/>
                <w:sz w:val="20"/>
                <w:szCs w:val="20"/>
              </w:rPr>
              <w:t xml:space="preserve">Magnitude-based pruning zeros individual weights below a threshold, reducing model size after compression. Sparse weight tensors do not speed up dense GPU matmuls — sparse speedup requires sparse-aware hardware or specialised runtimes.</w:t>
            </w:r>
          </w:p>
          <w:p>
            <w:pPr>
              <w:spacing w:after="0" w:before="40"/>
            </w:pPr>
            <w:r>
              <w:rPr>
                <w:color w:val="185FA5"/>
                <w:sz w:val="16"/>
                <w:szCs w:val="16"/>
                <w:shd w:fill="E6F1FB" w:color="E6F1FB" w:val="clear"/>
              </w:rPr>
              <w:t xml:space="preserve">  sparsity  </w:t>
            </w:r>
            <w:r>
              <w:rPr>
                <w:sz w:val="16"/>
                <w:szCs w:val="16"/>
              </w:rPr>
              <w:t xml:space="preserve">  </w:t>
            </w:r>
            <w:r>
              <w:rPr>
                <w:color w:val="185FA5"/>
                <w:sz w:val="16"/>
                <w:szCs w:val="16"/>
                <w:shd w:fill="E6F1FB" w:color="E6F1FB" w:val="clear"/>
              </w:rPr>
              <w:t xml:space="preserve">  compression  </w:t>
            </w:r>
            <w:r>
              <w:rPr>
                <w:sz w:val="16"/>
                <w:szCs w:val="16"/>
              </w:rPr>
              <w:t xml:space="preserve">  </w:t>
            </w:r>
            <w:r>
              <w:rPr>
                <w:color w:val="854F0B"/>
                <w:sz w:val="16"/>
                <w:szCs w:val="16"/>
                <w:shd w:fill="FAEEDA" w:color="FAEEDA" w:val="clear"/>
              </w:rPr>
              <w:t xml:space="preserve">  caution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STRUCTURED  </w:t>
            </w:r>
          </w:p>
          <w:p>
            <w:pPr>
              <w:spacing w:after="60" w:before="0"/>
            </w:pPr>
            <w:r>
              <w:rPr>
                <w:b/>
                <w:bCs/>
                <w:color w:val="1A1A1A"/>
                <w:sz w:val="22"/>
                <w:szCs w:val="22"/>
              </w:rPr>
              <w:t xml:space="preserve">Structured pruning: channel removal</w:t>
            </w:r>
          </w:p>
          <w:p>
            <w:pPr>
              <w:spacing w:after="60" w:before="60"/>
            </w:pPr>
            <w:r>
              <w:rPr>
                <w:color w:val="4B4B4B"/>
                <w:sz w:val="20"/>
                <w:szCs w:val="20"/>
              </w:rPr>
              <w:t xml:space="preserve">Structured pruning removes entire filters, attention heads, or layers, producing a smaller dense model that directly reduces FLOPs and latency without sparse-aware hardware. Network slimming (Liu et al., 2017) and movement pruning (Sanh et al., 2020) are key references.</w:t>
            </w:r>
          </w:p>
          <w:p>
            <w:pPr>
              <w:spacing w:after="0" w:before="40"/>
            </w:pPr>
            <w:r>
              <w:rPr>
                <w:color w:val="0F6E56"/>
                <w:sz w:val="16"/>
                <w:szCs w:val="16"/>
                <w:shd w:fill="E1F5EE" w:color="E1F5EE" w:val="clear"/>
              </w:rPr>
              <w:t xml:space="preserve">  channels  </w:t>
            </w:r>
            <w:r>
              <w:rPr>
                <w:sz w:val="16"/>
                <w:szCs w:val="16"/>
              </w:rPr>
              <w:t xml:space="preserve">  </w:t>
            </w:r>
            <w:r>
              <w:rPr>
                <w:color w:val="185FA5"/>
                <w:sz w:val="16"/>
                <w:szCs w:val="16"/>
                <w:shd w:fill="E6F1FB" w:color="E6F1FB" w:val="clear"/>
              </w:rPr>
              <w:t xml:space="preserve">  FLOPs  </w:t>
            </w:r>
            <w:r>
              <w:rPr>
                <w:sz w:val="16"/>
                <w:szCs w:val="16"/>
              </w:rPr>
              <w:t xml:space="preserve">  </w:t>
            </w:r>
            <w:r>
              <w:rPr>
                <w:color w:val="534AB7"/>
                <w:sz w:val="16"/>
                <w:szCs w:val="16"/>
                <w:shd w:fill="EEEDFE" w:color="EEEDFE" w:val="clear"/>
              </w:rPr>
              <w:t xml:space="preserve">  dense-speed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LOTTERY TICKET  </w:t>
            </w:r>
          </w:p>
          <w:p>
            <w:pPr>
              <w:spacing w:after="60" w:before="0"/>
            </w:pPr>
            <w:r>
              <w:rPr>
                <w:b/>
                <w:bCs/>
                <w:color w:val="1A1A1A"/>
                <w:sz w:val="22"/>
                <w:szCs w:val="22"/>
              </w:rPr>
              <w:t xml:space="preserve">Sparse sub-networks that train to full accuracy</w:t>
            </w:r>
          </w:p>
          <w:p>
            <w:pPr>
              <w:spacing w:after="60" w:before="60"/>
            </w:pPr>
            <w:r>
              <w:rPr>
                <w:color w:val="4B4B4B"/>
                <w:sz w:val="20"/>
                <w:szCs w:val="20"/>
              </w:rPr>
              <w:t xml:space="preserve">The Lottery Ticket Hypothesis (Frankle &amp; Carlin, 2019) shows dense networks contain sparse sub-networks ('winning tickets') trainable from scratch to equal accuracy. SparseGPT (Frantar &amp; Alistarh, 2023) extends this to billion-parameter LLMs without retraining.</w:t>
            </w:r>
          </w:p>
          <w:p>
            <w:pPr>
              <w:spacing w:after="0" w:before="40"/>
            </w:pPr>
            <w:r>
              <w:rPr>
                <w:color w:val="534AB7"/>
                <w:sz w:val="16"/>
                <w:szCs w:val="16"/>
                <w:shd w:fill="EEEDFE" w:color="EEEDFE" w:val="clear"/>
              </w:rPr>
              <w:t xml:space="preserve">  LTH  </w:t>
            </w:r>
            <w:r>
              <w:rPr>
                <w:sz w:val="16"/>
                <w:szCs w:val="16"/>
              </w:rPr>
              <w:t xml:space="preserve">  </w:t>
            </w:r>
            <w:r>
              <w:rPr>
                <w:color w:val="185FA5"/>
                <w:sz w:val="16"/>
                <w:szCs w:val="16"/>
                <w:shd w:fill="E6F1FB" w:color="E6F1FB" w:val="clear"/>
              </w:rPr>
              <w:t xml:space="preserve">  SparseGPT  </w:t>
            </w:r>
            <w:r>
              <w:rPr>
                <w:sz w:val="16"/>
                <w:szCs w:val="16"/>
              </w:rPr>
              <w:t xml:space="preserve">  </w:t>
            </w:r>
            <w:r>
              <w:rPr>
                <w:color w:val="854F0B"/>
                <w:sz w:val="16"/>
                <w:szCs w:val="16"/>
                <w:shd w:fill="FAEEDA" w:color="FAEEDA" w:val="clear"/>
              </w:rPr>
              <w:t xml:space="preserve">  one-shot  </w:t>
            </w:r>
          </w:p>
        </w:tc>
      </w:tr>
    </w:tbl>
    <w:p>
      <w:pPr>
        <w:spacing w:after="0" w:before="120"/>
      </w:pPr>
    </w:p>
    <w:p>
      <w:pPr>
        <w:spacing w:after="60" w:before="0"/>
      </w:pPr>
      <w:r>
        <w:rPr>
          <w:b/>
          <w:bCs/>
          <w:color w:val="1A1A1A"/>
          <w:sz w:val="20"/>
          <w:szCs w:val="20"/>
        </w:rPr>
        <w:t xml:space="preserve">Learning outcomes</w:t>
      </w:r>
    </w:p>
    <w:p>
      <w:pPr>
        <w:pStyle w:val="ListParagraph"/>
        <w:numPr>
          <w:ilvl w:val="0"/>
          <w:numId w:val="2"/>
        </w:numPr>
        <w:spacing w:after="50" w:before="50"/>
      </w:pPr>
      <w:r>
        <w:rPr>
          <w:color w:val="4B4B4B"/>
          <w:sz w:val="20"/>
          <w:szCs w:val="20"/>
        </w:rPr>
        <w:t xml:space="preserve">Distinguish unstructured vs structured pruning and explain their different impacts on actual inference speedup.</w:t>
      </w:r>
    </w:p>
    <w:p>
      <w:pPr>
        <w:pStyle w:val="ListParagraph"/>
        <w:numPr>
          <w:ilvl w:val="0"/>
          <w:numId w:val="2"/>
        </w:numPr>
        <w:spacing w:after="50" w:before="50"/>
      </w:pPr>
      <w:r>
        <w:rPr>
          <w:color w:val="4B4B4B"/>
          <w:sz w:val="20"/>
          <w:szCs w:val="20"/>
        </w:rPr>
        <w:t xml:space="preserve">Implement filter pruning on a CNN and re-export to ONNX to verify the latency reduction empirically.</w:t>
      </w:r>
    </w:p>
    <w:p>
      <w:pPr>
        <w:pStyle w:val="ListParagraph"/>
        <w:numPr>
          <w:ilvl w:val="0"/>
          <w:numId w:val="2"/>
        </w:numPr>
        <w:spacing w:after="50" w:before="50"/>
      </w:pPr>
      <w:r>
        <w:rPr>
          <w:color w:val="4B4B4B"/>
          <w:sz w:val="20"/>
          <w:szCs w:val="20"/>
        </w:rPr>
        <w:t xml:space="preserve">Explain the Lottery Ticket Hypothesis and describe how SparseGPT applies it at LLM scale.</w:t>
      </w:r>
    </w:p>
    <w:p>
      <w:pPr>
        <w:spacing w:after="0" w:before="240"/>
      </w:pPr>
    </w:p>
    <w:p>
      <w:pPr>
        <w:pBdr>
          <w:bottom w:val="single" w:color="C8C8C8" w:sz="4"/>
        </w:pBdr>
      </w:pPr>
    </w:p>
    <w:p>
      <w:pPr>
        <w:spacing w:after="0" w:before="80"/>
      </w:pPr>
    </w:p>
    <w:p>
      <w:pPr>
        <w:pStyle w:val="Heading2"/>
        <w:spacing w:after="60" w:before="320"/>
      </w:pPr>
      <w:r>
        <w:rPr>
          <w:b/>
          <w:bCs/>
          <w:color w:val="185FA5"/>
          <w:sz w:val="26"/>
          <w:szCs w:val="26"/>
        </w:rPr>
        <w:t xml:space="preserve">4. </w:t>
      </w:r>
      <w:r>
        <w:rPr>
          <w:b/>
          <w:bCs/>
          <w:color w:val="1A1A1A"/>
          <w:sz w:val="26"/>
          <w:szCs w:val="26"/>
        </w:rPr>
        <w:t xml:space="preserve">Knowledge Distillation</w:t>
      </w:r>
      <w:r>
        <w:rPr>
          <w:i/>
          <w:iCs/>
          <w:color w:val="6B6B6B"/>
          <w:sz w:val="22"/>
          <w:szCs w:val="22"/>
        </w:rPr>
        <w:t xml:space="preserve">   1 hr</w:t>
      </w:r>
    </w:p>
    <w:p>
      <w:pPr>
        <w:spacing w:after="60" w:before="60"/>
      </w:pPr>
      <w:r>
        <w:rPr>
          <w:color w:val="4B4B4B"/>
          <w:sz w:val="20"/>
          <w:szCs w:val="20"/>
        </w:rPr>
        <w:t xml:space="preserve">Knowledge distillation trains a smaller student network to mimic a larger teacher, transferring generalisation capability beyond what hard labels alone can provide. The technique spans response-based (output logits), feature-based (intermediate representations), and self-distillation (identical architectures), and is the primary method for producing efficient Vision Transformers.</w:t>
      </w:r>
    </w:p>
    <w:p>
      <w:pPr>
        <w:spacing w:after="0" w:before="100"/>
      </w:pPr>
    </w:p>
    <w:tbl>
      <w:tblPr>
        <w:tblW w:type="dxa" w:w="9360"/>
        <w:tblBorders>
          <w:top w:val="single" w:color="C8C8C8" w:sz="4"/>
          <w:left w:val="none"/>
          <w:bottom w:val="single" w:color="C8C8C8" w:sz="4"/>
          <w:right w:val="none"/>
          <w:insideH w:val="single" w:color="auto" w:sz="4"/>
          <w:insideV w:val="single" w:color="auto" w:sz="4"/>
        </w:tblBorders>
      </w:tblPr>
      <w:tblGrid>
        <w:gridCol w:w="3100"/>
        <w:gridCol w:w="3100"/>
        <w:gridCol w:w="3100"/>
      </w:tblGrid>
      <w:tr>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RESPONSE-BASED  </w:t>
            </w:r>
          </w:p>
          <w:p>
            <w:pPr>
              <w:spacing w:after="60" w:before="0"/>
            </w:pPr>
            <w:r>
              <w:rPr>
                <w:b/>
                <w:bCs/>
                <w:color w:val="1A1A1A"/>
                <w:sz w:val="22"/>
                <w:szCs w:val="22"/>
              </w:rPr>
              <w:t xml:space="preserve">Soft-target distillation (Hinton, 2015)</w:t>
            </w:r>
          </w:p>
          <w:p>
            <w:pPr>
              <w:spacing w:after="60" w:before="60"/>
            </w:pPr>
            <w:r>
              <w:rPr>
                <w:color w:val="4B4B4B"/>
                <w:sz w:val="20"/>
                <w:szCs w:val="20"/>
              </w:rPr>
              <w:t xml:space="preserve">The student is trained to match the teacher's temperature-scaled probability outputs ('soft targets'). Soft targets reveal inter-class similarity invisible in one-hot labels, enabling a smaller student to approach teacher accuracy without seeing more data.</w:t>
            </w:r>
          </w:p>
          <w:p>
            <w:pPr>
              <w:spacing w:after="0" w:before="40"/>
            </w:pPr>
            <w:r>
              <w:rPr>
                <w:color w:val="185FA5"/>
                <w:sz w:val="16"/>
                <w:szCs w:val="16"/>
                <w:shd w:fill="E6F1FB" w:color="E6F1FB" w:val="clear"/>
              </w:rPr>
              <w:t xml:space="preserve">  soft labels  </w:t>
            </w:r>
            <w:r>
              <w:rPr>
                <w:sz w:val="16"/>
                <w:szCs w:val="16"/>
              </w:rPr>
              <w:t xml:space="preserve">  </w:t>
            </w:r>
            <w:r>
              <w:rPr>
                <w:color w:val="185FA5"/>
                <w:sz w:val="16"/>
                <w:szCs w:val="16"/>
                <w:shd w:fill="E6F1FB" w:color="E6F1FB" w:val="clear"/>
              </w:rPr>
              <w:t xml:space="preserve">  temperature  </w:t>
            </w:r>
            <w:r>
              <w:rPr>
                <w:sz w:val="16"/>
                <w:szCs w:val="16"/>
              </w:rPr>
              <w:t xml:space="preserve">  </w:t>
            </w:r>
            <w:r>
              <w:rPr>
                <w:color w:val="534AB7"/>
                <w:sz w:val="16"/>
                <w:szCs w:val="16"/>
                <w:shd w:fill="EEEDFE" w:color="EEEDFE" w:val="clear"/>
              </w:rPr>
              <w:t xml:space="preserve">  KD classic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FEATURE-BASED  </w:t>
            </w:r>
          </w:p>
          <w:p>
            <w:pPr>
              <w:spacing w:after="60" w:before="0"/>
            </w:pPr>
            <w:r>
              <w:rPr>
                <w:b/>
                <w:bCs/>
                <w:color w:val="1A1A1A"/>
                <w:sz w:val="22"/>
                <w:szCs w:val="22"/>
              </w:rPr>
              <w:t xml:space="preserve">Intermediate layer matching</w:t>
            </w:r>
          </w:p>
          <w:p>
            <w:pPr>
              <w:spacing w:after="60" w:before="60"/>
            </w:pPr>
            <w:r>
              <w:rPr>
                <w:color w:val="4B4B4B"/>
                <w:sz w:val="20"/>
                <w:szCs w:val="20"/>
              </w:rPr>
              <w:t xml:space="preserve">Feature-based distillation (FitNets, Romero et al., 2015; MEAL, Shen et al., 2019) transfers knowledge from intermediate teacher representations, not only final logits. Especially effective for visual tasks where spatial feature maps carry rich semantic structure.</w:t>
            </w:r>
          </w:p>
          <w:p>
            <w:pPr>
              <w:spacing w:after="0" w:before="40"/>
            </w:pPr>
            <w:r>
              <w:rPr>
                <w:color w:val="534AB7"/>
                <w:sz w:val="16"/>
                <w:szCs w:val="16"/>
                <w:shd w:fill="EEEDFE" w:color="EEEDFE" w:val="clear"/>
              </w:rPr>
              <w:t xml:space="preserve">  FitNets  </w:t>
            </w:r>
            <w:r>
              <w:rPr>
                <w:sz w:val="16"/>
                <w:szCs w:val="16"/>
              </w:rPr>
              <w:t xml:space="preserve">  </w:t>
            </w:r>
            <w:r>
              <w:rPr>
                <w:color w:val="0F6E56"/>
                <w:sz w:val="16"/>
                <w:szCs w:val="16"/>
                <w:shd w:fill="E1F5EE" w:color="E1F5EE" w:val="clear"/>
              </w:rPr>
              <w:t xml:space="preserve">  feature maps  </w:t>
            </w:r>
            <w:r>
              <w:rPr>
                <w:sz w:val="16"/>
                <w:szCs w:val="16"/>
              </w:rPr>
              <w:t xml:space="preserve">  </w:t>
            </w:r>
            <w:r>
              <w:rPr>
                <w:color w:val="185FA5"/>
                <w:sz w:val="16"/>
                <w:szCs w:val="16"/>
                <w:shd w:fill="E6F1FB" w:color="E6F1FB" w:val="clear"/>
              </w:rPr>
              <w:t xml:space="preserve">  visual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SELF-DISTILLATION  </w:t>
            </w:r>
          </w:p>
          <w:p>
            <w:pPr>
              <w:spacing w:after="60" w:before="0"/>
            </w:pPr>
            <w:r>
              <w:rPr>
                <w:b/>
                <w:bCs/>
                <w:color w:val="1A1A1A"/>
                <w:sz w:val="22"/>
                <w:szCs w:val="22"/>
              </w:rPr>
              <w:t xml:space="preserve">Born Again Networks and DeiT</w:t>
            </w:r>
          </w:p>
          <w:p>
            <w:pPr>
              <w:spacing w:after="60" w:before="60"/>
            </w:pPr>
            <w:r>
              <w:rPr>
                <w:color w:val="4B4B4B"/>
                <w:sz w:val="20"/>
                <w:szCs w:val="20"/>
              </w:rPr>
              <w:t xml:space="preserve">Self-distillation (Furlanello et al., 2018) distils a model into an identical architecture repeatedly, gaining accuracy from 'free' regularisation. DeiT (Touvron et al., 2021) uses a distillation token to transfer CNN inductive bias into Vision Transformers efficiently.</w:t>
            </w:r>
          </w:p>
          <w:p>
            <w:pPr>
              <w:spacing w:after="0" w:before="40"/>
            </w:pPr>
            <w:r>
              <w:rPr>
                <w:color w:val="854F0B"/>
                <w:sz w:val="16"/>
                <w:szCs w:val="16"/>
                <w:shd w:fill="FAEEDA" w:color="FAEEDA" w:val="clear"/>
              </w:rPr>
              <w:t xml:space="preserve">  DeiT  </w:t>
            </w:r>
            <w:r>
              <w:rPr>
                <w:sz w:val="16"/>
                <w:szCs w:val="16"/>
              </w:rPr>
              <w:t xml:space="preserve">  </w:t>
            </w:r>
            <w:r>
              <w:rPr>
                <w:color w:val="185FA5"/>
                <w:sz w:val="16"/>
                <w:szCs w:val="16"/>
                <w:shd w:fill="E6F1FB" w:color="E6F1FB" w:val="clear"/>
              </w:rPr>
              <w:t xml:space="preserve">  ViT  </w:t>
            </w:r>
            <w:r>
              <w:rPr>
                <w:sz w:val="16"/>
                <w:szCs w:val="16"/>
              </w:rPr>
              <w:t xml:space="preserve">  </w:t>
            </w:r>
            <w:r>
              <w:rPr>
                <w:color w:val="534AB7"/>
                <w:sz w:val="16"/>
                <w:szCs w:val="16"/>
                <w:shd w:fill="EEEDFE" w:color="EEEDFE" w:val="clear"/>
              </w:rPr>
              <w:t xml:space="preserve">  self-KD  </w:t>
            </w:r>
          </w:p>
        </w:tc>
      </w:tr>
    </w:tbl>
    <w:p>
      <w:pPr>
        <w:spacing w:after="0" w:before="120"/>
      </w:pPr>
    </w:p>
    <w:p>
      <w:pPr>
        <w:spacing w:after="60" w:before="0"/>
      </w:pPr>
      <w:r>
        <w:rPr>
          <w:b/>
          <w:bCs/>
          <w:color w:val="1A1A1A"/>
          <w:sz w:val="20"/>
          <w:szCs w:val="20"/>
        </w:rPr>
        <w:t xml:space="preserve">Learning outcomes</w:t>
      </w:r>
    </w:p>
    <w:p>
      <w:pPr>
        <w:pStyle w:val="ListParagraph"/>
        <w:numPr>
          <w:ilvl w:val="0"/>
          <w:numId w:val="2"/>
        </w:numPr>
        <w:spacing w:after="50" w:before="50"/>
      </w:pPr>
      <w:r>
        <w:rPr>
          <w:color w:val="4B4B4B"/>
          <w:sz w:val="20"/>
          <w:szCs w:val="20"/>
        </w:rPr>
        <w:t xml:space="preserve">Implement response-based distillation to compress EfficientNet-B3 into B0 with &lt;1% accuracy gap.</w:t>
      </w:r>
    </w:p>
    <w:p>
      <w:pPr>
        <w:pStyle w:val="ListParagraph"/>
        <w:numPr>
          <w:ilvl w:val="0"/>
          <w:numId w:val="2"/>
        </w:numPr>
        <w:spacing w:after="50" w:before="50"/>
      </w:pPr>
      <w:r>
        <w:rPr>
          <w:color w:val="4B4B4B"/>
          <w:sz w:val="20"/>
          <w:szCs w:val="20"/>
        </w:rPr>
        <w:t xml:space="preserve">Explain feature-based distillation and identify scenarios where it outperforms response-based distillation.</w:t>
      </w:r>
    </w:p>
    <w:p>
      <w:pPr>
        <w:pStyle w:val="ListParagraph"/>
        <w:numPr>
          <w:ilvl w:val="0"/>
          <w:numId w:val="2"/>
        </w:numPr>
        <w:spacing w:after="50" w:before="50"/>
      </w:pPr>
      <w:r>
        <w:rPr>
          <w:color w:val="4B4B4B"/>
          <w:sz w:val="20"/>
          <w:szCs w:val="20"/>
        </w:rPr>
        <w:t xml:space="preserve">Describe the DeiT distillation token and explain why it matters for training efficient Vision Transformers.</w:t>
      </w:r>
    </w:p>
    <w:p>
      <w:pPr>
        <w:spacing w:after="0" w:before="240"/>
      </w:pPr>
    </w:p>
    <w:p>
      <w:pPr>
        <w:pBdr>
          <w:bottom w:val="single" w:color="C8C8C8" w:sz="4"/>
        </w:pBdr>
      </w:pPr>
    </w:p>
    <w:p>
      <w:pPr>
        <w:spacing w:after="0" w:before="80"/>
      </w:pPr>
    </w:p>
    <w:p>
      <w:pPr>
        <w:pStyle w:val="Heading2"/>
        <w:spacing w:after="60" w:before="320"/>
      </w:pPr>
      <w:r>
        <w:rPr>
          <w:b/>
          <w:bCs/>
          <w:color w:val="185FA5"/>
          <w:sz w:val="26"/>
          <w:szCs w:val="26"/>
        </w:rPr>
        <w:t xml:space="preserve">5. </w:t>
      </w:r>
      <w:r>
        <w:rPr>
          <w:b/>
          <w:bCs/>
          <w:color w:val="1A1A1A"/>
          <w:sz w:val="26"/>
          <w:szCs w:val="26"/>
        </w:rPr>
        <w:t xml:space="preserve">Hardware-Aware Deployment</w:t>
      </w:r>
      <w:r>
        <w:rPr>
          <w:i/>
          <w:iCs/>
          <w:color w:val="6B6B6B"/>
          <w:sz w:val="22"/>
          <w:szCs w:val="22"/>
        </w:rPr>
        <w:t xml:space="preserve">   1 hr</w:t>
      </w:r>
    </w:p>
    <w:p>
      <w:pPr>
        <w:spacing w:after="60" w:before="60"/>
      </w:pPr>
      <w:r>
        <w:rPr>
          <w:color w:val="4B4B4B"/>
          <w:sz w:val="20"/>
          <w:szCs w:val="20"/>
        </w:rPr>
        <w:t xml:space="preserve">Choosing the right runtime and deployment topology is as consequential as the compression technique. This session covers the TensorRT/OpenVINO/Triton toolchain and works through the edge vs cloud decision framework using the benchmark numbers generated in Sessions 2–4.</w:t>
      </w:r>
    </w:p>
    <w:p>
      <w:pPr>
        <w:spacing w:after="0" w:before="100"/>
      </w:pPr>
    </w:p>
    <w:tbl>
      <w:tblPr>
        <w:tblW w:type="dxa" w:w="9360"/>
        <w:tblBorders>
          <w:top w:val="single" w:color="C8C8C8" w:sz="4"/>
          <w:left w:val="none"/>
          <w:bottom w:val="single" w:color="C8C8C8" w:sz="4"/>
          <w:right w:val="none"/>
          <w:insideH w:val="single" w:color="auto" w:sz="4"/>
          <w:insideV w:val="single" w:color="auto" w:sz="4"/>
        </w:tblBorders>
      </w:tblPr>
      <w:tblGrid>
        <w:gridCol w:w="3100"/>
        <w:gridCol w:w="3100"/>
        <w:gridCol w:w="3100"/>
      </w:tblGrid>
      <w:tr>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COMPILERS  </w:t>
            </w:r>
          </w:p>
          <w:p>
            <w:pPr>
              <w:spacing w:after="60" w:before="0"/>
            </w:pPr>
            <w:r>
              <w:rPr>
                <w:b/>
                <w:bCs/>
                <w:color w:val="1A1A1A"/>
                <w:sz w:val="22"/>
                <w:szCs w:val="22"/>
              </w:rPr>
              <w:t xml:space="preserve">TensorRT and OpenVINO: hardware-tuned kernels</w:t>
            </w:r>
          </w:p>
          <w:p>
            <w:pPr>
              <w:spacing w:after="60" w:before="60"/>
            </w:pPr>
            <w:r>
              <w:rPr>
                <w:color w:val="4B4B4B"/>
                <w:sz w:val="20"/>
                <w:szCs w:val="20"/>
              </w:rPr>
              <w:t xml:space="preserve">TensorRT (NVIDIA) and OpenVINO (Intel) compile ONNX graphs into hardware-specific execution plans with kernel fusion, layer collapsing, and precision assignment tuned to the target silicon. Engine build is one-time; subsequent inference is significantly faster than generic ONNX Runtime.</w:t>
            </w:r>
          </w:p>
          <w:p>
            <w:pPr>
              <w:spacing w:after="0" w:before="40"/>
            </w:pPr>
            <w:r>
              <w:rPr>
                <w:color w:val="185FA5"/>
                <w:sz w:val="16"/>
                <w:szCs w:val="16"/>
                <w:shd w:fill="E6F1FB" w:color="E6F1FB" w:val="clear"/>
              </w:rPr>
              <w:t xml:space="preserve">  TensorRT  </w:t>
            </w:r>
            <w:r>
              <w:rPr>
                <w:sz w:val="16"/>
                <w:szCs w:val="16"/>
              </w:rPr>
              <w:t xml:space="preserve">  </w:t>
            </w:r>
            <w:r>
              <w:rPr>
                <w:color w:val="534AB7"/>
                <w:sz w:val="16"/>
                <w:szCs w:val="16"/>
                <w:shd w:fill="EEEDFE" w:color="EEEDFE" w:val="clear"/>
              </w:rPr>
              <w:t xml:space="preserve">  OpenVINO  </w:t>
            </w:r>
            <w:r>
              <w:rPr>
                <w:sz w:val="16"/>
                <w:szCs w:val="16"/>
              </w:rPr>
              <w:t xml:space="preserve">  </w:t>
            </w:r>
            <w:r>
              <w:rPr>
                <w:color w:val="0F6E56"/>
                <w:sz w:val="16"/>
                <w:szCs w:val="16"/>
                <w:shd w:fill="E1F5EE" w:color="E1F5EE" w:val="clear"/>
              </w:rPr>
              <w:t xml:space="preserve">  kernel fusion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SERVING  </w:t>
            </w:r>
          </w:p>
          <w:p>
            <w:pPr>
              <w:spacing w:after="60" w:before="0"/>
            </w:pPr>
            <w:r>
              <w:rPr>
                <w:b/>
                <w:bCs/>
                <w:color w:val="1A1A1A"/>
                <w:sz w:val="22"/>
                <w:szCs w:val="22"/>
              </w:rPr>
              <w:t xml:space="preserve">Triton Inference Server: multi-model GPU sharing</w:t>
            </w:r>
          </w:p>
          <w:p>
            <w:pPr>
              <w:spacing w:after="60" w:before="60"/>
            </w:pPr>
            <w:r>
              <w:rPr>
                <w:color w:val="4B4B4B"/>
                <w:sz w:val="20"/>
                <w:szCs w:val="20"/>
              </w:rPr>
              <w:t xml:space="preserve">Triton orchestrates multiple model instances across GPUs with dynamic batching, concurrent execution, and live model versioning via a simple model-repository layout. Eliminates custom server code and exposes gRPC + HTTP endpoints with built-in Prometheus metrics.</w:t>
            </w:r>
          </w:p>
          <w:p>
            <w:pPr>
              <w:spacing w:after="0" w:before="40"/>
            </w:pPr>
            <w:r>
              <w:rPr>
                <w:color w:val="0F6E56"/>
                <w:sz w:val="16"/>
                <w:szCs w:val="16"/>
                <w:shd w:fill="E1F5EE" w:color="E1F5EE" w:val="clear"/>
              </w:rPr>
              <w:t xml:space="preserve">  Triton  </w:t>
            </w:r>
            <w:r>
              <w:rPr>
                <w:sz w:val="16"/>
                <w:szCs w:val="16"/>
              </w:rPr>
              <w:t xml:space="preserve">  </w:t>
            </w:r>
            <w:r>
              <w:rPr>
                <w:color w:val="185FA5"/>
                <w:sz w:val="16"/>
                <w:szCs w:val="16"/>
                <w:shd w:fill="E6F1FB" w:color="E6F1FB" w:val="clear"/>
              </w:rPr>
              <w:t xml:space="preserve">  dynamic batch  </w:t>
            </w:r>
            <w:r>
              <w:rPr>
                <w:sz w:val="16"/>
                <w:szCs w:val="16"/>
              </w:rPr>
              <w:t xml:space="preserve">  </w:t>
            </w:r>
            <w:r>
              <w:rPr>
                <w:color w:val="185FA5"/>
                <w:sz w:val="16"/>
                <w:szCs w:val="16"/>
                <w:shd w:fill="E6F1FB" w:color="E6F1FB" w:val="clear"/>
              </w:rPr>
              <w:t xml:space="preserve">  gRPC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EDGE VS CLOUD  </w:t>
            </w:r>
          </w:p>
          <w:p>
            <w:pPr>
              <w:spacing w:after="60" w:before="0"/>
            </w:pPr>
            <w:r>
              <w:rPr>
                <w:b/>
                <w:bCs/>
                <w:color w:val="1A1A1A"/>
                <w:sz w:val="22"/>
                <w:szCs w:val="22"/>
              </w:rPr>
              <w:t xml:space="preserve">Deployment strategy trade-off</w:t>
            </w:r>
          </w:p>
          <w:p>
            <w:pPr>
              <w:spacing w:after="60" w:before="60"/>
            </w:pPr>
            <w:r>
              <w:rPr>
                <w:color w:val="4B4B4B"/>
                <w:sz w:val="20"/>
                <w:szCs w:val="20"/>
              </w:rPr>
              <w:t xml:space="preserve">Edge (Jetson, NUC + OpenVINO) eliminates network latency and data egress cost under a strict model-size/power budget. Cloud (GPU instance + Triton) offers elastic scale and easy rollback but adds network RTT and per-inference cost. Hybrid architectures combine both.</w:t>
            </w:r>
          </w:p>
          <w:p>
            <w:pPr>
              <w:spacing w:after="0" w:before="40"/>
            </w:pPr>
            <w:r>
              <w:rPr>
                <w:color w:val="185FA5"/>
                <w:sz w:val="16"/>
                <w:szCs w:val="16"/>
                <w:shd w:fill="E6F1FB" w:color="E6F1FB" w:val="clear"/>
              </w:rPr>
              <w:t xml:space="preserve">  Jetson  </w:t>
            </w:r>
            <w:r>
              <w:rPr>
                <w:sz w:val="16"/>
                <w:szCs w:val="16"/>
              </w:rPr>
              <w:t xml:space="preserve">  </w:t>
            </w:r>
            <w:r>
              <w:rPr>
                <w:color w:val="854F0B"/>
                <w:sz w:val="16"/>
                <w:szCs w:val="16"/>
                <w:shd w:fill="FAEEDA" w:color="FAEEDA" w:val="clear"/>
              </w:rPr>
              <w:t xml:space="preserve">  elastic scale  </w:t>
            </w:r>
            <w:r>
              <w:rPr>
                <w:sz w:val="16"/>
                <w:szCs w:val="16"/>
              </w:rPr>
              <w:t xml:space="preserve">  </w:t>
            </w:r>
            <w:r>
              <w:rPr>
                <w:color w:val="534AB7"/>
                <w:sz w:val="16"/>
                <w:szCs w:val="16"/>
                <w:shd w:fill="EEEDFE" w:color="EEEDFE" w:val="clear"/>
              </w:rPr>
              <w:t xml:space="preserve">  hybrid  </w:t>
            </w:r>
          </w:p>
        </w:tc>
      </w:tr>
    </w:tbl>
    <w:p>
      <w:pPr>
        <w:spacing w:after="0" w:before="120"/>
      </w:pPr>
    </w:p>
    <w:p>
      <w:pPr>
        <w:spacing w:after="60" w:before="0"/>
      </w:pPr>
      <w:r>
        <w:rPr>
          <w:b/>
          <w:bCs/>
          <w:color w:val="1A1A1A"/>
          <w:sz w:val="20"/>
          <w:szCs w:val="20"/>
        </w:rPr>
        <w:t xml:space="preserve">Learning outcomes</w:t>
      </w:r>
    </w:p>
    <w:p>
      <w:pPr>
        <w:pStyle w:val="ListParagraph"/>
        <w:numPr>
          <w:ilvl w:val="0"/>
          <w:numId w:val="2"/>
        </w:numPr>
        <w:spacing w:after="50" w:before="50"/>
      </w:pPr>
      <w:r>
        <w:rPr>
          <w:color w:val="4B4B4B"/>
          <w:sz w:val="20"/>
          <w:szCs w:val="20"/>
        </w:rPr>
        <w:t xml:space="preserve">Build a Triton model repository config for INT8 EfficientNet with dynamic batching and version management.</w:t>
      </w:r>
    </w:p>
    <w:p>
      <w:pPr>
        <w:pStyle w:val="ListParagraph"/>
        <w:numPr>
          <w:ilvl w:val="0"/>
          <w:numId w:val="2"/>
        </w:numPr>
        <w:spacing w:after="50" w:before="50"/>
      </w:pPr>
      <w:r>
        <w:rPr>
          <w:color w:val="4B4B4B"/>
          <w:sz w:val="20"/>
          <w:szCs w:val="20"/>
        </w:rPr>
        <w:t xml:space="preserve">Compare TensorRT vs ONNX Runtime GPU EP vs OpenVINO on the same benchmark harness and interpret the results.</w:t>
      </w:r>
    </w:p>
    <w:p>
      <w:pPr>
        <w:pStyle w:val="ListParagraph"/>
        <w:numPr>
          <w:ilvl w:val="0"/>
          <w:numId w:val="2"/>
        </w:numPr>
        <w:spacing w:after="50" w:before="50"/>
      </w:pPr>
      <w:r>
        <w:rPr>
          <w:color w:val="4B4B4B"/>
          <w:sz w:val="20"/>
          <w:szCs w:val="20"/>
        </w:rPr>
        <w:t xml:space="preserve">Design a deployment architecture for a given industry scenario, justifying edge vs cloud with cost/latency reasoning.</w:t>
      </w:r>
    </w:p>
    <w:p>
      <w:pPr>
        <w:spacing w:after="0" w:before="240"/>
      </w:pPr>
    </w:p>
    <w:p>
      <w:pPr>
        <w:pBdr>
          <w:bottom w:val="single" w:color="C8C8C8" w:sz="4"/>
        </w:pBdr>
      </w:pPr>
    </w:p>
    <w:p>
      <w:pPr>
        <w:spacing w:after="0" w:before="80"/>
      </w:pPr>
    </w:p>
    <w:p>
      <w:pPr>
        <w:pStyle w:val="Heading2"/>
        <w:spacing w:after="60" w:before="320"/>
      </w:pPr>
      <w:r>
        <w:rPr>
          <w:b/>
          <w:bCs/>
          <w:color w:val="185FA5"/>
          <w:sz w:val="26"/>
          <w:szCs w:val="26"/>
        </w:rPr>
        <w:t xml:space="preserve">6. </w:t>
      </w:r>
      <w:r>
        <w:rPr>
          <w:b/>
          <w:bCs/>
          <w:color w:val="1A1A1A"/>
          <w:sz w:val="26"/>
          <w:szCs w:val="26"/>
        </w:rPr>
        <w:t xml:space="preserve">Benchmarking and the Accuracy–Latency Trade-off</w:t>
      </w:r>
      <w:r>
        <w:rPr>
          <w:i/>
          <w:iCs/>
          <w:color w:val="6B6B6B"/>
          <w:sz w:val="22"/>
          <w:szCs w:val="22"/>
        </w:rPr>
        <w:t xml:space="preserve">   45 min</w:t>
      </w:r>
    </w:p>
    <w:p>
      <w:pPr>
        <w:spacing w:after="60" w:before="60"/>
      </w:pPr>
      <w:r>
        <w:rPr>
          <w:color w:val="4B4B4B"/>
          <w:sz w:val="20"/>
          <w:szCs w:val="20"/>
        </w:rPr>
        <w:t xml:space="preserve">No single model is best — production engineering is about navigating the Pareto frontier of accuracy, latency, throughput, and memory footprint. This session equips students with the benchmarking harness and CI/CD practices needed to make defensible, reproducible deployment decisions.</w:t>
      </w:r>
    </w:p>
    <w:p>
      <w:pPr>
        <w:spacing w:after="0" w:before="100"/>
      </w:pPr>
    </w:p>
    <w:tbl>
      <w:tblPr>
        <w:tblW w:type="dxa" w:w="9360"/>
        <w:tblBorders>
          <w:top w:val="single" w:color="C8C8C8" w:sz="4"/>
          <w:left w:val="none"/>
          <w:bottom w:val="single" w:color="C8C8C8" w:sz="4"/>
          <w:right w:val="none"/>
          <w:insideH w:val="single" w:color="auto" w:sz="4"/>
          <w:insideV w:val="single" w:color="auto" w:sz="4"/>
        </w:tblBorders>
      </w:tblPr>
      <w:tblGrid>
        <w:gridCol w:w="3100"/>
        <w:gridCol w:w="3100"/>
        <w:gridCol w:w="3100"/>
      </w:tblGrid>
      <w:tr>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MLPERF  </w:t>
            </w:r>
          </w:p>
          <w:p>
            <w:pPr>
              <w:spacing w:after="60" w:before="0"/>
            </w:pPr>
            <w:r>
              <w:rPr>
                <w:b/>
                <w:bCs/>
                <w:color w:val="1A1A1A"/>
                <w:sz w:val="22"/>
                <w:szCs w:val="22"/>
              </w:rPr>
              <w:t xml:space="preserve">Industry-standard inference benchmarks</w:t>
            </w:r>
          </w:p>
          <w:p>
            <w:pPr>
              <w:spacing w:after="60" w:before="60"/>
            </w:pPr>
            <w:r>
              <w:rPr>
                <w:color w:val="4B4B4B"/>
                <w:sz w:val="20"/>
                <w:szCs w:val="20"/>
              </w:rPr>
              <w:t xml:space="preserve">MLPerf Inference (Reddi et al., 2020) defines standardised tasks and scenarios (single-stream, server, offline) with reproducible submission rules, enabling apples-to-apples hardware comparison across NVIDIA, Intel, Qualcomm, and ARM.</w:t>
            </w:r>
          </w:p>
          <w:p>
            <w:pPr>
              <w:spacing w:after="0" w:before="40"/>
            </w:pPr>
            <w:r>
              <w:rPr>
                <w:color w:val="534AB7"/>
                <w:sz w:val="16"/>
                <w:szCs w:val="16"/>
                <w:shd w:fill="EEEDFE" w:color="EEEDFE" w:val="clear"/>
              </w:rPr>
              <w:t xml:space="preserve">  MLPerf  </w:t>
            </w:r>
            <w:r>
              <w:rPr>
                <w:sz w:val="16"/>
                <w:szCs w:val="16"/>
              </w:rPr>
              <w:t xml:space="preserve">  </w:t>
            </w:r>
            <w:r>
              <w:rPr>
                <w:color w:val="185FA5"/>
                <w:sz w:val="16"/>
                <w:szCs w:val="16"/>
                <w:shd w:fill="E6F1FB" w:color="E6F1FB" w:val="clear"/>
              </w:rPr>
              <w:t xml:space="preserve">  standard  </w:t>
            </w:r>
            <w:r>
              <w:rPr>
                <w:sz w:val="16"/>
                <w:szCs w:val="16"/>
              </w:rPr>
              <w:t xml:space="preserve">  </w:t>
            </w:r>
            <w:r>
              <w:rPr>
                <w:color w:val="0F6E56"/>
                <w:sz w:val="16"/>
                <w:szCs w:val="16"/>
                <w:shd w:fill="E1F5EE" w:color="E1F5EE" w:val="clear"/>
              </w:rPr>
              <w:t xml:space="preserve">  reproducible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PARETO  </w:t>
            </w:r>
          </w:p>
          <w:p>
            <w:pPr>
              <w:spacing w:after="60" w:before="0"/>
            </w:pPr>
            <w:r>
              <w:rPr>
                <w:b/>
                <w:bCs/>
                <w:color w:val="1A1A1A"/>
                <w:sz w:val="22"/>
                <w:szCs w:val="22"/>
              </w:rPr>
              <w:t xml:space="preserve">Accuracy–latency Pareto frontier analysis</w:t>
            </w:r>
          </w:p>
          <w:p>
            <w:pPr>
              <w:spacing w:after="60" w:before="60"/>
            </w:pPr>
            <w:r>
              <w:rPr>
                <w:color w:val="4B4B4B"/>
                <w:sz w:val="20"/>
                <w:szCs w:val="20"/>
              </w:rPr>
              <w:t xml:space="preserve">The Pareto curve plots all (latency, accuracy) pairs; the frontier is the set of models where you cannot improve one axis without worsening another. Backbone selection using timm should always start from this curve rather than from accuracy alone.</w:t>
            </w:r>
          </w:p>
          <w:p>
            <w:pPr>
              <w:spacing w:after="0" w:before="40"/>
            </w:pPr>
            <w:r>
              <w:rPr>
                <w:color w:val="185FA5"/>
                <w:sz w:val="16"/>
                <w:szCs w:val="16"/>
                <w:shd w:fill="E6F1FB" w:color="E6F1FB" w:val="clear"/>
              </w:rPr>
              <w:t xml:space="preserve">  Pareto  </w:t>
            </w:r>
            <w:r>
              <w:rPr>
                <w:sz w:val="16"/>
                <w:szCs w:val="16"/>
              </w:rPr>
              <w:t xml:space="preserve">  </w:t>
            </w:r>
            <w:r>
              <w:rPr>
                <w:color w:val="0F6E56"/>
                <w:sz w:val="16"/>
                <w:szCs w:val="16"/>
                <w:shd w:fill="E1F5EE" w:color="E1F5EE" w:val="clear"/>
              </w:rPr>
              <w:t xml:space="preserve">  timm  </w:t>
            </w:r>
            <w:r>
              <w:rPr>
                <w:sz w:val="16"/>
                <w:szCs w:val="16"/>
              </w:rPr>
              <w:t xml:space="preserve">  </w:t>
            </w:r>
            <w:r>
              <w:rPr>
                <w:color w:val="185FA5"/>
                <w:sz w:val="16"/>
                <w:szCs w:val="16"/>
                <w:shd w:fill="E6F1FB" w:color="E6F1FB" w:val="clear"/>
              </w:rPr>
              <w:t xml:space="preserve">  backbone select  </w:t>
            </w:r>
          </w:p>
        </w:tc>
        <w:tc>
          <w:tcPr>
            <w:tcW w:type="dxa" w:w="3100"/>
            <w:tcBorders>
              <w:top w:val="none"/>
              <w:left w:val="none"/>
              <w:bottom w:val="none"/>
              <w:right w:color="C8C8C8" w:sz="4"/>
            </w:tcBorders>
            <w:shd w:fill="F1EFE8" w:color="F1EFE8" w:val="clear"/>
            <w:tcMar>
              <w:top w:type="dxa" w:w="120"/>
              <w:left w:type="dxa" w:w="140"/>
              <w:bottom w:type="dxa" w:w="120"/>
              <w:right w:type="dxa" w:w="140"/>
            </w:tcMar>
          </w:tcPr>
          <w:p>
            <w:pPr>
              <w:spacing w:after="40" w:before="0"/>
            </w:pPr>
            <w:r>
              <w:rPr>
                <w:b/>
                <w:bCs/>
                <w:color w:val="854F0B"/>
                <w:sz w:val="16"/>
                <w:szCs w:val="16"/>
                <w:shd w:fill="E6F1FB" w:color="E6F1FB" w:val="clear"/>
              </w:rPr>
              <w:t xml:space="preserve">  REGRESSION  </w:t>
            </w:r>
          </w:p>
          <w:p>
            <w:pPr>
              <w:spacing w:after="60" w:before="0"/>
            </w:pPr>
            <w:r>
              <w:rPr>
                <w:b/>
                <w:bCs/>
                <w:color w:val="1A1A1A"/>
                <w:sz w:val="22"/>
                <w:szCs w:val="22"/>
              </w:rPr>
              <w:t xml:space="preserve">CI/CD accuracy regression testing</w:t>
            </w:r>
          </w:p>
          <w:p>
            <w:pPr>
              <w:spacing w:after="60" w:before="60"/>
            </w:pPr>
            <w:r>
              <w:rPr>
                <w:color w:val="4B4B4B"/>
                <w:sz w:val="20"/>
                <w:szCs w:val="20"/>
              </w:rPr>
              <w:t xml:space="preserve">A quantised or pruned model shipped without a regression gate can silently drop accuracy between versions. Best practice: automated evaluation on a held-out validation split at every export, with a hard gate (e.g. Δaccuracy &gt; 0.5% triggers block) before staging deployment.</w:t>
            </w:r>
          </w:p>
          <w:p>
            <w:pPr>
              <w:spacing w:after="0" w:before="40"/>
            </w:pPr>
            <w:r>
              <w:rPr>
                <w:color w:val="854F0B"/>
                <w:sz w:val="16"/>
                <w:szCs w:val="16"/>
                <w:shd w:fill="FAEEDA" w:color="FAEEDA" w:val="clear"/>
              </w:rPr>
              <w:t xml:space="preserve">  CI/CD  </w:t>
            </w:r>
            <w:r>
              <w:rPr>
                <w:sz w:val="16"/>
                <w:szCs w:val="16"/>
              </w:rPr>
              <w:t xml:space="preserve">  </w:t>
            </w:r>
            <w:r>
              <w:rPr>
                <w:color w:val="185FA5"/>
                <w:sz w:val="16"/>
                <w:szCs w:val="16"/>
                <w:shd w:fill="E6F1FB" w:color="E6F1FB" w:val="clear"/>
              </w:rPr>
              <w:t xml:space="preserve">  regression gate  </w:t>
            </w:r>
            <w:r>
              <w:rPr>
                <w:sz w:val="16"/>
                <w:szCs w:val="16"/>
              </w:rPr>
              <w:t xml:space="preserve">  </w:t>
            </w:r>
            <w:r>
              <w:rPr>
                <w:color w:val="0F6E56"/>
                <w:sz w:val="16"/>
                <w:szCs w:val="16"/>
                <w:shd w:fill="E1F5EE" w:color="E1F5EE" w:val="clear"/>
              </w:rPr>
              <w:t xml:space="preserve">  automation  </w:t>
            </w:r>
          </w:p>
        </w:tc>
      </w:tr>
    </w:tbl>
    <w:p>
      <w:pPr>
        <w:spacing w:after="0" w:before="120"/>
      </w:pPr>
    </w:p>
    <w:p>
      <w:pPr>
        <w:spacing w:after="60" w:before="0"/>
      </w:pPr>
      <w:r>
        <w:rPr>
          <w:b/>
          <w:bCs/>
          <w:color w:val="1A1A1A"/>
          <w:sz w:val="20"/>
          <w:szCs w:val="20"/>
        </w:rPr>
        <w:t xml:space="preserve">Learning outcomes</w:t>
      </w:r>
    </w:p>
    <w:p>
      <w:pPr>
        <w:pStyle w:val="ListParagraph"/>
        <w:numPr>
          <w:ilvl w:val="0"/>
          <w:numId w:val="2"/>
        </w:numPr>
        <w:spacing w:after="50" w:before="50"/>
      </w:pPr>
      <w:r>
        <w:rPr>
          <w:color w:val="4B4B4B"/>
          <w:sz w:val="20"/>
          <w:szCs w:val="20"/>
        </w:rPr>
        <w:t xml:space="preserve">Build a reusable benchmarking harness reporting p50/p95 latency, throughput, and model footprint across precision variants.</w:t>
      </w:r>
    </w:p>
    <w:p>
      <w:pPr>
        <w:pStyle w:val="ListParagraph"/>
        <w:numPr>
          <w:ilvl w:val="0"/>
          <w:numId w:val="2"/>
        </w:numPr>
        <w:spacing w:after="50" w:before="50"/>
      </w:pPr>
      <w:r>
        <w:rPr>
          <w:color w:val="4B4B4B"/>
          <w:sz w:val="20"/>
          <w:szCs w:val="20"/>
        </w:rPr>
        <w:t xml:space="preserve">Plot the accuracy–latency Pareto frontier for a shortlist of timm backbones and justify a backbone selection.</w:t>
      </w:r>
    </w:p>
    <w:p>
      <w:pPr>
        <w:pStyle w:val="ListParagraph"/>
        <w:numPr>
          <w:ilvl w:val="0"/>
          <w:numId w:val="2"/>
        </w:numPr>
        <w:spacing w:after="50" w:before="50"/>
      </w:pPr>
      <w:r>
        <w:rPr>
          <w:color w:val="4B4B4B"/>
          <w:sz w:val="20"/>
          <w:szCs w:val="20"/>
        </w:rPr>
        <w:t xml:space="preserve">Design a CI/CD accuracy regression gate for a production model optimisation pipeline.</w:t>
      </w:r>
    </w:p>
    <w:p>
      <w:pPr>
        <w:spacing w:after="0" w:before="240"/>
      </w:pPr>
    </w:p>
    <w:p>
      <w:pPr>
        <w:pBdr>
          <w:bottom w:val="single" w:color="C8C8C8" w:sz="4"/>
        </w:pBdr>
      </w:pPr>
    </w:p>
    <w:p>
      <w:pPr>
        <w:spacing w:after="0" w:before="80"/>
      </w:pPr>
    </w:p>
    <w:p>
      <w:pPr>
        <w:pStyle w:val="Heading2"/>
        <w:spacing w:after="80" w:before="0"/>
      </w:pPr>
      <w:r>
        <w:rPr>
          <w:b/>
          <w:bCs/>
          <w:color w:val="1A1A1A"/>
          <w:sz w:val="28"/>
          <w:szCs w:val="28"/>
        </w:rPr>
        <w:t xml:space="preserve">Key references</w:t>
      </w:r>
    </w:p>
    <w:p>
      <w:pPr>
        <w:pStyle w:val="ListParagraph"/>
        <w:numPr>
          <w:ilvl w:val="0"/>
          <w:numId w:val="3"/>
        </w:numPr>
        <w:spacing w:after="40" w:before="40"/>
      </w:pPr>
      <w:r>
        <w:rPr>
          <w:color w:val="4B4B4B"/>
          <w:sz w:val="20"/>
          <w:szCs w:val="20"/>
        </w:rPr>
        <w:t xml:space="preserve">Han, S., Mao, H., &amp; Dally, W. J. (2016). Deep compression: compressing deep neural networks with pruning, trained quantisation and Huffman coding. ICLR 2016.</w:t>
      </w:r>
    </w:p>
    <w:p>
      <w:pPr>
        <w:pStyle w:val="ListParagraph"/>
        <w:numPr>
          <w:ilvl w:val="0"/>
          <w:numId w:val="3"/>
        </w:numPr>
        <w:spacing w:after="40" w:before="40"/>
      </w:pPr>
      <w:r>
        <w:rPr>
          <w:color w:val="4B4B4B"/>
          <w:sz w:val="20"/>
          <w:szCs w:val="20"/>
        </w:rPr>
        <w:t xml:space="preserve">Hinton, G., Vinyals, O., &amp; Dean, J. (2015). Distilling the knowledge in a neural network. NeurIPS Deep Learning Workshop.</w:t>
      </w:r>
    </w:p>
    <w:p>
      <w:pPr>
        <w:pStyle w:val="ListParagraph"/>
        <w:numPr>
          <w:ilvl w:val="0"/>
          <w:numId w:val="3"/>
        </w:numPr>
        <w:spacing w:after="40" w:before="40"/>
      </w:pPr>
      <w:r>
        <w:rPr>
          <w:color w:val="4B4B4B"/>
          <w:sz w:val="20"/>
          <w:szCs w:val="20"/>
        </w:rPr>
        <w:t xml:space="preserve">Jacob, B. et al. (2018). Quantisation and training of neural networks for efficient integer-arithmetic-only inference. CVPR 2018.</w:t>
      </w:r>
    </w:p>
    <w:p>
      <w:pPr>
        <w:pStyle w:val="ListParagraph"/>
        <w:numPr>
          <w:ilvl w:val="0"/>
          <w:numId w:val="3"/>
        </w:numPr>
        <w:spacing w:after="40" w:before="40"/>
      </w:pPr>
      <w:r>
        <w:rPr>
          <w:color w:val="4B4B4B"/>
          <w:sz w:val="20"/>
          <w:szCs w:val="20"/>
        </w:rPr>
        <w:t xml:space="preserve">Frankle, J., &amp; Carlin, M. (2019). The lottery ticket hypothesis: finding sparse, trainable neural networks. ICLR 2019.</w:t>
      </w:r>
    </w:p>
    <w:p>
      <w:pPr>
        <w:pStyle w:val="ListParagraph"/>
        <w:numPr>
          <w:ilvl w:val="0"/>
          <w:numId w:val="3"/>
        </w:numPr>
        <w:spacing w:after="40" w:before="40"/>
      </w:pPr>
      <w:r>
        <w:rPr>
          <w:color w:val="4B4B4B"/>
          <w:sz w:val="20"/>
          <w:szCs w:val="20"/>
        </w:rPr>
        <w:t xml:space="preserve">Frantar, E. et al. (2022). GPTQ: accurate post-training quantisation for generative pre-trained transformers. arXiv:2210.17323.</w:t>
      </w:r>
    </w:p>
    <w:p>
      <w:pPr>
        <w:pStyle w:val="ListParagraph"/>
        <w:numPr>
          <w:ilvl w:val="0"/>
          <w:numId w:val="3"/>
        </w:numPr>
        <w:spacing w:after="40" w:before="40"/>
      </w:pPr>
      <w:r>
        <w:rPr>
          <w:color w:val="4B4B4B"/>
          <w:sz w:val="20"/>
          <w:szCs w:val="20"/>
        </w:rPr>
        <w:t xml:space="preserve">Reddi, V. J. et al. (2020). MLPerf inference benchmark. ISCA 2020.</w:t>
      </w:r>
    </w:p>
    <w:p>
      <w:pPr>
        <w:pStyle w:val="ListParagraph"/>
        <w:numPr>
          <w:ilvl w:val="0"/>
          <w:numId w:val="3"/>
        </w:numPr>
        <w:spacing w:after="40" w:before="40"/>
      </w:pPr>
      <w:r>
        <w:rPr>
          <w:color w:val="4B4B4B"/>
          <w:sz w:val="20"/>
          <w:szCs w:val="20"/>
        </w:rPr>
        <w:t xml:space="preserve">Touvron, H. et al. (2021). Training data-efficient image transformers &amp; distillation through attention. ICML 2021.</w:t>
      </w:r>
    </w:p>
    <w:p>
      <w:pPr>
        <w:pStyle w:val="ListParagraph"/>
        <w:numPr>
          <w:ilvl w:val="0"/>
          <w:numId w:val="3"/>
        </w:numPr>
        <w:spacing w:after="40" w:before="40"/>
      </w:pPr>
      <w:r>
        <w:rPr>
          <w:color w:val="4B4B4B"/>
          <w:sz w:val="20"/>
          <w:szCs w:val="20"/>
        </w:rPr>
        <w:t xml:space="preserve">Lin, J. et al. (2023). AWQ: activation-aware weight quantisation for LLM compression and acceleration. arXiv:2306.00978.</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pPr>
    <w:rPr>
      <w:rFonts w:ascii="Calibri" w:cs="Calibri" w:eastAsia="Calibri" w:hAnsi="Calibri"/>
      <w:color w:val="4B4B4B"/>
      <w:sz w:val="20"/>
      <w:szCs w:val="20"/>
    </w:rPr>
  </w:style>
  <w:style w:type="paragraph" w:styleId="Heading1">
    <w:name w:val="Heading 1"/>
    <w:basedOn w:val="Normal"/>
    <w:pPr>
      <w:spacing w:after="120" w:before="0"/>
    </w:pPr>
    <w:rPr>
      <w:rFonts w:ascii="Calibri" w:cs="Calibri" w:eastAsia="Calibri" w:hAnsi="Calibri"/>
      <w:b/>
      <w:bCs/>
      <w:color w:val="185FA5"/>
      <w:sz w:val="52"/>
      <w:szCs w:val="52"/>
    </w:rPr>
  </w:style>
  <w:style w:type="paragraph" w:styleId="Heading2">
    <w:name w:val="Heading 2"/>
    <w:basedOn w:val="Normal"/>
    <w:pPr>
      <w:spacing w:after="80" w:before="280"/>
    </w:pPr>
    <w:rPr>
      <w:rFonts w:ascii="Calibri" w:cs="Calibri" w:eastAsia="Calibri" w:hAnsi="Calibri"/>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2026-07-01T08:52:11.394Z</dcterms:created>
  <dcterms:modified xsi:type="dcterms:W3CDTF">2026-07-01T08:52:11.406Z</dcterms:modified>
</cp:coreProperties>
</file>

<file path=docProps/custom.xml><?xml version="1.0" encoding="utf-8"?>
<Properties xmlns="http://schemas.openxmlformats.org/officeDocument/2006/custom-properties" xmlns:vt="http://schemas.openxmlformats.org/officeDocument/2006/docPropsVTypes"/>
</file>